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2.vsd" ContentType="application/vnd.visio"/>
  <Override PartName="/word/embeddings/Microsoft_Visio___1.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EEAF6"/>
  <w:body>
    <w:p w14:paraId="1CB41829">
      <w:pPr>
        <w:pStyle w:val="24"/>
        <w:jc w:val="center"/>
        <w:outlineLvl w:val="0"/>
        <w:rPr>
          <w:rFonts w:ascii="Times New Roman" w:hAnsi="Times New Roman"/>
          <w:snapToGrid w:val="0"/>
          <w:sz w:val="30"/>
          <w:szCs w:val="30"/>
        </w:rPr>
      </w:pPr>
      <w:r>
        <w:rPr>
          <w:rFonts w:ascii="Times New Roman" w:hAnsi="Times New Roman"/>
          <w:snapToGrid w:val="0"/>
          <w:sz w:val="30"/>
          <w:szCs w:val="30"/>
        </w:rPr>
        <w:t>一、建设项目基本情况</w:t>
      </w:r>
    </w:p>
    <w:tbl>
      <w:tblPr>
        <w:tblStyle w:val="2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2385"/>
        <w:gridCol w:w="2190"/>
        <w:gridCol w:w="3941"/>
      </w:tblGrid>
      <w:tr w14:paraId="4E0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005BA402">
            <w:pPr>
              <w:adjustRightInd w:val="0"/>
              <w:snapToGrid w:val="0"/>
              <w:jc w:val="center"/>
              <w:rPr>
                <w:szCs w:val="21"/>
              </w:rPr>
            </w:pPr>
            <w:r>
              <w:rPr>
                <w:szCs w:val="21"/>
              </w:rPr>
              <w:t>建设项目名称</w:t>
            </w:r>
          </w:p>
        </w:tc>
        <w:tc>
          <w:tcPr>
            <w:tcW w:w="8516" w:type="dxa"/>
            <w:gridSpan w:val="3"/>
            <w:vAlign w:val="center"/>
          </w:tcPr>
          <w:p w14:paraId="60B26DA0">
            <w:pPr>
              <w:adjustRightInd w:val="0"/>
              <w:snapToGrid w:val="0"/>
              <w:jc w:val="center"/>
              <w:rPr>
                <w:szCs w:val="21"/>
                <w:u w:val="single"/>
              </w:rPr>
            </w:pPr>
            <w:r>
              <w:rPr>
                <w:rFonts w:hint="eastAsia"/>
                <w:szCs w:val="21"/>
              </w:rPr>
              <w:t>涪陵新型铝合金零部件制造基地</w:t>
            </w:r>
          </w:p>
        </w:tc>
      </w:tr>
      <w:tr w14:paraId="20FD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3A759BB8">
            <w:pPr>
              <w:adjustRightInd w:val="0"/>
              <w:snapToGrid w:val="0"/>
              <w:jc w:val="center"/>
              <w:rPr>
                <w:szCs w:val="21"/>
              </w:rPr>
            </w:pPr>
            <w:r>
              <w:rPr>
                <w:szCs w:val="21"/>
              </w:rPr>
              <w:t>项目代码</w:t>
            </w:r>
          </w:p>
        </w:tc>
        <w:tc>
          <w:tcPr>
            <w:tcW w:w="8516" w:type="dxa"/>
            <w:gridSpan w:val="3"/>
            <w:vAlign w:val="center"/>
          </w:tcPr>
          <w:p w14:paraId="745C1301">
            <w:pPr>
              <w:adjustRightInd w:val="0"/>
              <w:snapToGrid w:val="0"/>
              <w:jc w:val="center"/>
              <w:rPr>
                <w:szCs w:val="21"/>
              </w:rPr>
            </w:pPr>
            <w:r>
              <w:rPr>
                <w:szCs w:val="21"/>
              </w:rPr>
              <w:t>2020-500102-32-03-140709</w:t>
            </w:r>
          </w:p>
        </w:tc>
      </w:tr>
      <w:tr w14:paraId="63A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04034176">
            <w:pPr>
              <w:adjustRightInd w:val="0"/>
              <w:snapToGrid w:val="0"/>
              <w:jc w:val="center"/>
              <w:rPr>
                <w:szCs w:val="21"/>
              </w:rPr>
            </w:pPr>
            <w:r>
              <w:rPr>
                <w:szCs w:val="21"/>
              </w:rPr>
              <w:t>建设单位联系人</w:t>
            </w:r>
          </w:p>
        </w:tc>
        <w:tc>
          <w:tcPr>
            <w:tcW w:w="2385" w:type="dxa"/>
            <w:vAlign w:val="center"/>
          </w:tcPr>
          <w:p w14:paraId="61010422">
            <w:pPr>
              <w:adjustRightInd w:val="0"/>
              <w:snapToGrid w:val="0"/>
              <w:jc w:val="center"/>
              <w:rPr>
                <w:szCs w:val="21"/>
              </w:rPr>
            </w:pPr>
            <w:r>
              <w:rPr>
                <w:rFonts w:hint="eastAsia"/>
                <w:szCs w:val="21"/>
              </w:rPr>
              <w:t>周*</w:t>
            </w:r>
            <w:r>
              <w:rPr>
                <w:szCs w:val="21"/>
              </w:rPr>
              <w:t>*</w:t>
            </w:r>
          </w:p>
        </w:tc>
        <w:tc>
          <w:tcPr>
            <w:tcW w:w="2190" w:type="dxa"/>
            <w:vAlign w:val="center"/>
          </w:tcPr>
          <w:p w14:paraId="4AAA22A6">
            <w:pPr>
              <w:adjustRightInd w:val="0"/>
              <w:snapToGrid w:val="0"/>
              <w:jc w:val="center"/>
              <w:rPr>
                <w:szCs w:val="21"/>
              </w:rPr>
            </w:pPr>
            <w:r>
              <w:rPr>
                <w:szCs w:val="21"/>
              </w:rPr>
              <w:t>联系方式</w:t>
            </w:r>
          </w:p>
        </w:tc>
        <w:tc>
          <w:tcPr>
            <w:tcW w:w="3941" w:type="dxa"/>
            <w:vAlign w:val="center"/>
          </w:tcPr>
          <w:p w14:paraId="708FD018">
            <w:pPr>
              <w:adjustRightInd w:val="0"/>
              <w:snapToGrid w:val="0"/>
              <w:jc w:val="center"/>
              <w:rPr>
                <w:szCs w:val="21"/>
              </w:rPr>
            </w:pPr>
            <w:r>
              <w:rPr>
                <w:szCs w:val="21"/>
              </w:rPr>
              <w:t>133****2221</w:t>
            </w:r>
          </w:p>
        </w:tc>
      </w:tr>
      <w:tr w14:paraId="1C92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0CBF69E5">
            <w:pPr>
              <w:adjustRightInd w:val="0"/>
              <w:snapToGrid w:val="0"/>
              <w:jc w:val="center"/>
              <w:rPr>
                <w:szCs w:val="21"/>
              </w:rPr>
            </w:pPr>
            <w:r>
              <w:rPr>
                <w:szCs w:val="21"/>
              </w:rPr>
              <w:t>建设地点</w:t>
            </w:r>
          </w:p>
        </w:tc>
        <w:tc>
          <w:tcPr>
            <w:tcW w:w="8516" w:type="dxa"/>
            <w:gridSpan w:val="3"/>
            <w:vAlign w:val="center"/>
          </w:tcPr>
          <w:p w14:paraId="1E886DF7">
            <w:pPr>
              <w:adjustRightInd w:val="0"/>
              <w:snapToGrid w:val="0"/>
              <w:jc w:val="center"/>
              <w:rPr>
                <w:szCs w:val="21"/>
              </w:rPr>
            </w:pPr>
            <w:r>
              <w:rPr>
                <w:rFonts w:hint="eastAsia"/>
                <w:bCs/>
                <w:szCs w:val="21"/>
              </w:rPr>
              <w:t>重庆市涪陵区新城区盘龙路</w:t>
            </w:r>
          </w:p>
        </w:tc>
      </w:tr>
      <w:tr w14:paraId="5D0E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5A42C46D">
            <w:pPr>
              <w:adjustRightInd w:val="0"/>
              <w:snapToGrid w:val="0"/>
              <w:jc w:val="center"/>
              <w:rPr>
                <w:szCs w:val="21"/>
              </w:rPr>
            </w:pPr>
            <w:r>
              <w:rPr>
                <w:szCs w:val="21"/>
              </w:rPr>
              <w:t>地理坐标</w:t>
            </w:r>
          </w:p>
        </w:tc>
        <w:tc>
          <w:tcPr>
            <w:tcW w:w="8516" w:type="dxa"/>
            <w:gridSpan w:val="3"/>
            <w:vAlign w:val="center"/>
          </w:tcPr>
          <w:p w14:paraId="192AE0F2">
            <w:pPr>
              <w:jc w:val="center"/>
              <w:rPr>
                <w:szCs w:val="21"/>
              </w:rPr>
            </w:pPr>
            <w:r>
              <w:rPr>
                <w:szCs w:val="21"/>
              </w:rPr>
              <w:t>（</w:t>
            </w:r>
            <w:r>
              <w:rPr>
                <w:szCs w:val="21"/>
                <w:u w:val="single"/>
              </w:rPr>
              <w:t>107</w:t>
            </w:r>
            <w:r>
              <w:rPr>
                <w:szCs w:val="21"/>
              </w:rPr>
              <w:t>度</w:t>
            </w:r>
            <w:r>
              <w:rPr>
                <w:szCs w:val="21"/>
                <w:u w:val="single"/>
              </w:rPr>
              <w:t>14</w:t>
            </w:r>
            <w:r>
              <w:rPr>
                <w:szCs w:val="21"/>
              </w:rPr>
              <w:t>分</w:t>
            </w:r>
            <w:r>
              <w:rPr>
                <w:rFonts w:hint="eastAsia"/>
                <w:szCs w:val="21"/>
                <w:u w:val="single"/>
              </w:rPr>
              <w:t>23.024</w:t>
            </w:r>
            <w:r>
              <w:rPr>
                <w:szCs w:val="21"/>
              </w:rPr>
              <w:t>秒，</w:t>
            </w:r>
            <w:r>
              <w:rPr>
                <w:szCs w:val="21"/>
                <w:u w:val="single"/>
              </w:rPr>
              <w:t>29</w:t>
            </w:r>
            <w:r>
              <w:rPr>
                <w:szCs w:val="21"/>
              </w:rPr>
              <w:t>度</w:t>
            </w:r>
            <w:r>
              <w:rPr>
                <w:rFonts w:hint="eastAsia"/>
                <w:szCs w:val="21"/>
                <w:u w:val="single"/>
              </w:rPr>
              <w:t>43</w:t>
            </w:r>
            <w:r>
              <w:rPr>
                <w:szCs w:val="21"/>
              </w:rPr>
              <w:t>分</w:t>
            </w:r>
            <w:r>
              <w:rPr>
                <w:rFonts w:hint="eastAsia"/>
                <w:szCs w:val="21"/>
                <w:u w:val="single"/>
              </w:rPr>
              <w:t>21.157</w:t>
            </w:r>
            <w:r>
              <w:rPr>
                <w:szCs w:val="21"/>
              </w:rPr>
              <w:t>秒）</w:t>
            </w:r>
          </w:p>
        </w:tc>
      </w:tr>
      <w:tr w14:paraId="40B5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2D4A8681">
            <w:pPr>
              <w:adjustRightInd w:val="0"/>
              <w:snapToGrid w:val="0"/>
              <w:jc w:val="center"/>
              <w:rPr>
                <w:szCs w:val="21"/>
              </w:rPr>
            </w:pPr>
            <w:r>
              <w:rPr>
                <w:szCs w:val="21"/>
              </w:rPr>
              <w:t>国民经济</w:t>
            </w:r>
          </w:p>
          <w:p w14:paraId="1C744D3F">
            <w:pPr>
              <w:adjustRightInd w:val="0"/>
              <w:snapToGrid w:val="0"/>
              <w:jc w:val="center"/>
              <w:rPr>
                <w:szCs w:val="21"/>
              </w:rPr>
            </w:pPr>
            <w:r>
              <w:rPr>
                <w:szCs w:val="21"/>
              </w:rPr>
              <w:t>行业类别</w:t>
            </w:r>
          </w:p>
        </w:tc>
        <w:tc>
          <w:tcPr>
            <w:tcW w:w="2385" w:type="dxa"/>
            <w:vAlign w:val="center"/>
          </w:tcPr>
          <w:p w14:paraId="71B8CD9E">
            <w:pPr>
              <w:adjustRightInd w:val="0"/>
              <w:snapToGrid w:val="0"/>
              <w:jc w:val="center"/>
              <w:rPr>
                <w:szCs w:val="21"/>
              </w:rPr>
            </w:pPr>
            <w:r>
              <w:rPr>
                <w:rFonts w:hint="eastAsia"/>
                <w:szCs w:val="21"/>
              </w:rPr>
              <w:t>C</w:t>
            </w:r>
            <w:r>
              <w:rPr>
                <w:szCs w:val="21"/>
              </w:rPr>
              <w:t>3670汽车零部件及配件制造</w:t>
            </w:r>
          </w:p>
        </w:tc>
        <w:tc>
          <w:tcPr>
            <w:tcW w:w="2190" w:type="dxa"/>
            <w:vAlign w:val="center"/>
          </w:tcPr>
          <w:p w14:paraId="31F58DE8">
            <w:pPr>
              <w:adjustRightInd w:val="0"/>
              <w:snapToGrid w:val="0"/>
              <w:jc w:val="center"/>
              <w:rPr>
                <w:szCs w:val="21"/>
              </w:rPr>
            </w:pPr>
            <w:bookmarkStart w:id="0" w:name="_Hlk49843745"/>
            <w:r>
              <w:rPr>
                <w:szCs w:val="21"/>
              </w:rPr>
              <w:t>建设项目</w:t>
            </w:r>
          </w:p>
          <w:p w14:paraId="4EB22F3B">
            <w:pPr>
              <w:adjustRightInd w:val="0"/>
              <w:snapToGrid w:val="0"/>
              <w:jc w:val="center"/>
              <w:rPr>
                <w:szCs w:val="21"/>
              </w:rPr>
            </w:pPr>
            <w:r>
              <w:rPr>
                <w:szCs w:val="21"/>
              </w:rPr>
              <w:t>行业类别</w:t>
            </w:r>
            <w:bookmarkEnd w:id="0"/>
          </w:p>
        </w:tc>
        <w:tc>
          <w:tcPr>
            <w:tcW w:w="3941" w:type="dxa"/>
            <w:vAlign w:val="center"/>
          </w:tcPr>
          <w:p w14:paraId="5A803F4C">
            <w:pPr>
              <w:adjustRightInd w:val="0"/>
              <w:snapToGrid w:val="0"/>
              <w:rPr>
                <w:szCs w:val="21"/>
              </w:rPr>
            </w:pPr>
            <w:r>
              <w:rPr>
                <w:szCs w:val="21"/>
              </w:rPr>
              <w:t>三十三、汽车制造业</w:t>
            </w:r>
          </w:p>
          <w:p w14:paraId="65A5CCF5">
            <w:pPr>
              <w:adjustRightInd w:val="0"/>
              <w:snapToGrid w:val="0"/>
              <w:rPr>
                <w:szCs w:val="21"/>
              </w:rPr>
            </w:pPr>
            <w:r>
              <w:rPr>
                <w:szCs w:val="21"/>
              </w:rPr>
              <w:t xml:space="preserve">71 汽车零部件及配件制造 </w:t>
            </w:r>
          </w:p>
        </w:tc>
      </w:tr>
      <w:tr w14:paraId="7B86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09A76BD8">
            <w:pPr>
              <w:adjustRightInd w:val="0"/>
              <w:snapToGrid w:val="0"/>
              <w:jc w:val="center"/>
              <w:rPr>
                <w:szCs w:val="21"/>
              </w:rPr>
            </w:pPr>
            <w:r>
              <w:rPr>
                <w:szCs w:val="21"/>
              </w:rPr>
              <w:t>建设性质</w:t>
            </w:r>
          </w:p>
        </w:tc>
        <w:tc>
          <w:tcPr>
            <w:tcW w:w="2385" w:type="dxa"/>
            <w:vAlign w:val="center"/>
          </w:tcPr>
          <w:p w14:paraId="1CA6A30C">
            <w:pPr>
              <w:jc w:val="left"/>
              <w:rPr>
                <w:szCs w:val="21"/>
              </w:rPr>
            </w:pPr>
            <w:r>
              <w:rPr>
                <w:szCs w:val="21"/>
              </w:rPr>
              <w:t>■新建（迁建）</w:t>
            </w:r>
          </w:p>
          <w:p w14:paraId="507D2E68">
            <w:pPr>
              <w:jc w:val="left"/>
              <w:rPr>
                <w:szCs w:val="21"/>
              </w:rPr>
            </w:pPr>
            <w:r>
              <w:rPr>
                <w:szCs w:val="21"/>
              </w:rPr>
              <w:t>□改建</w:t>
            </w:r>
          </w:p>
          <w:p w14:paraId="06E10D52">
            <w:pPr>
              <w:jc w:val="left"/>
              <w:rPr>
                <w:szCs w:val="21"/>
              </w:rPr>
            </w:pPr>
            <w:r>
              <w:rPr>
                <w:szCs w:val="21"/>
              </w:rPr>
              <w:t>□扩建</w:t>
            </w:r>
          </w:p>
          <w:p w14:paraId="27E5C40C">
            <w:pPr>
              <w:jc w:val="left"/>
              <w:rPr>
                <w:szCs w:val="21"/>
              </w:rPr>
            </w:pPr>
            <w:r>
              <w:rPr>
                <w:szCs w:val="21"/>
              </w:rPr>
              <w:t>□技术改造</w:t>
            </w:r>
          </w:p>
        </w:tc>
        <w:tc>
          <w:tcPr>
            <w:tcW w:w="2190" w:type="dxa"/>
            <w:vAlign w:val="center"/>
          </w:tcPr>
          <w:p w14:paraId="741C4C0C">
            <w:pPr>
              <w:adjustRightInd w:val="0"/>
              <w:snapToGrid w:val="0"/>
              <w:jc w:val="center"/>
              <w:rPr>
                <w:szCs w:val="21"/>
              </w:rPr>
            </w:pPr>
            <w:r>
              <w:rPr>
                <w:szCs w:val="21"/>
              </w:rPr>
              <w:t>建设项目</w:t>
            </w:r>
          </w:p>
          <w:p w14:paraId="292B3D02">
            <w:pPr>
              <w:adjustRightInd w:val="0"/>
              <w:snapToGrid w:val="0"/>
              <w:jc w:val="center"/>
              <w:rPr>
                <w:szCs w:val="21"/>
              </w:rPr>
            </w:pPr>
            <w:r>
              <w:rPr>
                <w:szCs w:val="21"/>
              </w:rPr>
              <w:t>申报情形</w:t>
            </w:r>
          </w:p>
        </w:tc>
        <w:tc>
          <w:tcPr>
            <w:tcW w:w="3941" w:type="dxa"/>
            <w:vAlign w:val="center"/>
          </w:tcPr>
          <w:p w14:paraId="498CD9E5">
            <w:pPr>
              <w:jc w:val="left"/>
              <w:rPr>
                <w:szCs w:val="21"/>
              </w:rPr>
            </w:pPr>
            <w:r>
              <w:rPr>
                <w:szCs w:val="21"/>
              </w:rPr>
              <w:t xml:space="preserve">■首次申报项目             </w:t>
            </w:r>
          </w:p>
          <w:p w14:paraId="5C1B5CE1">
            <w:pPr>
              <w:jc w:val="left"/>
              <w:rPr>
                <w:szCs w:val="21"/>
              </w:rPr>
            </w:pPr>
            <w:r>
              <w:rPr>
                <w:szCs w:val="21"/>
              </w:rPr>
              <w:t>□不予批准后再次申报项目</w:t>
            </w:r>
          </w:p>
          <w:p w14:paraId="6CDAE4E3">
            <w:pPr>
              <w:jc w:val="left"/>
              <w:rPr>
                <w:szCs w:val="21"/>
              </w:rPr>
            </w:pPr>
            <w:r>
              <w:rPr>
                <w:szCs w:val="21"/>
              </w:rPr>
              <w:t xml:space="preserve">□超五年重新审核项目     </w:t>
            </w:r>
          </w:p>
          <w:p w14:paraId="73D83759">
            <w:pPr>
              <w:jc w:val="left"/>
              <w:rPr>
                <w:szCs w:val="21"/>
              </w:rPr>
            </w:pPr>
            <w:r>
              <w:rPr>
                <w:szCs w:val="21"/>
              </w:rPr>
              <w:t>□重大变动重新报批项目</w:t>
            </w:r>
          </w:p>
        </w:tc>
      </w:tr>
      <w:tr w14:paraId="7757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2D15E4ED">
            <w:pPr>
              <w:adjustRightInd w:val="0"/>
              <w:snapToGrid w:val="0"/>
              <w:jc w:val="center"/>
              <w:rPr>
                <w:szCs w:val="21"/>
              </w:rPr>
            </w:pPr>
            <w:r>
              <w:rPr>
                <w:szCs w:val="21"/>
              </w:rPr>
              <w:t>项目审批（核准/</w:t>
            </w:r>
          </w:p>
          <w:p w14:paraId="28101C6A">
            <w:pPr>
              <w:adjustRightInd w:val="0"/>
              <w:snapToGrid w:val="0"/>
              <w:jc w:val="center"/>
              <w:rPr>
                <w:szCs w:val="21"/>
              </w:rPr>
            </w:pPr>
            <w:r>
              <w:rPr>
                <w:szCs w:val="21"/>
              </w:rPr>
              <w:t>备案）部门（选填）</w:t>
            </w:r>
          </w:p>
        </w:tc>
        <w:tc>
          <w:tcPr>
            <w:tcW w:w="2385" w:type="dxa"/>
            <w:vAlign w:val="center"/>
          </w:tcPr>
          <w:p w14:paraId="4DD3E09A">
            <w:pPr>
              <w:adjustRightInd w:val="0"/>
              <w:snapToGrid w:val="0"/>
              <w:jc w:val="center"/>
              <w:rPr>
                <w:szCs w:val="21"/>
              </w:rPr>
            </w:pPr>
            <w:r>
              <w:rPr>
                <w:szCs w:val="21"/>
              </w:rPr>
              <w:t>重庆市</w:t>
            </w:r>
            <w:r>
              <w:rPr>
                <w:rFonts w:hint="eastAsia"/>
                <w:szCs w:val="21"/>
              </w:rPr>
              <w:t>涪陵区</w:t>
            </w:r>
            <w:r>
              <w:rPr>
                <w:szCs w:val="21"/>
              </w:rPr>
              <w:t>发展和改革委员会</w:t>
            </w:r>
          </w:p>
        </w:tc>
        <w:tc>
          <w:tcPr>
            <w:tcW w:w="2190" w:type="dxa"/>
            <w:vAlign w:val="center"/>
          </w:tcPr>
          <w:p w14:paraId="3948B6E1">
            <w:pPr>
              <w:adjustRightInd w:val="0"/>
              <w:snapToGrid w:val="0"/>
              <w:jc w:val="center"/>
              <w:rPr>
                <w:szCs w:val="21"/>
              </w:rPr>
            </w:pPr>
            <w:r>
              <w:rPr>
                <w:szCs w:val="21"/>
              </w:rPr>
              <w:t>项目审批（核准/</w:t>
            </w:r>
          </w:p>
          <w:p w14:paraId="4902DEF1">
            <w:pPr>
              <w:adjustRightInd w:val="0"/>
              <w:snapToGrid w:val="0"/>
              <w:jc w:val="center"/>
              <w:rPr>
                <w:szCs w:val="21"/>
              </w:rPr>
            </w:pPr>
            <w:r>
              <w:rPr>
                <w:szCs w:val="21"/>
              </w:rPr>
              <w:t>备案）文号（选填）</w:t>
            </w:r>
          </w:p>
        </w:tc>
        <w:tc>
          <w:tcPr>
            <w:tcW w:w="3941" w:type="dxa"/>
            <w:vAlign w:val="center"/>
          </w:tcPr>
          <w:p w14:paraId="4719F1B0">
            <w:pPr>
              <w:adjustRightInd w:val="0"/>
              <w:snapToGrid w:val="0"/>
              <w:jc w:val="center"/>
              <w:rPr>
                <w:szCs w:val="21"/>
              </w:rPr>
            </w:pPr>
            <w:r>
              <w:rPr>
                <w:szCs w:val="21"/>
              </w:rPr>
              <w:t>2020-500102-32-03-140709</w:t>
            </w:r>
          </w:p>
        </w:tc>
      </w:tr>
      <w:tr w14:paraId="497F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33DC1D40">
            <w:pPr>
              <w:adjustRightInd w:val="0"/>
              <w:snapToGrid w:val="0"/>
              <w:jc w:val="center"/>
              <w:rPr>
                <w:szCs w:val="21"/>
              </w:rPr>
            </w:pPr>
            <w:r>
              <w:rPr>
                <w:szCs w:val="21"/>
              </w:rPr>
              <w:t>总投资（万元）</w:t>
            </w:r>
          </w:p>
        </w:tc>
        <w:tc>
          <w:tcPr>
            <w:tcW w:w="2385" w:type="dxa"/>
            <w:vAlign w:val="center"/>
          </w:tcPr>
          <w:p w14:paraId="5773D671">
            <w:pPr>
              <w:adjustRightInd w:val="0"/>
              <w:snapToGrid w:val="0"/>
              <w:jc w:val="center"/>
              <w:rPr>
                <w:szCs w:val="21"/>
              </w:rPr>
            </w:pPr>
            <w:r>
              <w:rPr>
                <w:szCs w:val="21"/>
              </w:rPr>
              <w:t>28000</w:t>
            </w:r>
          </w:p>
        </w:tc>
        <w:tc>
          <w:tcPr>
            <w:tcW w:w="2190" w:type="dxa"/>
            <w:tcMar>
              <w:top w:w="16" w:type="dxa"/>
              <w:left w:w="16" w:type="dxa"/>
              <w:right w:w="16" w:type="dxa"/>
            </w:tcMar>
            <w:vAlign w:val="center"/>
          </w:tcPr>
          <w:p w14:paraId="5F4B604D">
            <w:pPr>
              <w:adjustRightInd w:val="0"/>
              <w:snapToGrid w:val="0"/>
              <w:jc w:val="center"/>
              <w:rPr>
                <w:szCs w:val="21"/>
              </w:rPr>
            </w:pPr>
            <w:r>
              <w:rPr>
                <w:szCs w:val="21"/>
              </w:rPr>
              <w:t>环保投资（万元）</w:t>
            </w:r>
          </w:p>
        </w:tc>
        <w:tc>
          <w:tcPr>
            <w:tcW w:w="3941" w:type="dxa"/>
            <w:vAlign w:val="center"/>
          </w:tcPr>
          <w:p w14:paraId="577C52B9">
            <w:pPr>
              <w:adjustRightInd w:val="0"/>
              <w:snapToGrid w:val="0"/>
              <w:jc w:val="center"/>
              <w:rPr>
                <w:szCs w:val="21"/>
              </w:rPr>
            </w:pPr>
            <w:r>
              <w:rPr>
                <w:szCs w:val="21"/>
              </w:rPr>
              <w:t>150</w:t>
            </w:r>
          </w:p>
        </w:tc>
      </w:tr>
      <w:tr w14:paraId="0ED8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25CB0B07">
            <w:pPr>
              <w:adjustRightInd w:val="0"/>
              <w:snapToGrid w:val="0"/>
              <w:jc w:val="center"/>
              <w:rPr>
                <w:szCs w:val="21"/>
              </w:rPr>
            </w:pPr>
            <w:r>
              <w:rPr>
                <w:szCs w:val="21"/>
              </w:rPr>
              <w:t>环保投资占比（%）</w:t>
            </w:r>
          </w:p>
        </w:tc>
        <w:tc>
          <w:tcPr>
            <w:tcW w:w="2385" w:type="dxa"/>
            <w:vAlign w:val="center"/>
          </w:tcPr>
          <w:p w14:paraId="5EBC90FE">
            <w:pPr>
              <w:adjustRightInd w:val="0"/>
              <w:snapToGrid w:val="0"/>
              <w:jc w:val="center"/>
              <w:rPr>
                <w:szCs w:val="21"/>
              </w:rPr>
            </w:pPr>
            <w:r>
              <w:rPr>
                <w:szCs w:val="21"/>
              </w:rPr>
              <w:t>0.54</w:t>
            </w:r>
          </w:p>
        </w:tc>
        <w:tc>
          <w:tcPr>
            <w:tcW w:w="2190" w:type="dxa"/>
            <w:tcMar>
              <w:top w:w="16" w:type="dxa"/>
              <w:left w:w="16" w:type="dxa"/>
              <w:right w:w="16" w:type="dxa"/>
            </w:tcMar>
            <w:vAlign w:val="center"/>
          </w:tcPr>
          <w:p w14:paraId="4F17D125">
            <w:pPr>
              <w:adjustRightInd w:val="0"/>
              <w:snapToGrid w:val="0"/>
              <w:jc w:val="center"/>
              <w:rPr>
                <w:szCs w:val="21"/>
              </w:rPr>
            </w:pPr>
            <w:r>
              <w:rPr>
                <w:szCs w:val="21"/>
              </w:rPr>
              <w:t>施工工期</w:t>
            </w:r>
          </w:p>
        </w:tc>
        <w:tc>
          <w:tcPr>
            <w:tcW w:w="3941" w:type="dxa"/>
            <w:vAlign w:val="center"/>
          </w:tcPr>
          <w:p w14:paraId="043F4A66">
            <w:pPr>
              <w:adjustRightInd w:val="0"/>
              <w:snapToGrid w:val="0"/>
              <w:jc w:val="center"/>
              <w:rPr>
                <w:szCs w:val="21"/>
              </w:rPr>
            </w:pPr>
            <w:r>
              <w:rPr>
                <w:szCs w:val="21"/>
              </w:rPr>
              <w:t>27个月</w:t>
            </w:r>
          </w:p>
        </w:tc>
      </w:tr>
      <w:tr w14:paraId="4FEB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64" w:type="dxa"/>
            <w:tcMar>
              <w:top w:w="16" w:type="dxa"/>
              <w:left w:w="16" w:type="dxa"/>
              <w:right w:w="16" w:type="dxa"/>
            </w:tcMar>
            <w:vAlign w:val="center"/>
          </w:tcPr>
          <w:p w14:paraId="5A5876FC">
            <w:pPr>
              <w:adjustRightInd w:val="0"/>
              <w:snapToGrid w:val="0"/>
              <w:jc w:val="center"/>
              <w:rPr>
                <w:szCs w:val="21"/>
              </w:rPr>
            </w:pPr>
            <w:r>
              <w:rPr>
                <w:szCs w:val="21"/>
              </w:rPr>
              <w:t>是否开工建设</w:t>
            </w:r>
          </w:p>
        </w:tc>
        <w:tc>
          <w:tcPr>
            <w:tcW w:w="2385" w:type="dxa"/>
            <w:vAlign w:val="center"/>
          </w:tcPr>
          <w:p w14:paraId="57B4F46A">
            <w:pPr>
              <w:adjustRightInd w:val="0"/>
              <w:snapToGrid w:val="0"/>
              <w:rPr>
                <w:szCs w:val="21"/>
              </w:rPr>
            </w:pPr>
            <w:r>
              <w:rPr>
                <w:szCs w:val="21"/>
              </w:rPr>
              <w:t>■否</w:t>
            </w:r>
          </w:p>
          <w:p w14:paraId="3845D78B">
            <w:pPr>
              <w:adjustRightInd w:val="0"/>
              <w:snapToGrid w:val="0"/>
              <w:rPr>
                <w:szCs w:val="21"/>
              </w:rPr>
            </w:pPr>
            <w:r>
              <w:rPr>
                <w:szCs w:val="21"/>
              </w:rPr>
              <w:sym w:font="Wingdings 2" w:char="00A3"/>
            </w:r>
            <w:r>
              <w:rPr>
                <w:szCs w:val="21"/>
              </w:rPr>
              <w:t>是：</w:t>
            </w:r>
            <w:r>
              <w:rPr>
                <w:szCs w:val="21"/>
                <w:u w:val="single"/>
              </w:rPr>
              <w:t xml:space="preserve">             </w:t>
            </w:r>
          </w:p>
        </w:tc>
        <w:tc>
          <w:tcPr>
            <w:tcW w:w="2190" w:type="dxa"/>
            <w:tcMar>
              <w:top w:w="16" w:type="dxa"/>
              <w:left w:w="16" w:type="dxa"/>
              <w:right w:w="16" w:type="dxa"/>
            </w:tcMar>
            <w:vAlign w:val="center"/>
          </w:tcPr>
          <w:p w14:paraId="7345E712">
            <w:pPr>
              <w:adjustRightInd w:val="0"/>
              <w:snapToGrid w:val="0"/>
              <w:jc w:val="center"/>
              <w:rPr>
                <w:spacing w:val="-6"/>
                <w:szCs w:val="21"/>
              </w:rPr>
            </w:pPr>
            <w:r>
              <w:rPr>
                <w:spacing w:val="-6"/>
                <w:szCs w:val="21"/>
              </w:rPr>
              <w:t>用地（用海）</w:t>
            </w:r>
          </w:p>
          <w:p w14:paraId="6654F113">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3941" w:type="dxa"/>
            <w:vAlign w:val="center"/>
          </w:tcPr>
          <w:p w14:paraId="039DFFAB">
            <w:pPr>
              <w:adjustRightInd w:val="0"/>
              <w:snapToGrid w:val="0"/>
              <w:jc w:val="center"/>
              <w:rPr>
                <w:szCs w:val="21"/>
              </w:rPr>
            </w:pPr>
            <w:r>
              <w:rPr>
                <w:szCs w:val="21"/>
              </w:rPr>
              <w:t>31598</w:t>
            </w:r>
          </w:p>
        </w:tc>
      </w:tr>
      <w:tr w14:paraId="7BB7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4" w:type="dxa"/>
            <w:vAlign w:val="center"/>
          </w:tcPr>
          <w:p w14:paraId="4F5DD9CC">
            <w:pPr>
              <w:autoSpaceDE w:val="0"/>
              <w:autoSpaceDN w:val="0"/>
              <w:adjustRightInd w:val="0"/>
              <w:snapToGrid w:val="0"/>
              <w:jc w:val="center"/>
              <w:rPr>
                <w:kern w:val="0"/>
                <w:szCs w:val="21"/>
              </w:rPr>
            </w:pPr>
            <w:r>
              <w:rPr>
                <w:kern w:val="0"/>
                <w:szCs w:val="21"/>
              </w:rPr>
              <w:t>专项评价设置情况</w:t>
            </w:r>
          </w:p>
        </w:tc>
        <w:tc>
          <w:tcPr>
            <w:tcW w:w="8516" w:type="dxa"/>
            <w:gridSpan w:val="3"/>
            <w:vAlign w:val="center"/>
          </w:tcPr>
          <w:p w14:paraId="7AF9AC8F">
            <w:pPr>
              <w:autoSpaceDE w:val="0"/>
              <w:autoSpaceDN w:val="0"/>
              <w:adjustRightInd w:val="0"/>
              <w:snapToGrid w:val="0"/>
              <w:jc w:val="center"/>
              <w:rPr>
                <w:kern w:val="0"/>
                <w:szCs w:val="21"/>
              </w:rPr>
            </w:pPr>
            <w:r>
              <w:rPr>
                <w:kern w:val="0"/>
                <w:szCs w:val="21"/>
              </w:rPr>
              <w:t>无</w:t>
            </w:r>
          </w:p>
        </w:tc>
      </w:tr>
      <w:tr w14:paraId="6C42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4" w:type="dxa"/>
            <w:vAlign w:val="center"/>
          </w:tcPr>
          <w:p w14:paraId="06E87625">
            <w:pPr>
              <w:autoSpaceDE w:val="0"/>
              <w:autoSpaceDN w:val="0"/>
              <w:adjustRightInd w:val="0"/>
              <w:snapToGrid w:val="0"/>
              <w:jc w:val="center"/>
              <w:rPr>
                <w:kern w:val="0"/>
                <w:szCs w:val="21"/>
              </w:rPr>
            </w:pPr>
            <w:r>
              <w:rPr>
                <w:szCs w:val="21"/>
              </w:rPr>
              <w:t>规划情况</w:t>
            </w:r>
          </w:p>
        </w:tc>
        <w:tc>
          <w:tcPr>
            <w:tcW w:w="8516" w:type="dxa"/>
            <w:gridSpan w:val="3"/>
            <w:vAlign w:val="center"/>
          </w:tcPr>
          <w:p w14:paraId="342DE2BE">
            <w:pPr>
              <w:autoSpaceDE w:val="0"/>
              <w:autoSpaceDN w:val="0"/>
              <w:adjustRightInd w:val="0"/>
              <w:snapToGrid w:val="0"/>
              <w:spacing w:line="360" w:lineRule="auto"/>
              <w:jc w:val="left"/>
              <w:rPr>
                <w:kern w:val="0"/>
                <w:sz w:val="24"/>
              </w:rPr>
            </w:pPr>
            <w:r>
              <w:rPr>
                <w:b/>
                <w:bCs/>
                <w:kern w:val="0"/>
                <w:sz w:val="24"/>
              </w:rPr>
              <w:t>规划名称：</w:t>
            </w:r>
            <w:r>
              <w:rPr>
                <w:rFonts w:hint="eastAsia"/>
                <w:kern w:val="0"/>
                <w:sz w:val="24"/>
              </w:rPr>
              <w:t>重庆涪陵工业园区；</w:t>
            </w:r>
          </w:p>
          <w:p w14:paraId="71E30CC7">
            <w:pPr>
              <w:autoSpaceDE w:val="0"/>
              <w:autoSpaceDN w:val="0"/>
              <w:adjustRightInd w:val="0"/>
              <w:snapToGrid w:val="0"/>
              <w:spacing w:line="360" w:lineRule="auto"/>
              <w:jc w:val="left"/>
              <w:rPr>
                <w:kern w:val="0"/>
                <w:sz w:val="24"/>
              </w:rPr>
            </w:pPr>
            <w:r>
              <w:rPr>
                <w:kern w:val="0"/>
                <w:sz w:val="24"/>
              </w:rPr>
              <w:t>审查机构</w:t>
            </w:r>
            <w:r>
              <w:rPr>
                <w:rFonts w:hint="eastAsia"/>
                <w:kern w:val="0"/>
                <w:sz w:val="24"/>
              </w:rPr>
              <w:t>：重庆市人民政府；</w:t>
            </w:r>
          </w:p>
          <w:p w14:paraId="3B544FD1">
            <w:pPr>
              <w:autoSpaceDE w:val="0"/>
              <w:autoSpaceDN w:val="0"/>
              <w:adjustRightInd w:val="0"/>
              <w:snapToGrid w:val="0"/>
              <w:spacing w:line="360" w:lineRule="auto"/>
              <w:rPr>
                <w:kern w:val="0"/>
                <w:szCs w:val="21"/>
              </w:rPr>
            </w:pPr>
            <w:r>
              <w:rPr>
                <w:rFonts w:hint="eastAsia"/>
                <w:kern w:val="0"/>
                <w:sz w:val="24"/>
              </w:rPr>
              <w:t>批复</w:t>
            </w:r>
            <w:r>
              <w:rPr>
                <w:kern w:val="0"/>
                <w:sz w:val="24"/>
              </w:rPr>
              <w:t>文件名称及文号</w:t>
            </w:r>
            <w:r>
              <w:rPr>
                <w:rFonts w:hint="eastAsia"/>
                <w:kern w:val="0"/>
                <w:sz w:val="24"/>
              </w:rPr>
              <w:t>：《关于同意长寿区等5个区县（市）设立特色工业园区的批复》（渝府〔2003〕62号）</w:t>
            </w:r>
          </w:p>
        </w:tc>
      </w:tr>
      <w:tr w14:paraId="1B53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4" w:type="dxa"/>
            <w:vAlign w:val="center"/>
          </w:tcPr>
          <w:p w14:paraId="5DCF0943">
            <w:pPr>
              <w:adjustRightInd w:val="0"/>
              <w:snapToGrid w:val="0"/>
              <w:jc w:val="center"/>
              <w:rPr>
                <w:kern w:val="0"/>
                <w:szCs w:val="21"/>
              </w:rPr>
            </w:pPr>
            <w:r>
              <w:rPr>
                <w:szCs w:val="21"/>
              </w:rPr>
              <w:t>规划环境影响评价情况</w:t>
            </w:r>
          </w:p>
        </w:tc>
        <w:tc>
          <w:tcPr>
            <w:tcW w:w="8516" w:type="dxa"/>
            <w:gridSpan w:val="3"/>
            <w:vAlign w:val="center"/>
          </w:tcPr>
          <w:p w14:paraId="37AA215A">
            <w:pPr>
              <w:autoSpaceDE w:val="0"/>
              <w:autoSpaceDN w:val="0"/>
              <w:adjustRightInd w:val="0"/>
              <w:snapToGrid w:val="0"/>
              <w:spacing w:line="360" w:lineRule="auto"/>
              <w:rPr>
                <w:b/>
                <w:kern w:val="0"/>
                <w:sz w:val="24"/>
              </w:rPr>
            </w:pPr>
            <w:r>
              <w:rPr>
                <w:b/>
                <w:kern w:val="0"/>
                <w:sz w:val="24"/>
              </w:rPr>
              <w:t>1、规划环境影响评价文件名称</w:t>
            </w:r>
          </w:p>
          <w:p w14:paraId="01A4C2C9">
            <w:pPr>
              <w:autoSpaceDE w:val="0"/>
              <w:autoSpaceDN w:val="0"/>
              <w:adjustRightInd w:val="0"/>
              <w:snapToGrid w:val="0"/>
              <w:spacing w:line="360" w:lineRule="auto"/>
              <w:rPr>
                <w:kern w:val="0"/>
                <w:sz w:val="24"/>
              </w:rPr>
            </w:pPr>
            <w:r>
              <w:rPr>
                <w:rFonts w:hint="eastAsia"/>
                <w:kern w:val="0"/>
                <w:sz w:val="24"/>
              </w:rPr>
              <w:t>重庆涪陵工业园区李渡组团规划环境影响报告书</w:t>
            </w:r>
          </w:p>
          <w:p w14:paraId="4E4F9FCB">
            <w:pPr>
              <w:autoSpaceDE w:val="0"/>
              <w:autoSpaceDN w:val="0"/>
              <w:adjustRightInd w:val="0"/>
              <w:snapToGrid w:val="0"/>
              <w:spacing w:line="360" w:lineRule="auto"/>
              <w:rPr>
                <w:b/>
                <w:kern w:val="0"/>
                <w:sz w:val="24"/>
              </w:rPr>
            </w:pPr>
            <w:r>
              <w:rPr>
                <w:b/>
                <w:kern w:val="0"/>
                <w:sz w:val="24"/>
              </w:rPr>
              <w:t>2、审查机关</w:t>
            </w:r>
          </w:p>
          <w:p w14:paraId="06581470">
            <w:pPr>
              <w:autoSpaceDE w:val="0"/>
              <w:autoSpaceDN w:val="0"/>
              <w:adjustRightInd w:val="0"/>
              <w:snapToGrid w:val="0"/>
              <w:spacing w:line="360" w:lineRule="auto"/>
              <w:rPr>
                <w:kern w:val="0"/>
                <w:sz w:val="24"/>
              </w:rPr>
            </w:pPr>
            <w:r>
              <w:rPr>
                <w:kern w:val="0"/>
                <w:sz w:val="24"/>
              </w:rPr>
              <w:t>重庆市生态环境局（原</w:t>
            </w:r>
            <w:r>
              <w:rPr>
                <w:bCs/>
                <w:sz w:val="24"/>
              </w:rPr>
              <w:t>重庆市环境保护局</w:t>
            </w:r>
            <w:r>
              <w:rPr>
                <w:kern w:val="0"/>
                <w:sz w:val="24"/>
              </w:rPr>
              <w:t>）</w:t>
            </w:r>
          </w:p>
          <w:p w14:paraId="78412395">
            <w:pPr>
              <w:autoSpaceDE w:val="0"/>
              <w:autoSpaceDN w:val="0"/>
              <w:adjustRightInd w:val="0"/>
              <w:snapToGrid w:val="0"/>
              <w:spacing w:line="360" w:lineRule="auto"/>
              <w:rPr>
                <w:b/>
                <w:kern w:val="0"/>
                <w:sz w:val="24"/>
              </w:rPr>
            </w:pPr>
            <w:r>
              <w:rPr>
                <w:b/>
                <w:kern w:val="0"/>
                <w:sz w:val="24"/>
              </w:rPr>
              <w:t>3、审查文件名称及文号</w:t>
            </w:r>
          </w:p>
          <w:p w14:paraId="31878169">
            <w:pPr>
              <w:autoSpaceDE w:val="0"/>
              <w:autoSpaceDN w:val="0"/>
              <w:adjustRightInd w:val="0"/>
              <w:snapToGrid w:val="0"/>
              <w:spacing w:line="360" w:lineRule="auto"/>
              <w:rPr>
                <w:kern w:val="0"/>
                <w:sz w:val="24"/>
              </w:rPr>
            </w:pPr>
            <w:r>
              <w:rPr>
                <w:bCs/>
                <w:sz w:val="24"/>
              </w:rPr>
              <w:t>重庆市环境保护局</w:t>
            </w:r>
            <w:r>
              <w:rPr>
                <w:rFonts w:hint="eastAsia"/>
                <w:bCs/>
                <w:sz w:val="24"/>
              </w:rPr>
              <w:t>关于重庆涪陵工业园区李渡组团规划环境影响报告书审查意见的函，</w:t>
            </w:r>
            <w:r>
              <w:rPr>
                <w:bCs/>
                <w:sz w:val="24"/>
              </w:rPr>
              <w:t>(</w:t>
            </w:r>
            <w:r>
              <w:rPr>
                <w:rFonts w:hint="eastAsia"/>
                <w:bCs/>
                <w:sz w:val="24"/>
              </w:rPr>
              <w:t>渝环函[2016]816号</w:t>
            </w:r>
            <w:r>
              <w:rPr>
                <w:bCs/>
                <w:sz w:val="24"/>
              </w:rPr>
              <w:t>)</w:t>
            </w:r>
          </w:p>
        </w:tc>
      </w:tr>
      <w:tr w14:paraId="408A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4" w:type="dxa"/>
            <w:vAlign w:val="center"/>
          </w:tcPr>
          <w:p w14:paraId="1C64428A">
            <w:pPr>
              <w:autoSpaceDE w:val="0"/>
              <w:autoSpaceDN w:val="0"/>
              <w:adjustRightInd w:val="0"/>
              <w:snapToGrid w:val="0"/>
              <w:jc w:val="center"/>
              <w:rPr>
                <w:kern w:val="0"/>
                <w:szCs w:val="21"/>
              </w:rPr>
            </w:pPr>
            <w:r>
              <w:rPr>
                <w:kern w:val="0"/>
                <w:szCs w:val="21"/>
              </w:rPr>
              <w:t>规划及规划环境</w:t>
            </w:r>
          </w:p>
          <w:p w14:paraId="11943126">
            <w:pPr>
              <w:autoSpaceDE w:val="0"/>
              <w:autoSpaceDN w:val="0"/>
              <w:adjustRightInd w:val="0"/>
              <w:snapToGrid w:val="0"/>
              <w:jc w:val="center"/>
              <w:rPr>
                <w:kern w:val="0"/>
                <w:szCs w:val="21"/>
              </w:rPr>
            </w:pPr>
            <w:r>
              <w:rPr>
                <w:kern w:val="0"/>
                <w:szCs w:val="21"/>
              </w:rPr>
              <w:t>影响评价符合性分析</w:t>
            </w:r>
          </w:p>
        </w:tc>
        <w:tc>
          <w:tcPr>
            <w:tcW w:w="8516" w:type="dxa"/>
            <w:gridSpan w:val="3"/>
            <w:vAlign w:val="center"/>
          </w:tcPr>
          <w:p w14:paraId="16AFF99C">
            <w:pPr>
              <w:autoSpaceDE w:val="0"/>
              <w:autoSpaceDN w:val="0"/>
              <w:adjustRightInd w:val="0"/>
              <w:snapToGrid w:val="0"/>
              <w:spacing w:line="360" w:lineRule="auto"/>
              <w:jc w:val="left"/>
              <w:rPr>
                <w:b/>
                <w:kern w:val="0"/>
                <w:sz w:val="24"/>
              </w:rPr>
            </w:pPr>
            <w:r>
              <w:rPr>
                <w:b/>
                <w:kern w:val="0"/>
                <w:sz w:val="24"/>
              </w:rPr>
              <w:t>1、规划用地符合性分析</w:t>
            </w:r>
          </w:p>
          <w:p w14:paraId="4B87B1D6">
            <w:pPr>
              <w:autoSpaceDE w:val="0"/>
              <w:autoSpaceDN w:val="0"/>
              <w:adjustRightInd w:val="0"/>
              <w:snapToGrid w:val="0"/>
              <w:spacing w:line="360" w:lineRule="auto"/>
              <w:ind w:firstLine="480" w:firstLineChars="200"/>
              <w:jc w:val="left"/>
              <w:rPr>
                <w:sz w:val="24"/>
              </w:rPr>
            </w:pPr>
            <w:r>
              <w:rPr>
                <w:sz w:val="24"/>
              </w:rPr>
              <w:t>项目</w:t>
            </w:r>
            <w:r>
              <w:rPr>
                <w:rFonts w:hint="eastAsia"/>
                <w:sz w:val="24"/>
              </w:rPr>
              <w:t>位于</w:t>
            </w:r>
            <w:r>
              <w:rPr>
                <w:rFonts w:hint="eastAsia"/>
                <w:kern w:val="0"/>
                <w:sz w:val="24"/>
              </w:rPr>
              <w:t>重庆涪陵工业园区李渡组团</w:t>
            </w:r>
            <w:r>
              <w:rPr>
                <w:sz w:val="24"/>
              </w:rPr>
              <w:t>，</w:t>
            </w:r>
            <w:r>
              <w:rPr>
                <w:rFonts w:hint="eastAsia"/>
                <w:sz w:val="24"/>
              </w:rPr>
              <w:t>项目占地面积</w:t>
            </w:r>
            <w:r>
              <w:rPr>
                <w:sz w:val="24"/>
              </w:rPr>
              <w:t>31598</w:t>
            </w:r>
            <w:r>
              <w:rPr>
                <w:rFonts w:hint="eastAsia"/>
                <w:sz w:val="24"/>
              </w:rPr>
              <w:t>m</w:t>
            </w:r>
            <w:r>
              <w:rPr>
                <w:sz w:val="24"/>
                <w:vertAlign w:val="superscript"/>
              </w:rPr>
              <w:t>2</w:t>
            </w:r>
            <w:r>
              <w:rPr>
                <w:rFonts w:hint="eastAsia"/>
                <w:sz w:val="24"/>
              </w:rPr>
              <w:t>，</w:t>
            </w:r>
            <w:r>
              <w:rPr>
                <w:kern w:val="0"/>
                <w:sz w:val="24"/>
              </w:rPr>
              <w:t>根据园区土地利用规划，项目占地为工业用地，故项目</w:t>
            </w:r>
            <w:r>
              <w:rPr>
                <w:sz w:val="24"/>
              </w:rPr>
              <w:t>符合园区土地利用规划。</w:t>
            </w:r>
          </w:p>
          <w:p w14:paraId="618E4F25">
            <w:pPr>
              <w:autoSpaceDE w:val="0"/>
              <w:autoSpaceDN w:val="0"/>
              <w:adjustRightInd w:val="0"/>
              <w:snapToGrid w:val="0"/>
              <w:spacing w:line="360" w:lineRule="auto"/>
              <w:jc w:val="left"/>
              <w:rPr>
                <w:b/>
                <w:sz w:val="24"/>
              </w:rPr>
            </w:pPr>
            <w:r>
              <w:rPr>
                <w:rFonts w:hint="eastAsia"/>
                <w:b/>
                <w:sz w:val="24"/>
              </w:rPr>
              <w:t>2、与重庆涪陵工业园区规划的符合性分析</w:t>
            </w:r>
          </w:p>
          <w:p w14:paraId="4FB6FF96">
            <w:pPr>
              <w:autoSpaceDE w:val="0"/>
              <w:autoSpaceDN w:val="0"/>
              <w:adjustRightInd w:val="0"/>
              <w:snapToGrid w:val="0"/>
              <w:spacing w:line="360" w:lineRule="auto"/>
              <w:ind w:firstLine="480" w:firstLineChars="200"/>
              <w:rPr>
                <w:kern w:val="0"/>
                <w:sz w:val="24"/>
              </w:rPr>
            </w:pPr>
            <w:r>
              <w:rPr>
                <w:rFonts w:hint="eastAsia"/>
                <w:kern w:val="0"/>
                <w:sz w:val="24"/>
              </w:rPr>
              <w:t>李渡组团工业片区规划</w:t>
            </w:r>
            <w:r>
              <w:rPr>
                <w:kern w:val="0"/>
                <w:sz w:val="24"/>
              </w:rPr>
              <w:t>规划情况如下：</w:t>
            </w:r>
          </w:p>
          <w:p w14:paraId="46B3AA52">
            <w:pPr>
              <w:autoSpaceDE w:val="0"/>
              <w:autoSpaceDN w:val="0"/>
              <w:adjustRightInd w:val="0"/>
              <w:snapToGrid w:val="0"/>
              <w:spacing w:line="360" w:lineRule="auto"/>
              <w:ind w:firstLine="480" w:firstLineChars="200"/>
              <w:rPr>
                <w:kern w:val="0"/>
                <w:sz w:val="24"/>
              </w:rPr>
            </w:pPr>
            <w:r>
              <w:rPr>
                <w:rFonts w:hint="eastAsia"/>
                <w:sz w:val="24"/>
              </w:rPr>
              <w:t>规划范围</w:t>
            </w:r>
            <w:r>
              <w:rPr>
                <w:sz w:val="24"/>
              </w:rPr>
              <w:t>：</w:t>
            </w:r>
            <w:r>
              <w:rPr>
                <w:rFonts w:hint="eastAsia"/>
                <w:sz w:val="24"/>
              </w:rPr>
              <w:t>规划范围为东以双溪河为界，北靠渝利铁路，南依长江黄金水道，西至院子山一带区域。规划区总面积32.48km</w:t>
            </w:r>
            <w:r>
              <w:rPr>
                <w:rFonts w:hint="eastAsia"/>
                <w:sz w:val="24"/>
                <w:vertAlign w:val="superscript"/>
              </w:rPr>
              <w:t>2</w:t>
            </w:r>
            <w:r>
              <w:rPr>
                <w:rFonts w:hint="eastAsia"/>
                <w:sz w:val="24"/>
              </w:rPr>
              <w:t>。</w:t>
            </w:r>
          </w:p>
          <w:p w14:paraId="23F97754">
            <w:pPr>
              <w:autoSpaceDE w:val="0"/>
              <w:autoSpaceDN w:val="0"/>
              <w:adjustRightInd w:val="0"/>
              <w:snapToGrid w:val="0"/>
              <w:spacing w:line="360" w:lineRule="auto"/>
              <w:ind w:firstLine="480" w:firstLineChars="200"/>
              <w:rPr>
                <w:sz w:val="24"/>
              </w:rPr>
            </w:pPr>
            <w:r>
              <w:rPr>
                <w:rFonts w:hint="eastAsia"/>
                <w:sz w:val="24"/>
              </w:rPr>
              <w:t>功能定位</w:t>
            </w:r>
            <w:r>
              <w:rPr>
                <w:sz w:val="24"/>
              </w:rPr>
              <w:t>：</w:t>
            </w:r>
            <w:r>
              <w:rPr>
                <w:rFonts w:hint="eastAsia"/>
                <w:sz w:val="24"/>
              </w:rPr>
              <w:t>规划区的用地功能主要以工业用地为主，以装备制造（汽车）、食品医药、电子信息、材料等为四大主导产业用地，配套建设仓储物流以及功能完善的商务等管理服务设施。</w:t>
            </w:r>
          </w:p>
          <w:p w14:paraId="6DFEAE11">
            <w:pPr>
              <w:autoSpaceDE w:val="0"/>
              <w:autoSpaceDN w:val="0"/>
              <w:adjustRightInd w:val="0"/>
              <w:snapToGrid w:val="0"/>
              <w:spacing w:line="360" w:lineRule="auto"/>
              <w:ind w:firstLine="480" w:firstLineChars="200"/>
              <w:rPr>
                <w:rStyle w:val="164"/>
                <w:rFonts w:hint="default" w:ascii="Times New Roman" w:hAnsi="Times New Roman" w:eastAsia="宋体"/>
                <w:color w:val="auto"/>
                <w:sz w:val="24"/>
                <w:szCs w:val="24"/>
              </w:rPr>
            </w:pPr>
            <w:r>
              <w:rPr>
                <w:rStyle w:val="164"/>
                <w:rFonts w:hint="default" w:ascii="Times New Roman" w:hAnsi="Times New Roman" w:eastAsia="宋体"/>
                <w:color w:val="auto"/>
                <w:sz w:val="24"/>
                <w:szCs w:val="24"/>
              </w:rPr>
              <w:t>规划目标</w:t>
            </w:r>
          </w:p>
          <w:p w14:paraId="5636BB6B">
            <w:pPr>
              <w:autoSpaceDE w:val="0"/>
              <w:autoSpaceDN w:val="0"/>
              <w:adjustRightInd w:val="0"/>
              <w:snapToGrid w:val="0"/>
              <w:spacing w:line="360" w:lineRule="auto"/>
              <w:ind w:firstLine="480" w:firstLineChars="200"/>
              <w:rPr>
                <w:rStyle w:val="164"/>
                <w:rFonts w:hint="default" w:ascii="Times New Roman" w:hAnsi="Times New Roman" w:eastAsia="宋体"/>
                <w:color w:val="auto"/>
                <w:sz w:val="24"/>
                <w:szCs w:val="24"/>
              </w:rPr>
            </w:pPr>
            <w:r>
              <w:rPr>
                <w:rStyle w:val="164"/>
                <w:rFonts w:hint="default" w:ascii="Times New Roman" w:hAnsi="Times New Roman" w:eastAsia="宋体"/>
                <w:color w:val="auto"/>
                <w:sz w:val="24"/>
                <w:szCs w:val="24"/>
              </w:rPr>
              <w:t>以建设国家级经济技术开发区、千亿级特色工业园区为目标，围绕现有产业布局，增粗拉长产业链条，推进产业集聚和优化升级，增强企业的竞争力和抗风险能力，培育和壮大四大主导产业集群。规划至2020年，成为重庆综合产业集聚区的重要增长极、在全国具有一定影响力的现代工业园区，工业总产值达到1500亿元。</w:t>
            </w:r>
          </w:p>
          <w:p w14:paraId="10706F24">
            <w:pPr>
              <w:autoSpaceDE w:val="0"/>
              <w:autoSpaceDN w:val="0"/>
              <w:adjustRightInd w:val="0"/>
              <w:snapToGrid w:val="0"/>
              <w:spacing w:line="360" w:lineRule="auto"/>
              <w:ind w:firstLine="480" w:firstLineChars="200"/>
              <w:rPr>
                <w:rStyle w:val="164"/>
                <w:rFonts w:hint="default" w:ascii="Times New Roman" w:hAnsi="Times New Roman" w:eastAsia="宋体"/>
                <w:color w:val="auto"/>
                <w:sz w:val="24"/>
                <w:szCs w:val="24"/>
              </w:rPr>
            </w:pPr>
            <w:r>
              <w:rPr>
                <w:rStyle w:val="164"/>
                <w:rFonts w:hint="default" w:ascii="Times New Roman" w:hAnsi="Times New Roman" w:eastAsia="宋体"/>
                <w:color w:val="auto"/>
                <w:sz w:val="24"/>
                <w:szCs w:val="24"/>
              </w:rPr>
              <w:t>（一）壮大装备制造（汽车）产业集群。以华晨鑫源、东本工业（盛时达）等整车企业依托，借助与两江新区汽车工业园区的密切联系，引进优质整车、专用车企业，集聚一大批汽车零部件企业，发展壮大汽车产业。建设汽车配套产业园，打造极具自身特色的汽车产业集群。积极发展新能源汽车整车及电池等零部件行业，重点跟踪新能源汽车项目，以此为基础实现汽车产业的换挡升级，力争电动汽车的发展在重庆市有一席之地。同时借助中石化涪陵页岩气国家级示范基地建设，加快推进页岩气装备制造产业项目及其配套项目落户新区，壮大以“一台车”为引领的装备制造（汽车）产业。</w:t>
            </w:r>
          </w:p>
          <w:p w14:paraId="30BB1BDE">
            <w:pPr>
              <w:autoSpaceDE w:val="0"/>
              <w:autoSpaceDN w:val="0"/>
              <w:adjustRightInd w:val="0"/>
              <w:snapToGrid w:val="0"/>
              <w:spacing w:line="360" w:lineRule="auto"/>
              <w:ind w:firstLine="480" w:firstLineChars="200"/>
              <w:rPr>
                <w:rStyle w:val="164"/>
                <w:rFonts w:hint="default" w:ascii="Times New Roman" w:hAnsi="Times New Roman" w:eastAsia="宋体"/>
                <w:color w:val="auto"/>
                <w:sz w:val="24"/>
                <w:szCs w:val="24"/>
              </w:rPr>
            </w:pPr>
            <w:r>
              <w:rPr>
                <w:rStyle w:val="164"/>
                <w:rFonts w:hint="default" w:ascii="Times New Roman" w:hAnsi="Times New Roman" w:eastAsia="宋体"/>
                <w:color w:val="auto"/>
                <w:sz w:val="24"/>
                <w:szCs w:val="24"/>
              </w:rPr>
              <w:t>（二）夯实材料加工基地。加强对万达薄板的服务和培育力度，依托高端钢材研究院，增强汽车材料与主城汽车行业融合度，延长材料产业链条。围绕万达薄板引进白色家电巨头入驻园区，形成重庆市汽车及家电材料重要加工基地，引导钢铁、铝材向产业链后端延伸，夯实以“一张钢板”为代表的材料产业集群。</w:t>
            </w:r>
          </w:p>
          <w:p w14:paraId="069002DC">
            <w:pPr>
              <w:autoSpaceDE w:val="0"/>
              <w:autoSpaceDN w:val="0"/>
              <w:adjustRightInd w:val="0"/>
              <w:snapToGrid w:val="0"/>
              <w:spacing w:line="360" w:lineRule="auto"/>
              <w:ind w:firstLine="480" w:firstLineChars="200"/>
              <w:rPr>
                <w:rStyle w:val="164"/>
                <w:rFonts w:hint="default" w:ascii="Times New Roman" w:hAnsi="Times New Roman" w:eastAsia="宋体"/>
                <w:color w:val="auto"/>
                <w:sz w:val="24"/>
                <w:szCs w:val="24"/>
              </w:rPr>
            </w:pPr>
            <w:r>
              <w:rPr>
                <w:rStyle w:val="164"/>
                <w:rFonts w:hint="default" w:ascii="Times New Roman" w:hAnsi="Times New Roman" w:eastAsia="宋体"/>
                <w:color w:val="auto"/>
                <w:sz w:val="24"/>
                <w:szCs w:val="24"/>
              </w:rPr>
              <w:t>（三）做强食品医药产业。以涪陵烟厂、太极集团、葵花药业扩能迁建为契机，加快华兰生物二期疫苗等重点骨干项目建设，力争引进基因芯片、高端医疗器械等战略性新兴产业，深度打造国家新型食品产业示范基地和重庆市级重点医药基地。同时加强培育干细胞等具有行业代表性、引领性医药项目，继续保持医药产业的传统优势，做强以“一盒烟一包药”为代表的食品医药产业集群。</w:t>
            </w:r>
          </w:p>
          <w:p w14:paraId="06759F1B">
            <w:pPr>
              <w:autoSpaceDE w:val="0"/>
              <w:autoSpaceDN w:val="0"/>
              <w:adjustRightInd w:val="0"/>
              <w:snapToGrid w:val="0"/>
              <w:spacing w:line="360" w:lineRule="auto"/>
              <w:jc w:val="left"/>
              <w:rPr>
                <w:b/>
                <w:sz w:val="24"/>
              </w:rPr>
            </w:pPr>
            <w:r>
              <w:rPr>
                <w:rStyle w:val="164"/>
                <w:rFonts w:hint="default" w:ascii="Times New Roman" w:hAnsi="Times New Roman" w:eastAsia="宋体"/>
                <w:color w:val="auto"/>
                <w:sz w:val="24"/>
                <w:szCs w:val="24"/>
              </w:rPr>
              <w:t>（四）加快电子信息集聚。为将电子信息产业进一步培育壮大，园区以智能终端设备、笔电配套、LED节能电源为重点，抢抓重庆市打造万亿级笔电配套产业的机遇，全力促进金通威、微天下、福维科技等智能终端设备生产企业早日建成投产，力促华通电脑、品鉴科技、仓兴达、深特发等企业达产。同时瞄准台湾、长三角、珠三角地区西进企业，吸引笔电及LED节能电源、PCB上下游生产企业入驻园区，争取光电产业项目签约落地；依托通信运营企业，促进传感器设备制造、系统集成、终端运用产业链发展，争取物联网、大数据、智能化高端制造、工业机器人等行业优势企业落地。依托北航产业园发展芯片、电子显微镜等优势产业，做大以“一块电脑主板”为代表的电子信息产业集群。</w:t>
            </w:r>
          </w:p>
          <w:p w14:paraId="0A56801D">
            <w:pPr>
              <w:autoSpaceDE w:val="0"/>
              <w:autoSpaceDN w:val="0"/>
              <w:adjustRightInd w:val="0"/>
              <w:snapToGrid w:val="0"/>
              <w:spacing w:line="360" w:lineRule="auto"/>
              <w:ind w:firstLine="480" w:firstLineChars="200"/>
              <w:jc w:val="left"/>
              <w:rPr>
                <w:kern w:val="0"/>
                <w:sz w:val="24"/>
              </w:rPr>
            </w:pPr>
            <w:r>
              <w:rPr>
                <w:rFonts w:hint="eastAsia"/>
                <w:kern w:val="0"/>
                <w:sz w:val="24"/>
              </w:rPr>
              <w:t>本项目为汽车零部件制造项目，符合规划中“</w:t>
            </w:r>
            <w:r>
              <w:rPr>
                <w:rStyle w:val="164"/>
                <w:rFonts w:hint="default" w:ascii="Times New Roman" w:hAnsi="Times New Roman" w:eastAsia="宋体"/>
                <w:color w:val="auto"/>
                <w:sz w:val="24"/>
                <w:szCs w:val="24"/>
              </w:rPr>
              <w:t>壮大装备制造（汽车）产业集群。以华晨鑫源、东本工业（盛时达）等整车企业依托，借助与两江新区汽车工业园区的密切联系，引进优质整车、专用车企业，集聚一大批汽车零部件企业，发展壮大汽车产业。建设汽车配套产业园，打造极具自身特色的汽车产业集群</w:t>
            </w:r>
            <w:r>
              <w:rPr>
                <w:rFonts w:hint="eastAsia"/>
                <w:kern w:val="0"/>
                <w:sz w:val="24"/>
              </w:rPr>
              <w:t>”的要求。</w:t>
            </w:r>
          </w:p>
          <w:p w14:paraId="3030ECD0">
            <w:pPr>
              <w:autoSpaceDE w:val="0"/>
              <w:autoSpaceDN w:val="0"/>
              <w:adjustRightInd w:val="0"/>
              <w:snapToGrid w:val="0"/>
              <w:spacing w:line="360" w:lineRule="auto"/>
              <w:jc w:val="left"/>
              <w:rPr>
                <w:b/>
                <w:kern w:val="0"/>
                <w:sz w:val="24"/>
              </w:rPr>
            </w:pPr>
            <w:r>
              <w:rPr>
                <w:b/>
                <w:kern w:val="0"/>
                <w:sz w:val="24"/>
              </w:rPr>
              <w:t>3、规划环评结论符合性分析</w:t>
            </w:r>
          </w:p>
          <w:p w14:paraId="4F119713">
            <w:pPr>
              <w:autoSpaceDE w:val="0"/>
              <w:autoSpaceDN w:val="0"/>
              <w:adjustRightInd w:val="0"/>
              <w:snapToGrid w:val="0"/>
              <w:spacing w:line="360" w:lineRule="auto"/>
              <w:ind w:firstLine="480" w:firstLineChars="200"/>
              <w:rPr>
                <w:rStyle w:val="164"/>
                <w:rFonts w:hint="default" w:ascii="Times New Roman" w:hAnsi="Times New Roman" w:eastAsia="宋体"/>
                <w:color w:val="auto"/>
                <w:sz w:val="24"/>
                <w:szCs w:val="24"/>
              </w:rPr>
            </w:pPr>
            <w:r>
              <w:rPr>
                <w:rFonts w:hint="eastAsia"/>
                <w:kern w:val="0"/>
                <w:sz w:val="24"/>
              </w:rPr>
              <w:t>项目位于重庆涪陵工业园区李渡组团，根据《重庆涪陵工业园区李渡组团规划环境影响报告书》，本项目与李渡组团工业片区规划规划情况如下规划环评结论的符合性分析如下：</w:t>
            </w:r>
          </w:p>
          <w:p w14:paraId="7AACFB00">
            <w:pPr>
              <w:adjustRightInd w:val="0"/>
              <w:snapToGrid w:val="0"/>
              <w:spacing w:before="24" w:beforeLines="10" w:line="360" w:lineRule="auto"/>
              <w:ind w:firstLine="480" w:firstLineChars="200"/>
              <w:rPr>
                <w:snapToGrid w:val="0"/>
                <w:kern w:val="0"/>
                <w:sz w:val="24"/>
              </w:rPr>
            </w:pPr>
            <w:r>
              <w:rPr>
                <w:rFonts w:hint="eastAsia"/>
                <w:snapToGrid w:val="0"/>
                <w:kern w:val="0"/>
                <w:sz w:val="24"/>
              </w:rPr>
              <w:t>（1）大气环境</w:t>
            </w:r>
          </w:p>
          <w:p w14:paraId="096621C9">
            <w:pPr>
              <w:adjustRightInd w:val="0"/>
              <w:snapToGrid w:val="0"/>
              <w:spacing w:before="24" w:beforeLines="10" w:line="360" w:lineRule="auto"/>
              <w:ind w:firstLine="480" w:firstLineChars="200"/>
              <w:rPr>
                <w:snapToGrid w:val="0"/>
                <w:kern w:val="0"/>
                <w:sz w:val="24"/>
              </w:rPr>
            </w:pPr>
            <w:r>
              <w:rPr>
                <w:rFonts w:hint="eastAsia"/>
                <w:snapToGrid w:val="0"/>
                <w:kern w:val="0"/>
                <w:sz w:val="24"/>
              </w:rPr>
              <w:t>大气环境应满足《环境空气质量标准》，按空气环境质量二级保护标准执行。</w:t>
            </w:r>
          </w:p>
          <w:p w14:paraId="62E094BE">
            <w:pPr>
              <w:adjustRightInd w:val="0"/>
              <w:snapToGrid w:val="0"/>
              <w:spacing w:before="24" w:beforeLines="10" w:line="360" w:lineRule="auto"/>
              <w:ind w:firstLine="480" w:firstLineChars="200"/>
              <w:rPr>
                <w:snapToGrid w:val="0"/>
                <w:kern w:val="0"/>
                <w:sz w:val="24"/>
              </w:rPr>
            </w:pPr>
            <w:r>
              <w:rPr>
                <w:rFonts w:hint="eastAsia"/>
                <w:snapToGrid w:val="0"/>
                <w:kern w:val="0"/>
                <w:sz w:val="24"/>
              </w:rPr>
              <w:t>（2）地面水环境</w:t>
            </w:r>
          </w:p>
          <w:p w14:paraId="56368507">
            <w:pPr>
              <w:adjustRightInd w:val="0"/>
              <w:snapToGrid w:val="0"/>
              <w:spacing w:before="24" w:beforeLines="10" w:line="360" w:lineRule="auto"/>
              <w:ind w:firstLine="480" w:firstLineChars="200"/>
              <w:rPr>
                <w:snapToGrid w:val="0"/>
                <w:kern w:val="0"/>
                <w:sz w:val="24"/>
              </w:rPr>
            </w:pPr>
            <w:r>
              <w:rPr>
                <w:rFonts w:hint="eastAsia"/>
                <w:snapToGrid w:val="0"/>
                <w:kern w:val="0"/>
                <w:sz w:val="24"/>
              </w:rPr>
              <w:t>按区域水环境保护要求，达到Ⅲ类地面水水质保护标准。各企业工业污水达标排放。雨污分流，污水集中处理。</w:t>
            </w:r>
          </w:p>
          <w:p w14:paraId="443834E7">
            <w:pPr>
              <w:adjustRightInd w:val="0"/>
              <w:snapToGrid w:val="0"/>
              <w:spacing w:before="24" w:beforeLines="10" w:line="360" w:lineRule="auto"/>
              <w:ind w:firstLine="480" w:firstLineChars="200"/>
              <w:rPr>
                <w:snapToGrid w:val="0"/>
                <w:kern w:val="0"/>
                <w:sz w:val="24"/>
              </w:rPr>
            </w:pPr>
            <w:r>
              <w:rPr>
                <w:rFonts w:hint="eastAsia"/>
                <w:snapToGrid w:val="0"/>
                <w:kern w:val="0"/>
                <w:sz w:val="24"/>
              </w:rPr>
              <w:t>（3）声环境</w:t>
            </w:r>
          </w:p>
          <w:p w14:paraId="302788E9">
            <w:pPr>
              <w:adjustRightInd w:val="0"/>
              <w:snapToGrid w:val="0"/>
              <w:spacing w:before="24" w:beforeLines="10" w:line="360" w:lineRule="auto"/>
              <w:ind w:firstLine="480" w:firstLineChars="200"/>
              <w:rPr>
                <w:snapToGrid w:val="0"/>
                <w:kern w:val="0"/>
                <w:sz w:val="24"/>
              </w:rPr>
            </w:pPr>
            <w:r>
              <w:rPr>
                <w:rFonts w:hint="eastAsia"/>
                <w:snapToGrid w:val="0"/>
                <w:kern w:val="0"/>
                <w:sz w:val="24"/>
              </w:rPr>
              <w:t>加强建筑施工的噪声、交通噪声和社会生活噪声控制。规划范围内噪声控制应满足《声环境质量标准》的要求。</w:t>
            </w:r>
          </w:p>
          <w:p w14:paraId="251907FA">
            <w:pPr>
              <w:adjustRightInd w:val="0"/>
              <w:snapToGrid w:val="0"/>
              <w:spacing w:before="24" w:beforeLines="10" w:line="360" w:lineRule="auto"/>
              <w:ind w:firstLine="480" w:firstLineChars="200"/>
              <w:rPr>
                <w:snapToGrid w:val="0"/>
                <w:kern w:val="0"/>
                <w:sz w:val="24"/>
              </w:rPr>
            </w:pPr>
            <w:r>
              <w:rPr>
                <w:rFonts w:hint="eastAsia"/>
                <w:snapToGrid w:val="0"/>
                <w:kern w:val="0"/>
                <w:sz w:val="24"/>
              </w:rPr>
              <w:t>（4）固体废物</w:t>
            </w:r>
          </w:p>
          <w:p w14:paraId="50D566F3">
            <w:pPr>
              <w:adjustRightInd w:val="0"/>
              <w:snapToGrid w:val="0"/>
              <w:spacing w:before="24" w:beforeLines="10" w:line="360" w:lineRule="auto"/>
              <w:ind w:firstLine="480" w:firstLineChars="200"/>
              <w:rPr>
                <w:snapToGrid w:val="0"/>
                <w:kern w:val="0"/>
                <w:sz w:val="24"/>
              </w:rPr>
            </w:pPr>
            <w:r>
              <w:rPr>
                <w:rFonts w:hint="eastAsia"/>
                <w:snapToGrid w:val="0"/>
                <w:kern w:val="0"/>
                <w:sz w:val="24"/>
              </w:rPr>
              <w:t>按照城市生活垃圾无害化、减量化、资源化的原则，对生活垃圾采取分类收集，集中处理。工业和医疗垃圾单独处理，减少废弃和增加回收利用。加大危险固废安全处置。</w:t>
            </w:r>
          </w:p>
          <w:p w14:paraId="3AD3C8A8">
            <w:pPr>
              <w:adjustRightInd w:val="0"/>
              <w:snapToGrid w:val="0"/>
              <w:spacing w:before="24" w:beforeLines="10" w:line="360" w:lineRule="auto"/>
              <w:ind w:firstLine="480" w:firstLineChars="200"/>
              <w:rPr>
                <w:snapToGrid w:val="0"/>
                <w:kern w:val="0"/>
                <w:sz w:val="24"/>
              </w:rPr>
            </w:pPr>
            <w:r>
              <w:rPr>
                <w:rFonts w:hint="eastAsia"/>
                <w:snapToGrid w:val="0"/>
                <w:kern w:val="0"/>
                <w:sz w:val="24"/>
              </w:rPr>
              <w:t>（5）电磁辐射和光污染</w:t>
            </w:r>
          </w:p>
          <w:p w14:paraId="1A5E3DA6">
            <w:pPr>
              <w:autoSpaceDE w:val="0"/>
              <w:autoSpaceDN w:val="0"/>
              <w:adjustRightInd w:val="0"/>
              <w:snapToGrid w:val="0"/>
              <w:spacing w:line="360" w:lineRule="auto"/>
              <w:ind w:firstLine="480" w:firstLineChars="200"/>
              <w:rPr>
                <w:snapToGrid w:val="0"/>
                <w:kern w:val="0"/>
                <w:sz w:val="24"/>
              </w:rPr>
            </w:pPr>
            <w:r>
              <w:rPr>
                <w:rFonts w:hint="eastAsia"/>
                <w:snapToGrid w:val="0"/>
                <w:kern w:val="0"/>
                <w:sz w:val="24"/>
              </w:rPr>
              <w:t>规划区内严禁设置较大电磁辐射污染的设施。建筑外墙不应设置大面积玻璃幕墙，夜间照明和灯饰工程不应影响区内居民休息。</w:t>
            </w:r>
          </w:p>
          <w:p w14:paraId="62C434B4">
            <w:pPr>
              <w:autoSpaceDE w:val="0"/>
              <w:autoSpaceDN w:val="0"/>
              <w:adjustRightInd w:val="0"/>
              <w:snapToGrid w:val="0"/>
              <w:spacing w:line="360" w:lineRule="auto"/>
              <w:ind w:firstLine="480" w:firstLineChars="200"/>
              <w:rPr>
                <w:sz w:val="24"/>
              </w:rPr>
            </w:pPr>
            <w:r>
              <w:rPr>
                <w:sz w:val="24"/>
              </w:rPr>
              <w:t>项目与规划环评符合性分析见表1-1</w:t>
            </w:r>
            <w:r>
              <w:rPr>
                <w:rFonts w:hint="eastAsia"/>
                <w:sz w:val="24"/>
              </w:rPr>
              <w:t>、</w:t>
            </w:r>
            <w:r>
              <w:rPr>
                <w:sz w:val="24"/>
              </w:rPr>
              <w:t>表</w:t>
            </w:r>
            <w:r>
              <w:rPr>
                <w:rFonts w:hint="eastAsia"/>
                <w:sz w:val="24"/>
              </w:rPr>
              <w:t>1</w:t>
            </w:r>
            <w:r>
              <w:rPr>
                <w:sz w:val="24"/>
              </w:rPr>
              <w:t>-2。</w:t>
            </w:r>
          </w:p>
          <w:p w14:paraId="31132FC8">
            <w:pPr>
              <w:autoSpaceDE w:val="0"/>
              <w:autoSpaceDN w:val="0"/>
              <w:adjustRightInd w:val="0"/>
              <w:snapToGrid w:val="0"/>
              <w:spacing w:line="360" w:lineRule="auto"/>
              <w:jc w:val="center"/>
              <w:rPr>
                <w:sz w:val="24"/>
              </w:rPr>
            </w:pPr>
            <w:r>
              <w:rPr>
                <w:sz w:val="24"/>
              </w:rPr>
              <w:t>表1-1  项目与规划环评符合性分析</w:t>
            </w:r>
            <w:r>
              <w:rPr>
                <w:rFonts w:hint="eastAsia"/>
                <w:sz w:val="24"/>
              </w:rPr>
              <w:t>（摘录）</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4203"/>
              <w:gridCol w:w="2268"/>
              <w:gridCol w:w="925"/>
            </w:tblGrid>
            <w:tr w14:paraId="3585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14:paraId="766C6BFF">
                  <w:pPr>
                    <w:pStyle w:val="42"/>
                    <w:spacing w:beforeLines="0" w:afterLines="0" w:line="240" w:lineRule="auto"/>
                    <w:rPr>
                      <w:rFonts w:ascii="Times New Roman"/>
                      <w:szCs w:val="21"/>
                    </w:rPr>
                  </w:pPr>
                  <w:r>
                    <w:rPr>
                      <w:rFonts w:ascii="Times New Roman"/>
                      <w:szCs w:val="21"/>
                    </w:rPr>
                    <w:t>分类</w:t>
                  </w:r>
                </w:p>
              </w:tc>
              <w:tc>
                <w:tcPr>
                  <w:tcW w:w="2535" w:type="pct"/>
                  <w:tcBorders>
                    <w:top w:val="single" w:color="auto" w:sz="4" w:space="0"/>
                    <w:left w:val="single" w:color="auto" w:sz="4" w:space="0"/>
                    <w:bottom w:val="single" w:color="auto" w:sz="4" w:space="0"/>
                    <w:right w:val="single" w:color="auto" w:sz="4" w:space="0"/>
                  </w:tcBorders>
                  <w:vAlign w:val="center"/>
                </w:tcPr>
                <w:p w14:paraId="2D6266F5">
                  <w:pPr>
                    <w:pStyle w:val="42"/>
                    <w:spacing w:beforeLines="0" w:afterLines="0" w:line="240" w:lineRule="auto"/>
                    <w:rPr>
                      <w:rFonts w:ascii="Times New Roman"/>
                      <w:szCs w:val="21"/>
                    </w:rPr>
                  </w:pPr>
                  <w:r>
                    <w:rPr>
                      <w:rFonts w:ascii="Times New Roman"/>
                      <w:szCs w:val="21"/>
                    </w:rPr>
                    <w:t>管控清单</w:t>
                  </w:r>
                </w:p>
              </w:tc>
              <w:tc>
                <w:tcPr>
                  <w:tcW w:w="1368" w:type="pct"/>
                  <w:tcBorders>
                    <w:top w:val="single" w:color="auto" w:sz="4" w:space="0"/>
                    <w:left w:val="single" w:color="auto" w:sz="4" w:space="0"/>
                    <w:bottom w:val="single" w:color="auto" w:sz="4" w:space="0"/>
                    <w:right w:val="single" w:color="auto" w:sz="4" w:space="0"/>
                  </w:tcBorders>
                  <w:vAlign w:val="center"/>
                </w:tcPr>
                <w:p w14:paraId="1A57F2C7">
                  <w:pPr>
                    <w:pStyle w:val="42"/>
                    <w:spacing w:beforeLines="0" w:afterLines="0" w:line="240" w:lineRule="auto"/>
                    <w:rPr>
                      <w:rFonts w:ascii="Times New Roman"/>
                      <w:szCs w:val="21"/>
                    </w:rPr>
                  </w:pPr>
                  <w:r>
                    <w:rPr>
                      <w:rFonts w:hint="eastAsia" w:ascii="Times New Roman"/>
                      <w:szCs w:val="21"/>
                    </w:rPr>
                    <w:t>本项目情况</w:t>
                  </w:r>
                </w:p>
              </w:tc>
              <w:tc>
                <w:tcPr>
                  <w:tcW w:w="558" w:type="pct"/>
                  <w:tcBorders>
                    <w:top w:val="single" w:color="auto" w:sz="4" w:space="0"/>
                    <w:left w:val="single" w:color="auto" w:sz="4" w:space="0"/>
                    <w:bottom w:val="single" w:color="auto" w:sz="4" w:space="0"/>
                    <w:right w:val="single" w:color="auto" w:sz="4" w:space="0"/>
                  </w:tcBorders>
                  <w:vAlign w:val="center"/>
                </w:tcPr>
                <w:p w14:paraId="6559975B">
                  <w:pPr>
                    <w:pStyle w:val="42"/>
                    <w:spacing w:beforeLines="0" w:afterLines="0" w:line="240" w:lineRule="auto"/>
                    <w:rPr>
                      <w:rFonts w:ascii="Times New Roman"/>
                      <w:szCs w:val="21"/>
                    </w:rPr>
                  </w:pPr>
                  <w:r>
                    <w:rPr>
                      <w:rFonts w:hint="eastAsia" w:ascii="Times New Roman"/>
                      <w:szCs w:val="21"/>
                    </w:rPr>
                    <w:t>符合性</w:t>
                  </w:r>
                </w:p>
              </w:tc>
            </w:tr>
            <w:tr w14:paraId="64D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vMerge w:val="restart"/>
                  <w:tcBorders>
                    <w:top w:val="single" w:color="auto" w:sz="4" w:space="0"/>
                    <w:left w:val="single" w:color="auto" w:sz="4" w:space="0"/>
                    <w:right w:val="single" w:color="auto" w:sz="4" w:space="0"/>
                  </w:tcBorders>
                  <w:vAlign w:val="center"/>
                </w:tcPr>
                <w:p w14:paraId="605FB1A2">
                  <w:pPr>
                    <w:pStyle w:val="42"/>
                    <w:spacing w:beforeLines="0" w:afterLines="0" w:line="240" w:lineRule="auto"/>
                    <w:rPr>
                      <w:rFonts w:ascii="Times New Roman"/>
                      <w:szCs w:val="21"/>
                    </w:rPr>
                  </w:pPr>
                  <w:r>
                    <w:rPr>
                      <w:szCs w:val="21"/>
                    </w:rPr>
                    <w:t>环境准入</w:t>
                  </w:r>
                </w:p>
              </w:tc>
              <w:tc>
                <w:tcPr>
                  <w:tcW w:w="2535" w:type="pct"/>
                  <w:tcBorders>
                    <w:top w:val="single" w:color="auto" w:sz="4" w:space="0"/>
                    <w:left w:val="single" w:color="auto" w:sz="4" w:space="0"/>
                    <w:right w:val="single" w:color="auto" w:sz="4" w:space="0"/>
                  </w:tcBorders>
                  <w:vAlign w:val="center"/>
                </w:tcPr>
                <w:p w14:paraId="0D854F6C">
                  <w:pPr>
                    <w:pStyle w:val="42"/>
                    <w:spacing w:before="24" w:after="24"/>
                    <w:jc w:val="both"/>
                    <w:rPr>
                      <w:rFonts w:ascii="Times New Roman"/>
                      <w:szCs w:val="21"/>
                    </w:rPr>
                  </w:pPr>
                  <w:r>
                    <w:rPr>
                      <w:rFonts w:hint="eastAsia" w:ascii="Times New Roman"/>
                      <w:szCs w:val="21"/>
                    </w:rPr>
                    <w:t>（1）所有建设项目在环境保护方面要做到高起点、高标准、严要求，实行严格的污染物排放总量控制制度和排污许可制度；</w:t>
                  </w:r>
                </w:p>
              </w:tc>
              <w:tc>
                <w:tcPr>
                  <w:tcW w:w="1368" w:type="pct"/>
                  <w:tcBorders>
                    <w:top w:val="single" w:color="auto" w:sz="4" w:space="0"/>
                    <w:left w:val="single" w:color="auto" w:sz="4" w:space="0"/>
                    <w:bottom w:val="single" w:color="auto" w:sz="4" w:space="0"/>
                    <w:right w:val="single" w:color="auto" w:sz="4" w:space="0"/>
                  </w:tcBorders>
                  <w:vAlign w:val="center"/>
                </w:tcPr>
                <w:p w14:paraId="2E9116E4">
                  <w:pPr>
                    <w:pStyle w:val="42"/>
                    <w:spacing w:beforeLines="0" w:afterLines="0" w:line="240" w:lineRule="auto"/>
                    <w:jc w:val="both"/>
                    <w:rPr>
                      <w:rFonts w:ascii="Times New Roman"/>
                      <w:szCs w:val="21"/>
                    </w:rPr>
                  </w:pPr>
                  <w:r>
                    <w:rPr>
                      <w:rFonts w:hint="eastAsia" w:ascii="Times New Roman"/>
                      <w:szCs w:val="21"/>
                    </w:rPr>
                    <w:t>项目严格执行“三同时”制度，废气、废水污染物经治理后实现达标排放，固体废物分类收集，危险废物暂存于危废暂存间内，委托有资质的单位进行处置，可在环境保护方面做到高起点、高标准、严要求。项目投产后严格执行污染物排放总量控制制度和排污许可制度</w:t>
                  </w:r>
                </w:p>
              </w:tc>
              <w:tc>
                <w:tcPr>
                  <w:tcW w:w="558" w:type="pct"/>
                  <w:tcBorders>
                    <w:top w:val="single" w:color="auto" w:sz="4" w:space="0"/>
                    <w:left w:val="single" w:color="auto" w:sz="4" w:space="0"/>
                    <w:right w:val="single" w:color="auto" w:sz="4" w:space="0"/>
                  </w:tcBorders>
                  <w:vAlign w:val="center"/>
                </w:tcPr>
                <w:p w14:paraId="57CA82C7">
                  <w:pPr>
                    <w:pStyle w:val="42"/>
                    <w:spacing w:beforeLines="0" w:afterLines="0" w:line="240" w:lineRule="auto"/>
                    <w:rPr>
                      <w:rFonts w:ascii="Times New Roman"/>
                      <w:szCs w:val="21"/>
                    </w:rPr>
                  </w:pPr>
                  <w:r>
                    <w:rPr>
                      <w:rFonts w:ascii="Times New Roman"/>
                      <w:szCs w:val="21"/>
                    </w:rPr>
                    <w:t>符合</w:t>
                  </w:r>
                </w:p>
              </w:tc>
            </w:tr>
            <w:tr w14:paraId="5CA1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vMerge w:val="continue"/>
                  <w:tcBorders>
                    <w:left w:val="single" w:color="auto" w:sz="4" w:space="0"/>
                    <w:right w:val="single" w:color="auto" w:sz="4" w:space="0"/>
                  </w:tcBorders>
                  <w:vAlign w:val="center"/>
                </w:tcPr>
                <w:p w14:paraId="2DACEE73">
                  <w:pPr>
                    <w:pStyle w:val="42"/>
                    <w:spacing w:beforeLines="0" w:afterLines="0" w:line="240" w:lineRule="auto"/>
                    <w:rPr>
                      <w:szCs w:val="21"/>
                    </w:rPr>
                  </w:pPr>
                </w:p>
              </w:tc>
              <w:tc>
                <w:tcPr>
                  <w:tcW w:w="2535" w:type="pct"/>
                  <w:tcBorders>
                    <w:left w:val="single" w:color="auto" w:sz="4" w:space="0"/>
                    <w:right w:val="single" w:color="auto" w:sz="4" w:space="0"/>
                  </w:tcBorders>
                  <w:vAlign w:val="center"/>
                </w:tcPr>
                <w:p w14:paraId="31FC5DD6">
                  <w:pPr>
                    <w:pStyle w:val="42"/>
                    <w:spacing w:before="24" w:after="24"/>
                    <w:jc w:val="both"/>
                    <w:rPr>
                      <w:rFonts w:ascii="Times New Roman"/>
                      <w:szCs w:val="21"/>
                    </w:rPr>
                  </w:pPr>
                  <w:r>
                    <w:rPr>
                      <w:rFonts w:hint="eastAsia" w:ascii="Times New Roman"/>
                      <w:szCs w:val="21"/>
                    </w:rPr>
                    <w:t>（2）符合当前国家重点鼓励发展的产业、产品和技术目录要求；与李渡组团工业片区的产业定位相吻合，项目的筛选应贯彻循环经济，考虑上、下游产品的关联性，尽可能延长产业链；</w:t>
                  </w:r>
                </w:p>
              </w:tc>
              <w:tc>
                <w:tcPr>
                  <w:tcW w:w="1368" w:type="pct"/>
                  <w:tcBorders>
                    <w:top w:val="single" w:color="auto" w:sz="4" w:space="0"/>
                    <w:left w:val="single" w:color="auto" w:sz="4" w:space="0"/>
                    <w:bottom w:val="single" w:color="auto" w:sz="4" w:space="0"/>
                    <w:right w:val="single" w:color="auto" w:sz="4" w:space="0"/>
                  </w:tcBorders>
                  <w:vAlign w:val="center"/>
                </w:tcPr>
                <w:p w14:paraId="1FCCC020">
                  <w:pPr>
                    <w:pStyle w:val="42"/>
                    <w:spacing w:beforeLines="0" w:afterLines="0" w:line="240" w:lineRule="auto"/>
                    <w:jc w:val="both"/>
                    <w:rPr>
                      <w:rFonts w:ascii="Times New Roman"/>
                      <w:szCs w:val="21"/>
                    </w:rPr>
                  </w:pPr>
                  <w:r>
                    <w:rPr>
                      <w:rFonts w:hint="eastAsia" w:ascii="Times New Roman"/>
                      <w:szCs w:val="21"/>
                    </w:rPr>
                    <w:t>项目为铝合金汽车零部件制造，属《产业结构调整指导目录（2019年本）》中的鼓励类项目，符合李渡组团工业片区的产业定位。</w:t>
                  </w:r>
                </w:p>
              </w:tc>
              <w:tc>
                <w:tcPr>
                  <w:tcW w:w="558" w:type="pct"/>
                  <w:tcBorders>
                    <w:left w:val="single" w:color="auto" w:sz="4" w:space="0"/>
                    <w:right w:val="single" w:color="auto" w:sz="4" w:space="0"/>
                  </w:tcBorders>
                  <w:vAlign w:val="center"/>
                </w:tcPr>
                <w:p w14:paraId="2961C7F5">
                  <w:pPr>
                    <w:pStyle w:val="42"/>
                    <w:spacing w:beforeLines="0" w:afterLines="0" w:line="240" w:lineRule="auto"/>
                    <w:rPr>
                      <w:rFonts w:ascii="Times New Roman"/>
                      <w:szCs w:val="21"/>
                    </w:rPr>
                  </w:pPr>
                  <w:r>
                    <w:rPr>
                      <w:rFonts w:hint="eastAsia" w:ascii="Times New Roman"/>
                      <w:szCs w:val="21"/>
                    </w:rPr>
                    <w:t>符合</w:t>
                  </w:r>
                </w:p>
              </w:tc>
            </w:tr>
            <w:tr w14:paraId="1681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vMerge w:val="continue"/>
                  <w:tcBorders>
                    <w:left w:val="single" w:color="auto" w:sz="4" w:space="0"/>
                    <w:right w:val="single" w:color="auto" w:sz="4" w:space="0"/>
                  </w:tcBorders>
                  <w:vAlign w:val="center"/>
                </w:tcPr>
                <w:p w14:paraId="62F27ADC">
                  <w:pPr>
                    <w:pStyle w:val="42"/>
                    <w:spacing w:beforeLines="0" w:afterLines="0" w:line="240" w:lineRule="auto"/>
                    <w:rPr>
                      <w:szCs w:val="21"/>
                    </w:rPr>
                  </w:pPr>
                </w:p>
              </w:tc>
              <w:tc>
                <w:tcPr>
                  <w:tcW w:w="2535" w:type="pct"/>
                  <w:tcBorders>
                    <w:left w:val="single" w:color="auto" w:sz="4" w:space="0"/>
                    <w:right w:val="single" w:color="auto" w:sz="4" w:space="0"/>
                  </w:tcBorders>
                  <w:vAlign w:val="center"/>
                </w:tcPr>
                <w:p w14:paraId="3723F535">
                  <w:pPr>
                    <w:pStyle w:val="42"/>
                    <w:spacing w:before="24" w:after="24"/>
                    <w:jc w:val="both"/>
                    <w:rPr>
                      <w:rFonts w:ascii="Times New Roman"/>
                      <w:szCs w:val="21"/>
                    </w:rPr>
                  </w:pPr>
                  <w:r>
                    <w:rPr>
                      <w:rFonts w:hint="eastAsia" w:ascii="Times New Roman"/>
                      <w:szCs w:val="21"/>
                    </w:rPr>
                    <w:t>（5）引进的企业必须符合《产业结构调整指导目录（2011年本）（修订）》、《重庆市工业项目环境准入规定（修订）》、行业准入条件等要求；</w:t>
                  </w:r>
                </w:p>
              </w:tc>
              <w:tc>
                <w:tcPr>
                  <w:tcW w:w="1368" w:type="pct"/>
                  <w:tcBorders>
                    <w:top w:val="single" w:color="auto" w:sz="4" w:space="0"/>
                    <w:left w:val="single" w:color="auto" w:sz="4" w:space="0"/>
                    <w:bottom w:val="single" w:color="auto" w:sz="4" w:space="0"/>
                    <w:right w:val="single" w:color="auto" w:sz="4" w:space="0"/>
                  </w:tcBorders>
                  <w:vAlign w:val="center"/>
                </w:tcPr>
                <w:p w14:paraId="68393473">
                  <w:pPr>
                    <w:pStyle w:val="42"/>
                    <w:spacing w:beforeLines="0" w:afterLines="0" w:line="240" w:lineRule="auto"/>
                    <w:jc w:val="both"/>
                    <w:rPr>
                      <w:rFonts w:ascii="Times New Roman"/>
                      <w:szCs w:val="21"/>
                    </w:rPr>
                  </w:pPr>
                  <w:r>
                    <w:rPr>
                      <w:rFonts w:hint="eastAsia" w:ascii="Times New Roman"/>
                      <w:szCs w:val="21"/>
                    </w:rPr>
                    <w:t>本项目属《产业结构调整指导目录（2019年本）》中的鼓励类项目，项目符合《重庆市工业项目环境准入规定（修订）》、行业准入条件等要求。</w:t>
                  </w:r>
                </w:p>
              </w:tc>
              <w:tc>
                <w:tcPr>
                  <w:tcW w:w="558" w:type="pct"/>
                  <w:tcBorders>
                    <w:left w:val="single" w:color="auto" w:sz="4" w:space="0"/>
                    <w:right w:val="single" w:color="auto" w:sz="4" w:space="0"/>
                  </w:tcBorders>
                  <w:vAlign w:val="center"/>
                </w:tcPr>
                <w:p w14:paraId="4309F627">
                  <w:pPr>
                    <w:pStyle w:val="42"/>
                    <w:spacing w:beforeLines="0" w:afterLines="0" w:line="240" w:lineRule="auto"/>
                    <w:rPr>
                      <w:rFonts w:ascii="Times New Roman"/>
                      <w:szCs w:val="21"/>
                    </w:rPr>
                  </w:pPr>
                  <w:r>
                    <w:rPr>
                      <w:rFonts w:hint="eastAsia" w:ascii="Times New Roman"/>
                      <w:szCs w:val="21"/>
                    </w:rPr>
                    <w:t>符合</w:t>
                  </w:r>
                </w:p>
              </w:tc>
            </w:tr>
            <w:tr w14:paraId="5422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vMerge w:val="continue"/>
                  <w:tcBorders>
                    <w:left w:val="single" w:color="auto" w:sz="4" w:space="0"/>
                    <w:right w:val="single" w:color="auto" w:sz="4" w:space="0"/>
                  </w:tcBorders>
                  <w:vAlign w:val="center"/>
                </w:tcPr>
                <w:p w14:paraId="3DAC422B">
                  <w:pPr>
                    <w:pStyle w:val="42"/>
                    <w:spacing w:beforeLines="0" w:afterLines="0" w:line="240" w:lineRule="auto"/>
                    <w:rPr>
                      <w:szCs w:val="21"/>
                    </w:rPr>
                  </w:pPr>
                </w:p>
              </w:tc>
              <w:tc>
                <w:tcPr>
                  <w:tcW w:w="2535" w:type="pct"/>
                  <w:tcBorders>
                    <w:left w:val="single" w:color="auto" w:sz="4" w:space="0"/>
                    <w:right w:val="single" w:color="auto" w:sz="4" w:space="0"/>
                  </w:tcBorders>
                  <w:vAlign w:val="center"/>
                </w:tcPr>
                <w:p w14:paraId="71A4BFE4">
                  <w:pPr>
                    <w:pStyle w:val="42"/>
                    <w:spacing w:before="24" w:after="24"/>
                    <w:jc w:val="both"/>
                    <w:rPr>
                      <w:rFonts w:ascii="Times New Roman"/>
                      <w:szCs w:val="21"/>
                    </w:rPr>
                  </w:pPr>
                  <w:r>
                    <w:rPr>
                      <w:rFonts w:hint="eastAsia" w:ascii="Times New Roman"/>
                      <w:szCs w:val="21"/>
                    </w:rPr>
                    <w:t>（6）禁止发展印染业、原料药、造纸、水泥生产等重污染企业和其它不符合国家产业政策的项目进入，限制高耗水、水污染物排放强度高的工业企业进入（单位工业用地面积废水排放量大于3000m</w:t>
                  </w:r>
                  <w:r>
                    <w:rPr>
                      <w:rFonts w:hint="eastAsia" w:ascii="Times New Roman"/>
                      <w:szCs w:val="21"/>
                      <w:vertAlign w:val="superscript"/>
                    </w:rPr>
                    <w:t>3</w:t>
                  </w:r>
                  <w:r>
                    <w:rPr>
                      <w:rFonts w:hint="eastAsia" w:ascii="Times New Roman"/>
                      <w:szCs w:val="21"/>
                    </w:rPr>
                    <w:t>/km</w:t>
                  </w:r>
                  <w:r>
                    <w:rPr>
                      <w:rFonts w:hint="eastAsia" w:ascii="Times New Roman"/>
                      <w:szCs w:val="21"/>
                      <w:vertAlign w:val="superscript"/>
                    </w:rPr>
                    <w:t>2</w:t>
                  </w:r>
                  <w:r>
                    <w:rPr>
                      <w:rFonts w:hint="eastAsia" w:ascii="Times New Roman"/>
                      <w:szCs w:val="21"/>
                    </w:rPr>
                    <w:t>·d）进入；鼓励大型、带动力强的企业入驻，促进区域经济结构优化，提高工业片区单位建设用地产出的经济总量，禁止新建产出强度低于100亿元/平方公里的工业项目。</w:t>
                  </w:r>
                </w:p>
              </w:tc>
              <w:tc>
                <w:tcPr>
                  <w:tcW w:w="1368" w:type="pct"/>
                  <w:tcBorders>
                    <w:top w:val="single" w:color="auto" w:sz="4" w:space="0"/>
                    <w:left w:val="single" w:color="auto" w:sz="4" w:space="0"/>
                    <w:bottom w:val="single" w:color="auto" w:sz="4" w:space="0"/>
                    <w:right w:val="single" w:color="auto" w:sz="4" w:space="0"/>
                  </w:tcBorders>
                  <w:vAlign w:val="center"/>
                </w:tcPr>
                <w:p w14:paraId="1CCBC889">
                  <w:pPr>
                    <w:pStyle w:val="42"/>
                    <w:spacing w:beforeLines="0" w:afterLines="0" w:line="240" w:lineRule="auto"/>
                    <w:jc w:val="both"/>
                    <w:rPr>
                      <w:rFonts w:ascii="Times New Roman"/>
                      <w:szCs w:val="21"/>
                    </w:rPr>
                  </w:pPr>
                  <w:r>
                    <w:rPr>
                      <w:rFonts w:ascii="Times New Roman"/>
                      <w:szCs w:val="21"/>
                    </w:rPr>
                    <w:t>项目不属于印染业、原料药、造纸、水泥等禁止行业，符合国家产业政策；项目废水排放量为</w:t>
                  </w:r>
                  <w:r>
                    <w:rPr>
                      <w:rFonts w:ascii="Times New Roman" w:eastAsia="等线"/>
                      <w:szCs w:val="21"/>
                    </w:rPr>
                    <w:t>58.17</w:t>
                  </w:r>
                  <w:r>
                    <w:rPr>
                      <w:rFonts w:ascii="Times New Roman"/>
                      <w:szCs w:val="21"/>
                    </w:rPr>
                    <w:t>m</w:t>
                  </w:r>
                  <w:r>
                    <w:rPr>
                      <w:rFonts w:ascii="Times New Roman"/>
                      <w:szCs w:val="21"/>
                      <w:vertAlign w:val="superscript"/>
                    </w:rPr>
                    <w:t>3</w:t>
                  </w:r>
                  <w:r>
                    <w:rPr>
                      <w:rFonts w:ascii="Times New Roman"/>
                      <w:szCs w:val="21"/>
                    </w:rPr>
                    <w:t>/d，占地面积31598m</w:t>
                  </w:r>
                  <w:r>
                    <w:rPr>
                      <w:rFonts w:ascii="Times New Roman"/>
                      <w:szCs w:val="21"/>
                      <w:vertAlign w:val="superscript"/>
                    </w:rPr>
                    <w:t>2</w:t>
                  </w:r>
                  <w:r>
                    <w:rPr>
                      <w:rFonts w:ascii="Times New Roman"/>
                      <w:szCs w:val="21"/>
                    </w:rPr>
                    <w:t>，单位工业用地面积废水排放量为1840.9m</w:t>
                  </w:r>
                  <w:r>
                    <w:rPr>
                      <w:rFonts w:ascii="Times New Roman"/>
                      <w:szCs w:val="21"/>
                      <w:vertAlign w:val="superscript"/>
                    </w:rPr>
                    <w:t>3</w:t>
                  </w:r>
                  <w:r>
                    <w:rPr>
                      <w:rFonts w:ascii="Times New Roman"/>
                      <w:szCs w:val="21"/>
                    </w:rPr>
                    <w:t>/km</w:t>
                  </w:r>
                  <w:r>
                    <w:rPr>
                      <w:rFonts w:ascii="Times New Roman"/>
                      <w:szCs w:val="21"/>
                      <w:vertAlign w:val="superscript"/>
                    </w:rPr>
                    <w:t>2</w:t>
                  </w:r>
                  <w:r>
                    <w:rPr>
                      <w:rFonts w:ascii="Times New Roman"/>
                      <w:szCs w:val="21"/>
                    </w:rPr>
                    <w:t>·d，低于</w:t>
                  </w:r>
                  <w:r>
                    <w:rPr>
                      <w:rFonts w:hint="eastAsia" w:ascii="Times New Roman"/>
                      <w:szCs w:val="21"/>
                    </w:rPr>
                    <w:t>3000m</w:t>
                  </w:r>
                  <w:r>
                    <w:rPr>
                      <w:rFonts w:hint="eastAsia" w:ascii="Times New Roman"/>
                      <w:szCs w:val="21"/>
                      <w:vertAlign w:val="superscript"/>
                    </w:rPr>
                    <w:t>3</w:t>
                  </w:r>
                  <w:r>
                    <w:rPr>
                      <w:rFonts w:hint="eastAsia" w:ascii="Times New Roman"/>
                      <w:szCs w:val="21"/>
                    </w:rPr>
                    <w:t>/km</w:t>
                  </w:r>
                  <w:r>
                    <w:rPr>
                      <w:rFonts w:hint="eastAsia" w:ascii="Times New Roman"/>
                      <w:szCs w:val="21"/>
                      <w:vertAlign w:val="superscript"/>
                    </w:rPr>
                    <w:t>2</w:t>
                  </w:r>
                  <w:r>
                    <w:rPr>
                      <w:rFonts w:hint="eastAsia" w:ascii="Times New Roman"/>
                      <w:szCs w:val="21"/>
                    </w:rPr>
                    <w:t>·d，</w:t>
                  </w:r>
                  <w:r>
                    <w:rPr>
                      <w:rFonts w:ascii="Times New Roman"/>
                      <w:szCs w:val="21"/>
                    </w:rPr>
                    <w:t>不属于高耗水、水污染物排放强度高的企业；预计项目建成后，预计产出为</w:t>
                  </w:r>
                  <w:r>
                    <w:rPr>
                      <w:rFonts w:hint="eastAsia" w:ascii="Times New Roman"/>
                      <w:szCs w:val="21"/>
                    </w:rPr>
                    <w:t>3</w:t>
                  </w:r>
                  <w:r>
                    <w:rPr>
                      <w:rFonts w:ascii="Times New Roman"/>
                      <w:szCs w:val="21"/>
                    </w:rPr>
                    <w:t>.5亿元</w:t>
                  </w:r>
                  <w:r>
                    <w:rPr>
                      <w:rFonts w:hint="eastAsia" w:ascii="Times New Roman"/>
                      <w:szCs w:val="21"/>
                    </w:rPr>
                    <w:t>/a，即</w:t>
                  </w:r>
                  <w:r>
                    <w:rPr>
                      <w:rFonts w:ascii="Times New Roman"/>
                      <w:szCs w:val="21"/>
                    </w:rPr>
                    <w:t>110亿元/平方公里</w:t>
                  </w:r>
                  <w:r>
                    <w:rPr>
                      <w:rFonts w:hint="eastAsia" w:ascii="Times New Roman"/>
                      <w:szCs w:val="21"/>
                    </w:rPr>
                    <w:t>，</w:t>
                  </w:r>
                  <w:r>
                    <w:rPr>
                      <w:rFonts w:ascii="Times New Roman"/>
                      <w:szCs w:val="21"/>
                    </w:rPr>
                    <w:t>产出强度高于100亿元/平方公里。</w:t>
                  </w:r>
                </w:p>
              </w:tc>
              <w:tc>
                <w:tcPr>
                  <w:tcW w:w="558" w:type="pct"/>
                  <w:tcBorders>
                    <w:left w:val="single" w:color="auto" w:sz="4" w:space="0"/>
                    <w:right w:val="single" w:color="auto" w:sz="4" w:space="0"/>
                  </w:tcBorders>
                  <w:vAlign w:val="center"/>
                </w:tcPr>
                <w:p w14:paraId="4F518D52">
                  <w:pPr>
                    <w:pStyle w:val="42"/>
                    <w:spacing w:beforeLines="0" w:afterLines="0" w:line="240" w:lineRule="auto"/>
                    <w:rPr>
                      <w:rFonts w:ascii="Times New Roman"/>
                      <w:szCs w:val="21"/>
                    </w:rPr>
                  </w:pPr>
                  <w:r>
                    <w:rPr>
                      <w:rFonts w:hint="eastAsia" w:ascii="Times New Roman"/>
                      <w:szCs w:val="21"/>
                    </w:rPr>
                    <w:t>符合</w:t>
                  </w:r>
                </w:p>
              </w:tc>
            </w:tr>
            <w:tr w14:paraId="717A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vMerge w:val="continue"/>
                  <w:tcBorders>
                    <w:left w:val="single" w:color="auto" w:sz="4" w:space="0"/>
                    <w:right w:val="single" w:color="auto" w:sz="4" w:space="0"/>
                  </w:tcBorders>
                  <w:vAlign w:val="center"/>
                </w:tcPr>
                <w:p w14:paraId="2016B50F">
                  <w:pPr>
                    <w:pStyle w:val="42"/>
                    <w:spacing w:beforeLines="0" w:afterLines="0" w:line="240" w:lineRule="auto"/>
                    <w:rPr>
                      <w:szCs w:val="21"/>
                    </w:rPr>
                  </w:pPr>
                </w:p>
              </w:tc>
              <w:tc>
                <w:tcPr>
                  <w:tcW w:w="2535" w:type="pct"/>
                  <w:tcBorders>
                    <w:left w:val="single" w:color="auto" w:sz="4" w:space="0"/>
                    <w:right w:val="single" w:color="auto" w:sz="4" w:space="0"/>
                  </w:tcBorders>
                  <w:vAlign w:val="center"/>
                </w:tcPr>
                <w:p w14:paraId="6C95979A">
                  <w:pPr>
                    <w:pStyle w:val="42"/>
                    <w:spacing w:before="24" w:after="24"/>
                    <w:jc w:val="both"/>
                    <w:rPr>
                      <w:rFonts w:ascii="Times New Roman"/>
                      <w:szCs w:val="21"/>
                    </w:rPr>
                  </w:pPr>
                  <w:r>
                    <w:rPr>
                      <w:rFonts w:hint="eastAsia" w:ascii="Times New Roman"/>
                      <w:szCs w:val="21"/>
                    </w:rPr>
                    <w:t>（7）按照走新型工业化道路的要求，入区的工业项目应符合国家和行业清洁生产标准要求，企业清洁生产水平必须达到国内或国际先进水平要求；在工艺技术水平上，要求入驻项目达到国内同行业领先水平、或具备国际先进水平；建设规模应符合国家产业政策的最小经济规模要求。</w:t>
                  </w:r>
                </w:p>
              </w:tc>
              <w:tc>
                <w:tcPr>
                  <w:tcW w:w="1368" w:type="pct"/>
                  <w:tcBorders>
                    <w:top w:val="single" w:color="auto" w:sz="4" w:space="0"/>
                    <w:left w:val="single" w:color="auto" w:sz="4" w:space="0"/>
                    <w:bottom w:val="single" w:color="auto" w:sz="4" w:space="0"/>
                    <w:right w:val="single" w:color="auto" w:sz="4" w:space="0"/>
                  </w:tcBorders>
                  <w:vAlign w:val="center"/>
                </w:tcPr>
                <w:p w14:paraId="4E90CEB9">
                  <w:pPr>
                    <w:pStyle w:val="42"/>
                    <w:spacing w:beforeLines="0" w:afterLines="0" w:line="240" w:lineRule="auto"/>
                    <w:jc w:val="both"/>
                    <w:rPr>
                      <w:rFonts w:ascii="Times New Roman"/>
                      <w:szCs w:val="21"/>
                    </w:rPr>
                  </w:pPr>
                  <w:r>
                    <w:rPr>
                      <w:rFonts w:hint="eastAsia" w:ascii="Times New Roman"/>
                      <w:szCs w:val="21"/>
                    </w:rPr>
                    <w:t>项目符合国家和行业清洁生产标准要求，清洁生产水平达到国内先进水平要求；项目工艺水平达到国内同行业领先水平；项目建设规模应符合国家产业政策的最小经济规模要求。</w:t>
                  </w:r>
                </w:p>
              </w:tc>
              <w:tc>
                <w:tcPr>
                  <w:tcW w:w="558" w:type="pct"/>
                  <w:tcBorders>
                    <w:left w:val="single" w:color="auto" w:sz="4" w:space="0"/>
                    <w:right w:val="single" w:color="auto" w:sz="4" w:space="0"/>
                  </w:tcBorders>
                  <w:vAlign w:val="center"/>
                </w:tcPr>
                <w:p w14:paraId="7B2B2779">
                  <w:pPr>
                    <w:pStyle w:val="42"/>
                    <w:spacing w:beforeLines="0" w:afterLines="0" w:line="240" w:lineRule="auto"/>
                    <w:rPr>
                      <w:rFonts w:ascii="Times New Roman"/>
                      <w:szCs w:val="21"/>
                    </w:rPr>
                  </w:pPr>
                  <w:r>
                    <w:rPr>
                      <w:rFonts w:hint="eastAsia" w:ascii="Times New Roman"/>
                      <w:szCs w:val="21"/>
                    </w:rPr>
                    <w:t>符合</w:t>
                  </w:r>
                </w:p>
              </w:tc>
            </w:tr>
            <w:tr w14:paraId="39DA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9" w:type="pct"/>
                  <w:vMerge w:val="continue"/>
                  <w:tcBorders>
                    <w:left w:val="single" w:color="auto" w:sz="4" w:space="0"/>
                    <w:bottom w:val="single" w:color="auto" w:sz="4" w:space="0"/>
                    <w:right w:val="single" w:color="auto" w:sz="4" w:space="0"/>
                  </w:tcBorders>
                  <w:vAlign w:val="center"/>
                </w:tcPr>
                <w:p w14:paraId="28D21511">
                  <w:pPr>
                    <w:pStyle w:val="42"/>
                    <w:spacing w:beforeLines="0" w:afterLines="0" w:line="240" w:lineRule="auto"/>
                    <w:rPr>
                      <w:szCs w:val="21"/>
                    </w:rPr>
                  </w:pPr>
                </w:p>
              </w:tc>
              <w:tc>
                <w:tcPr>
                  <w:tcW w:w="2535" w:type="pct"/>
                  <w:tcBorders>
                    <w:left w:val="single" w:color="auto" w:sz="4" w:space="0"/>
                    <w:bottom w:val="single" w:color="auto" w:sz="4" w:space="0"/>
                    <w:right w:val="single" w:color="auto" w:sz="4" w:space="0"/>
                  </w:tcBorders>
                  <w:vAlign w:val="center"/>
                </w:tcPr>
                <w:p w14:paraId="7FC41392">
                  <w:pPr>
                    <w:pStyle w:val="42"/>
                    <w:spacing w:before="24" w:after="24"/>
                    <w:jc w:val="both"/>
                    <w:rPr>
                      <w:rFonts w:ascii="Times New Roman"/>
                      <w:szCs w:val="21"/>
                    </w:rPr>
                  </w:pPr>
                  <w:r>
                    <w:rPr>
                      <w:rFonts w:hint="eastAsia" w:ascii="Times New Roman"/>
                      <w:szCs w:val="21"/>
                    </w:rPr>
                    <w:t>（8）入区企业必须根据环保政策和区域环境容量进行环境影响分析，并尽可能做好工业节水和水的循环利用。同时入驻企业工艺生产采用清洁能源，以实现大气环境保护目标。</w:t>
                  </w:r>
                </w:p>
              </w:tc>
              <w:tc>
                <w:tcPr>
                  <w:tcW w:w="1368" w:type="pct"/>
                  <w:tcBorders>
                    <w:top w:val="single" w:color="auto" w:sz="4" w:space="0"/>
                    <w:left w:val="single" w:color="auto" w:sz="4" w:space="0"/>
                    <w:bottom w:val="single" w:color="auto" w:sz="4" w:space="0"/>
                    <w:right w:val="single" w:color="auto" w:sz="4" w:space="0"/>
                  </w:tcBorders>
                  <w:vAlign w:val="center"/>
                </w:tcPr>
                <w:p w14:paraId="398CC668">
                  <w:pPr>
                    <w:pStyle w:val="42"/>
                    <w:spacing w:beforeLines="0" w:afterLines="0" w:line="240" w:lineRule="auto"/>
                    <w:jc w:val="both"/>
                    <w:rPr>
                      <w:rFonts w:ascii="Times New Roman"/>
                      <w:szCs w:val="21"/>
                    </w:rPr>
                  </w:pPr>
                  <w:r>
                    <w:rPr>
                      <w:rFonts w:hint="eastAsia" w:ascii="Times New Roman"/>
                      <w:szCs w:val="21"/>
                    </w:rPr>
                    <w:t xml:space="preserve">本报告将对项目的环境影响进行分析评价，项目符合相关环保政策要求；项目所在地大气环境、水环境质量现状较好，具有足够的环境容量容纳项目排放的大气污染物和水污染物。项目用水量较小，同时采用清洁能源天然气作为能源。 </w:t>
                  </w:r>
                </w:p>
              </w:tc>
              <w:tc>
                <w:tcPr>
                  <w:tcW w:w="558" w:type="pct"/>
                  <w:tcBorders>
                    <w:left w:val="single" w:color="auto" w:sz="4" w:space="0"/>
                    <w:bottom w:val="single" w:color="auto" w:sz="4" w:space="0"/>
                    <w:right w:val="single" w:color="auto" w:sz="4" w:space="0"/>
                  </w:tcBorders>
                  <w:vAlign w:val="center"/>
                </w:tcPr>
                <w:p w14:paraId="794E6F34">
                  <w:pPr>
                    <w:pStyle w:val="42"/>
                    <w:spacing w:beforeLines="0" w:afterLines="0" w:line="240" w:lineRule="auto"/>
                    <w:rPr>
                      <w:rFonts w:ascii="Times New Roman"/>
                      <w:szCs w:val="21"/>
                    </w:rPr>
                  </w:pPr>
                  <w:r>
                    <w:rPr>
                      <w:rFonts w:hint="eastAsia" w:ascii="Times New Roman"/>
                      <w:szCs w:val="21"/>
                    </w:rPr>
                    <w:t>符合</w:t>
                  </w:r>
                </w:p>
              </w:tc>
            </w:tr>
          </w:tbl>
          <w:p w14:paraId="79A4B5FE">
            <w:pPr>
              <w:autoSpaceDE w:val="0"/>
              <w:autoSpaceDN w:val="0"/>
              <w:adjustRightInd w:val="0"/>
              <w:snapToGrid w:val="0"/>
              <w:spacing w:line="360" w:lineRule="auto"/>
              <w:jc w:val="center"/>
              <w:rPr>
                <w:sz w:val="24"/>
              </w:rPr>
            </w:pPr>
            <w:r>
              <w:rPr>
                <w:sz w:val="24"/>
              </w:rPr>
              <w:t>表1-2  项目与规划环评环境准入负面清单的符合性分析</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493"/>
              <w:gridCol w:w="6"/>
              <w:gridCol w:w="706"/>
              <w:gridCol w:w="1985"/>
              <w:gridCol w:w="2835"/>
              <w:gridCol w:w="1780"/>
            </w:tblGrid>
            <w:tr w14:paraId="64AF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85" w:type="dxa"/>
                  <w:vMerge w:val="restart"/>
                  <w:tcBorders>
                    <w:top w:val="single" w:color="auto" w:sz="4" w:space="0"/>
                    <w:left w:val="single" w:color="auto" w:sz="4" w:space="0"/>
                    <w:bottom w:val="single" w:color="auto" w:sz="4" w:space="0"/>
                    <w:right w:val="single" w:color="auto" w:sz="4" w:space="0"/>
                  </w:tcBorders>
                  <w:vAlign w:val="center"/>
                </w:tcPr>
                <w:p w14:paraId="1C4BA49C">
                  <w:pPr>
                    <w:adjustRightInd w:val="0"/>
                    <w:snapToGrid w:val="0"/>
                    <w:jc w:val="center"/>
                    <w:rPr>
                      <w:szCs w:val="21"/>
                    </w:rPr>
                  </w:pPr>
                  <w:r>
                    <w:rPr>
                      <w:szCs w:val="21"/>
                    </w:rPr>
                    <w:t>序号</w:t>
                  </w:r>
                </w:p>
              </w:tc>
              <w:tc>
                <w:tcPr>
                  <w:tcW w:w="1205" w:type="dxa"/>
                  <w:gridSpan w:val="3"/>
                  <w:vMerge w:val="restart"/>
                  <w:tcBorders>
                    <w:top w:val="single" w:color="auto" w:sz="4" w:space="0"/>
                    <w:left w:val="single" w:color="auto" w:sz="4" w:space="0"/>
                    <w:bottom w:val="single" w:color="auto" w:sz="4" w:space="0"/>
                    <w:right w:val="single" w:color="auto" w:sz="4" w:space="0"/>
                  </w:tcBorders>
                  <w:vAlign w:val="center"/>
                </w:tcPr>
                <w:p w14:paraId="59CB67B6">
                  <w:pPr>
                    <w:adjustRightInd w:val="0"/>
                    <w:snapToGrid w:val="0"/>
                    <w:jc w:val="center"/>
                    <w:rPr>
                      <w:szCs w:val="21"/>
                    </w:rPr>
                  </w:pPr>
                  <w:r>
                    <w:rPr>
                      <w:szCs w:val="21"/>
                    </w:rPr>
                    <w:t>类别</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20163BF1">
                  <w:pPr>
                    <w:adjustRightInd w:val="0"/>
                    <w:snapToGrid w:val="0"/>
                    <w:jc w:val="center"/>
                    <w:rPr>
                      <w:szCs w:val="21"/>
                    </w:rPr>
                  </w:pPr>
                  <w:r>
                    <w:rPr>
                      <w:szCs w:val="21"/>
                    </w:rPr>
                    <w:t>负面清单</w:t>
                  </w:r>
                </w:p>
              </w:tc>
              <w:tc>
                <w:tcPr>
                  <w:tcW w:w="1780" w:type="dxa"/>
                  <w:vMerge w:val="restart"/>
                  <w:tcBorders>
                    <w:top w:val="single" w:color="auto" w:sz="4" w:space="0"/>
                    <w:left w:val="single" w:color="auto" w:sz="4" w:space="0"/>
                    <w:bottom w:val="single" w:color="auto" w:sz="4" w:space="0"/>
                    <w:right w:val="single" w:color="auto" w:sz="4" w:space="0"/>
                  </w:tcBorders>
                  <w:vAlign w:val="center"/>
                </w:tcPr>
                <w:p w14:paraId="587B78BA">
                  <w:pPr>
                    <w:pStyle w:val="42"/>
                    <w:spacing w:before="24" w:after="24" w:line="360" w:lineRule="exact"/>
                    <w:rPr>
                      <w:rFonts w:ascii="Times New Roman"/>
                      <w:kern w:val="2"/>
                      <w:szCs w:val="21"/>
                    </w:rPr>
                  </w:pPr>
                  <w:r>
                    <w:rPr>
                      <w:rFonts w:ascii="Times New Roman"/>
                      <w:kern w:val="2"/>
                      <w:szCs w:val="21"/>
                    </w:rPr>
                    <w:t>本项目情况</w:t>
                  </w:r>
                </w:p>
              </w:tc>
            </w:tr>
            <w:tr w14:paraId="66D0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6D771457">
                  <w:pPr>
                    <w:widowControl/>
                    <w:jc w:val="left"/>
                    <w:rPr>
                      <w:szCs w:val="21"/>
                    </w:rPr>
                  </w:pPr>
                </w:p>
              </w:tc>
              <w:tc>
                <w:tcPr>
                  <w:tcW w:w="1205" w:type="dxa"/>
                  <w:gridSpan w:val="3"/>
                  <w:vMerge w:val="continue"/>
                  <w:tcBorders>
                    <w:top w:val="single" w:color="auto" w:sz="4" w:space="0"/>
                    <w:left w:val="single" w:color="auto" w:sz="4" w:space="0"/>
                    <w:bottom w:val="single" w:color="auto" w:sz="4" w:space="0"/>
                    <w:right w:val="single" w:color="auto" w:sz="4" w:space="0"/>
                  </w:tcBorders>
                  <w:vAlign w:val="center"/>
                </w:tcPr>
                <w:p w14:paraId="35E9502D">
                  <w:pPr>
                    <w:widowControl/>
                    <w:jc w:val="left"/>
                    <w:rPr>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59F6D009">
                  <w:pPr>
                    <w:pStyle w:val="42"/>
                    <w:spacing w:before="24" w:after="24" w:line="360" w:lineRule="exact"/>
                    <w:rPr>
                      <w:rFonts w:ascii="Times New Roman"/>
                      <w:kern w:val="2"/>
                      <w:szCs w:val="21"/>
                    </w:rPr>
                  </w:pPr>
                  <w:r>
                    <w:rPr>
                      <w:rFonts w:ascii="Times New Roman"/>
                      <w:kern w:val="2"/>
                      <w:szCs w:val="21"/>
                    </w:rPr>
                    <w:t>禁止类</w:t>
                  </w:r>
                </w:p>
              </w:tc>
              <w:tc>
                <w:tcPr>
                  <w:tcW w:w="2835" w:type="dxa"/>
                  <w:tcBorders>
                    <w:top w:val="single" w:color="auto" w:sz="4" w:space="0"/>
                    <w:left w:val="single" w:color="auto" w:sz="4" w:space="0"/>
                    <w:bottom w:val="single" w:color="auto" w:sz="4" w:space="0"/>
                    <w:right w:val="single" w:color="auto" w:sz="4" w:space="0"/>
                  </w:tcBorders>
                  <w:vAlign w:val="center"/>
                </w:tcPr>
                <w:p w14:paraId="47540E26">
                  <w:pPr>
                    <w:pStyle w:val="42"/>
                    <w:spacing w:before="24" w:after="24" w:line="360" w:lineRule="exact"/>
                    <w:rPr>
                      <w:rFonts w:ascii="Times New Roman"/>
                      <w:kern w:val="2"/>
                      <w:szCs w:val="21"/>
                    </w:rPr>
                  </w:pPr>
                  <w:r>
                    <w:rPr>
                      <w:rFonts w:ascii="Times New Roman"/>
                      <w:kern w:val="2"/>
                      <w:szCs w:val="21"/>
                    </w:rPr>
                    <w:t>限制类</w:t>
                  </w: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6E407220">
                  <w:pPr>
                    <w:widowControl/>
                    <w:jc w:val="left"/>
                    <w:rPr>
                      <w:szCs w:val="21"/>
                    </w:rPr>
                  </w:pPr>
                </w:p>
              </w:tc>
            </w:tr>
            <w:tr w14:paraId="0C5E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tcBorders>
                    <w:top w:val="single" w:color="auto" w:sz="4" w:space="0"/>
                    <w:left w:val="single" w:color="auto" w:sz="4" w:space="0"/>
                    <w:bottom w:val="single" w:color="auto" w:sz="4" w:space="0"/>
                    <w:right w:val="single" w:color="auto" w:sz="4" w:space="0"/>
                  </w:tcBorders>
                  <w:vAlign w:val="center"/>
                </w:tcPr>
                <w:p w14:paraId="14BE201F">
                  <w:pPr>
                    <w:adjustRightInd w:val="0"/>
                    <w:snapToGrid w:val="0"/>
                    <w:jc w:val="center"/>
                    <w:rPr>
                      <w:szCs w:val="21"/>
                    </w:rPr>
                  </w:pPr>
                  <w:r>
                    <w:rPr>
                      <w:szCs w:val="21"/>
                    </w:rPr>
                    <w:t>1</w:t>
                  </w:r>
                </w:p>
              </w:tc>
              <w:tc>
                <w:tcPr>
                  <w:tcW w:w="1205" w:type="dxa"/>
                  <w:gridSpan w:val="3"/>
                  <w:tcBorders>
                    <w:top w:val="single" w:color="auto" w:sz="4" w:space="0"/>
                    <w:left w:val="single" w:color="auto" w:sz="4" w:space="0"/>
                    <w:bottom w:val="single" w:color="auto" w:sz="4" w:space="0"/>
                    <w:right w:val="single" w:color="auto" w:sz="4" w:space="0"/>
                  </w:tcBorders>
                  <w:vAlign w:val="center"/>
                </w:tcPr>
                <w:p w14:paraId="14B4C3E5">
                  <w:pPr>
                    <w:adjustRightInd w:val="0"/>
                    <w:snapToGrid w:val="0"/>
                    <w:jc w:val="center"/>
                    <w:rPr>
                      <w:szCs w:val="21"/>
                    </w:rPr>
                  </w:pPr>
                  <w:r>
                    <w:rPr>
                      <w:szCs w:val="21"/>
                    </w:rPr>
                    <w:t>行业</w:t>
                  </w:r>
                </w:p>
              </w:tc>
              <w:tc>
                <w:tcPr>
                  <w:tcW w:w="1985" w:type="dxa"/>
                  <w:tcBorders>
                    <w:top w:val="single" w:color="auto" w:sz="4" w:space="0"/>
                    <w:left w:val="single" w:color="auto" w:sz="4" w:space="0"/>
                    <w:bottom w:val="single" w:color="auto" w:sz="4" w:space="0"/>
                    <w:right w:val="single" w:color="auto" w:sz="4" w:space="0"/>
                  </w:tcBorders>
                  <w:vAlign w:val="center"/>
                </w:tcPr>
                <w:p w14:paraId="28285A05">
                  <w:pPr>
                    <w:adjustRightInd w:val="0"/>
                    <w:snapToGrid w:val="0"/>
                    <w:jc w:val="center"/>
                    <w:rPr>
                      <w:szCs w:val="21"/>
                    </w:rPr>
                  </w:pPr>
                  <w:r>
                    <w:rPr>
                      <w:szCs w:val="21"/>
                    </w:rPr>
                    <w:t>印染业、化学原料药、造纸、水泥生产等重污染行业和其它不符合国家产业政策的项目，以及超出环境资源承载力的项目</w:t>
                  </w:r>
                </w:p>
              </w:tc>
              <w:tc>
                <w:tcPr>
                  <w:tcW w:w="2835" w:type="dxa"/>
                  <w:tcBorders>
                    <w:top w:val="single" w:color="auto" w:sz="4" w:space="0"/>
                    <w:left w:val="single" w:color="auto" w:sz="4" w:space="0"/>
                    <w:bottom w:val="single" w:color="auto" w:sz="4" w:space="0"/>
                    <w:right w:val="single" w:color="auto" w:sz="4" w:space="0"/>
                  </w:tcBorders>
                  <w:vAlign w:val="center"/>
                </w:tcPr>
                <w:p w14:paraId="531CA649">
                  <w:pPr>
                    <w:adjustRightInd w:val="0"/>
                    <w:snapToGrid w:val="0"/>
                    <w:jc w:val="center"/>
                    <w:rPr>
                      <w:szCs w:val="21"/>
                    </w:rPr>
                  </w:pPr>
                  <w:r>
                    <w:rPr>
                      <w:szCs w:val="21"/>
                    </w:rPr>
                    <w:t>高耗水、水污染物排放强度高的工业企业（单位工业用地面积废水排放量大于3000m</w:t>
                  </w:r>
                  <w:r>
                    <w:rPr>
                      <w:szCs w:val="21"/>
                      <w:vertAlign w:val="superscript"/>
                    </w:rPr>
                    <w:t>3</w:t>
                  </w:r>
                  <w:r>
                    <w:rPr>
                      <w:szCs w:val="21"/>
                    </w:rPr>
                    <w:t>/km</w:t>
                  </w:r>
                  <w:r>
                    <w:rPr>
                      <w:szCs w:val="21"/>
                      <w:vertAlign w:val="superscript"/>
                    </w:rPr>
                    <w:t>2</w:t>
                  </w:r>
                  <w:r>
                    <w:rPr>
                      <w:szCs w:val="21"/>
                    </w:rPr>
                    <w:t>·d）；在长江、嘉陵江江段及其上游沿江河地区严格限制可能对饮用水源带来安全隐患的化工、造纸、印染、化学原料药、危险废物利用和处置以及排放有毒有害物质和重金属的工业项目；限制新建产出强度低于100亿元/km</w:t>
                  </w:r>
                  <w:r>
                    <w:rPr>
                      <w:szCs w:val="21"/>
                      <w:vertAlign w:val="superscript"/>
                    </w:rPr>
                    <w:t>2</w:t>
                  </w:r>
                  <w:r>
                    <w:rPr>
                      <w:szCs w:val="21"/>
                    </w:rPr>
                    <w:t>的工业项目</w:t>
                  </w:r>
                </w:p>
              </w:tc>
              <w:tc>
                <w:tcPr>
                  <w:tcW w:w="1780" w:type="dxa"/>
                  <w:tcBorders>
                    <w:top w:val="single" w:color="auto" w:sz="4" w:space="0"/>
                    <w:left w:val="single" w:color="auto" w:sz="4" w:space="0"/>
                    <w:bottom w:val="single" w:color="auto" w:sz="4" w:space="0"/>
                    <w:right w:val="single" w:color="auto" w:sz="4" w:space="0"/>
                  </w:tcBorders>
                  <w:vAlign w:val="center"/>
                </w:tcPr>
                <w:p w14:paraId="57DF19C0">
                  <w:pPr>
                    <w:adjustRightInd w:val="0"/>
                    <w:snapToGrid w:val="0"/>
                    <w:jc w:val="center"/>
                    <w:rPr>
                      <w:szCs w:val="21"/>
                    </w:rPr>
                  </w:pPr>
                  <w:r>
                    <w:rPr>
                      <w:szCs w:val="21"/>
                    </w:rPr>
                    <w:t>项目不属于印染业、化学原料药、造纸、水泥生产等重污染行业，符合国家产业政策。项目不排放毒有害物质和重金属</w:t>
                  </w:r>
                  <w:r>
                    <w:rPr>
                      <w:rFonts w:hint="eastAsia"/>
                      <w:szCs w:val="21"/>
                    </w:rPr>
                    <w:t>，</w:t>
                  </w:r>
                  <w:r>
                    <w:rPr>
                      <w:szCs w:val="21"/>
                    </w:rPr>
                    <w:t>不会对饮用水源带来安全隐患</w:t>
                  </w:r>
                  <w:r>
                    <w:rPr>
                      <w:rFonts w:hint="eastAsia"/>
                      <w:szCs w:val="21"/>
                    </w:rPr>
                    <w:t>，</w:t>
                  </w:r>
                  <w:r>
                    <w:rPr>
                      <w:szCs w:val="21"/>
                    </w:rPr>
                    <w:t>项目建成后预计产出为</w:t>
                  </w:r>
                  <w:r>
                    <w:rPr>
                      <w:rFonts w:hint="eastAsia"/>
                      <w:szCs w:val="21"/>
                    </w:rPr>
                    <w:t>3</w:t>
                  </w:r>
                  <w:r>
                    <w:rPr>
                      <w:szCs w:val="21"/>
                    </w:rPr>
                    <w:t>.5亿元</w:t>
                  </w:r>
                  <w:r>
                    <w:rPr>
                      <w:rFonts w:hint="eastAsia"/>
                      <w:szCs w:val="21"/>
                    </w:rPr>
                    <w:t>/a，即</w:t>
                  </w:r>
                  <w:r>
                    <w:rPr>
                      <w:szCs w:val="21"/>
                    </w:rPr>
                    <w:t>110亿元/平方公里</w:t>
                  </w:r>
                  <w:r>
                    <w:rPr>
                      <w:rFonts w:hint="eastAsia"/>
                      <w:szCs w:val="21"/>
                    </w:rPr>
                    <w:t>，</w:t>
                  </w:r>
                  <w:r>
                    <w:rPr>
                      <w:szCs w:val="21"/>
                    </w:rPr>
                    <w:t>产出强度高于100亿元/平方公里。</w:t>
                  </w:r>
                </w:p>
              </w:tc>
            </w:tr>
            <w:tr w14:paraId="5027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90" w:type="dxa"/>
                  <w:gridSpan w:val="4"/>
                  <w:tcBorders>
                    <w:top w:val="single" w:color="auto" w:sz="4" w:space="0"/>
                    <w:left w:val="single" w:color="auto" w:sz="4" w:space="0"/>
                    <w:bottom w:val="single" w:color="auto" w:sz="4" w:space="0"/>
                    <w:right w:val="single" w:color="auto" w:sz="4" w:space="0"/>
                  </w:tcBorders>
                  <w:vAlign w:val="center"/>
                </w:tcPr>
                <w:p w14:paraId="474C43B1">
                  <w:pPr>
                    <w:adjustRightInd w:val="0"/>
                    <w:snapToGrid w:val="0"/>
                    <w:jc w:val="center"/>
                    <w:rPr>
                      <w:szCs w:val="21"/>
                    </w:rPr>
                  </w:pPr>
                  <w:r>
                    <w:rPr>
                      <w:szCs w:val="21"/>
                    </w:rPr>
                    <w:t>总体要求</w:t>
                  </w:r>
                </w:p>
              </w:tc>
              <w:tc>
                <w:tcPr>
                  <w:tcW w:w="1985" w:type="dxa"/>
                  <w:tcBorders>
                    <w:top w:val="single" w:color="auto" w:sz="4" w:space="0"/>
                    <w:left w:val="single" w:color="auto" w:sz="4" w:space="0"/>
                    <w:bottom w:val="single" w:color="auto" w:sz="4" w:space="0"/>
                    <w:right w:val="single" w:color="auto" w:sz="4" w:space="0"/>
                  </w:tcBorders>
                  <w:vAlign w:val="center"/>
                </w:tcPr>
                <w:p w14:paraId="0049D26E">
                  <w:pPr>
                    <w:adjustRightInd w:val="0"/>
                    <w:snapToGrid w:val="0"/>
                    <w:jc w:val="center"/>
                    <w:rPr>
                      <w:szCs w:val="21"/>
                    </w:rPr>
                  </w:pPr>
                  <w:r>
                    <w:rPr>
                      <w:szCs w:val="21"/>
                    </w:rPr>
                    <w:t>属于《产业结构调整指导目录》（2019年本）中淘汰类</w:t>
                  </w:r>
                </w:p>
              </w:tc>
              <w:tc>
                <w:tcPr>
                  <w:tcW w:w="2835" w:type="dxa"/>
                  <w:tcBorders>
                    <w:top w:val="single" w:color="auto" w:sz="4" w:space="0"/>
                    <w:left w:val="single" w:color="auto" w:sz="4" w:space="0"/>
                    <w:bottom w:val="single" w:color="auto" w:sz="4" w:space="0"/>
                    <w:right w:val="single" w:color="auto" w:sz="4" w:space="0"/>
                  </w:tcBorders>
                  <w:vAlign w:val="center"/>
                </w:tcPr>
                <w:p w14:paraId="5EAF798B">
                  <w:pPr>
                    <w:adjustRightInd w:val="0"/>
                    <w:snapToGrid w:val="0"/>
                    <w:jc w:val="center"/>
                    <w:rPr>
                      <w:szCs w:val="21"/>
                    </w:rPr>
                  </w:pPr>
                  <w:r>
                    <w:rPr>
                      <w:szCs w:val="21"/>
                    </w:rPr>
                    <w:t>属于《产业结构调整指导目录》（2019年本</w:t>
                  </w:r>
                  <w:r>
                    <w:rPr>
                      <w:rFonts w:hint="eastAsia"/>
                      <w:szCs w:val="21"/>
                    </w:rPr>
                    <w:t>，修订）</w:t>
                  </w:r>
                  <w:r>
                    <w:rPr>
                      <w:szCs w:val="21"/>
                    </w:rPr>
                    <w:t>中限制类</w:t>
                  </w:r>
                </w:p>
              </w:tc>
              <w:tc>
                <w:tcPr>
                  <w:tcW w:w="1780" w:type="dxa"/>
                  <w:tcBorders>
                    <w:top w:val="single" w:color="auto" w:sz="4" w:space="0"/>
                    <w:left w:val="single" w:color="auto" w:sz="4" w:space="0"/>
                    <w:bottom w:val="single" w:color="auto" w:sz="4" w:space="0"/>
                    <w:right w:val="single" w:color="auto" w:sz="4" w:space="0"/>
                  </w:tcBorders>
                  <w:vAlign w:val="center"/>
                </w:tcPr>
                <w:p w14:paraId="58132C75">
                  <w:pPr>
                    <w:adjustRightInd w:val="0"/>
                    <w:snapToGrid w:val="0"/>
                    <w:jc w:val="center"/>
                    <w:rPr>
                      <w:szCs w:val="21"/>
                    </w:rPr>
                  </w:pPr>
                  <w:r>
                    <w:rPr>
                      <w:szCs w:val="21"/>
                    </w:rPr>
                    <w:t>项目不属于目录中限制类或淘汰类</w:t>
                  </w:r>
                  <w:r>
                    <w:rPr>
                      <w:rFonts w:hint="eastAsia"/>
                      <w:szCs w:val="21"/>
                    </w:rPr>
                    <w:t>，</w:t>
                  </w:r>
                  <w:r>
                    <w:rPr>
                      <w:szCs w:val="21"/>
                    </w:rPr>
                    <w:t>属鼓励类项目</w:t>
                  </w:r>
                </w:p>
              </w:tc>
            </w:tr>
            <w:tr w14:paraId="515B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restart"/>
                  <w:tcBorders>
                    <w:top w:val="single" w:color="auto" w:sz="4" w:space="0"/>
                    <w:left w:val="single" w:color="auto" w:sz="4" w:space="0"/>
                    <w:bottom w:val="single" w:color="auto" w:sz="4" w:space="0"/>
                    <w:right w:val="single" w:color="auto" w:sz="4" w:space="0"/>
                  </w:tcBorders>
                  <w:vAlign w:val="center"/>
                </w:tcPr>
                <w:p w14:paraId="64D82587">
                  <w:pPr>
                    <w:adjustRightInd w:val="0"/>
                    <w:snapToGrid w:val="0"/>
                    <w:jc w:val="center"/>
                    <w:rPr>
                      <w:szCs w:val="21"/>
                    </w:rPr>
                  </w:pPr>
                  <w:r>
                    <w:rPr>
                      <w:szCs w:val="21"/>
                    </w:rPr>
                    <w:t>2</w:t>
                  </w:r>
                </w:p>
              </w:tc>
              <w:tc>
                <w:tcPr>
                  <w:tcW w:w="493" w:type="dxa"/>
                  <w:vMerge w:val="restart"/>
                  <w:tcBorders>
                    <w:top w:val="single" w:color="auto" w:sz="4" w:space="0"/>
                    <w:left w:val="single" w:color="auto" w:sz="4" w:space="0"/>
                    <w:bottom w:val="single" w:color="auto" w:sz="4" w:space="0"/>
                    <w:right w:val="single" w:color="auto" w:sz="4" w:space="0"/>
                  </w:tcBorders>
                  <w:vAlign w:val="center"/>
                </w:tcPr>
                <w:p w14:paraId="4022BE64">
                  <w:pPr>
                    <w:adjustRightInd w:val="0"/>
                    <w:snapToGrid w:val="0"/>
                    <w:jc w:val="center"/>
                    <w:rPr>
                      <w:szCs w:val="21"/>
                    </w:rPr>
                  </w:pPr>
                  <w:r>
                    <w:rPr>
                      <w:szCs w:val="21"/>
                    </w:rPr>
                    <w:t>生产工艺</w:t>
                  </w:r>
                </w:p>
              </w:tc>
              <w:tc>
                <w:tcPr>
                  <w:tcW w:w="712" w:type="dxa"/>
                  <w:gridSpan w:val="2"/>
                  <w:tcBorders>
                    <w:top w:val="single" w:color="auto" w:sz="4" w:space="0"/>
                    <w:left w:val="single" w:color="auto" w:sz="4" w:space="0"/>
                    <w:bottom w:val="single" w:color="auto" w:sz="4" w:space="0"/>
                    <w:right w:val="single" w:color="auto" w:sz="4" w:space="0"/>
                  </w:tcBorders>
                  <w:vAlign w:val="center"/>
                </w:tcPr>
                <w:p w14:paraId="74CCCA0A">
                  <w:pPr>
                    <w:adjustRightInd w:val="0"/>
                    <w:snapToGrid w:val="0"/>
                    <w:jc w:val="center"/>
                    <w:rPr>
                      <w:szCs w:val="21"/>
                    </w:rPr>
                  </w:pPr>
                  <w:r>
                    <w:rPr>
                      <w:szCs w:val="21"/>
                    </w:rPr>
                    <w:t>电子信息</w:t>
                  </w:r>
                </w:p>
              </w:tc>
              <w:tc>
                <w:tcPr>
                  <w:tcW w:w="1985" w:type="dxa"/>
                  <w:tcBorders>
                    <w:top w:val="single" w:color="auto" w:sz="4" w:space="0"/>
                    <w:left w:val="single" w:color="auto" w:sz="4" w:space="0"/>
                    <w:bottom w:val="single" w:color="auto" w:sz="4" w:space="0"/>
                    <w:right w:val="single" w:color="auto" w:sz="4" w:space="0"/>
                  </w:tcBorders>
                  <w:vAlign w:val="center"/>
                </w:tcPr>
                <w:p w14:paraId="500148AF">
                  <w:pPr>
                    <w:adjustRightInd w:val="0"/>
                    <w:snapToGrid w:val="0"/>
                    <w:jc w:val="center"/>
                    <w:rPr>
                      <w:szCs w:val="21"/>
                    </w:rPr>
                  </w:pPr>
                  <w:r>
                    <w:rPr>
                      <w:szCs w:val="21"/>
                    </w:rPr>
                    <w:t>涉及排放重金属生产工艺</w:t>
                  </w:r>
                </w:p>
              </w:tc>
              <w:tc>
                <w:tcPr>
                  <w:tcW w:w="2835" w:type="dxa"/>
                  <w:tcBorders>
                    <w:top w:val="single" w:color="auto" w:sz="4" w:space="0"/>
                    <w:left w:val="single" w:color="auto" w:sz="4" w:space="0"/>
                    <w:bottom w:val="single" w:color="auto" w:sz="4" w:space="0"/>
                    <w:right w:val="single" w:color="auto" w:sz="4" w:space="0"/>
                  </w:tcBorders>
                  <w:vAlign w:val="center"/>
                </w:tcPr>
                <w:p w14:paraId="32C2255B">
                  <w:pPr>
                    <w:adjustRightInd w:val="0"/>
                    <w:snapToGrid w:val="0"/>
                    <w:jc w:val="center"/>
                    <w:rPr>
                      <w:szCs w:val="21"/>
                    </w:rPr>
                  </w:pPr>
                  <w:r>
                    <w:rPr>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244AD096">
                  <w:pPr>
                    <w:adjustRightInd w:val="0"/>
                    <w:snapToGrid w:val="0"/>
                    <w:jc w:val="center"/>
                    <w:rPr>
                      <w:szCs w:val="21"/>
                    </w:rPr>
                  </w:pPr>
                  <w:r>
                    <w:rPr>
                      <w:rFonts w:hint="eastAsia"/>
                      <w:szCs w:val="21"/>
                    </w:rPr>
                    <w:t>项目不属于电子信息行业，不涉及重金属排放</w:t>
                  </w:r>
                </w:p>
              </w:tc>
            </w:tr>
            <w:tr w14:paraId="772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134AE8B0">
                  <w:pPr>
                    <w:widowControl/>
                    <w:jc w:val="left"/>
                    <w:rPr>
                      <w:szCs w:val="21"/>
                    </w:rPr>
                  </w:pPr>
                </w:p>
              </w:tc>
              <w:tc>
                <w:tcPr>
                  <w:tcW w:w="493" w:type="dxa"/>
                  <w:vMerge w:val="continue"/>
                  <w:tcBorders>
                    <w:top w:val="single" w:color="auto" w:sz="4" w:space="0"/>
                    <w:left w:val="single" w:color="auto" w:sz="4" w:space="0"/>
                    <w:bottom w:val="single" w:color="auto" w:sz="4" w:space="0"/>
                    <w:right w:val="single" w:color="auto" w:sz="4" w:space="0"/>
                  </w:tcBorders>
                  <w:vAlign w:val="center"/>
                </w:tcPr>
                <w:p w14:paraId="6C213648">
                  <w:pPr>
                    <w:widowControl/>
                    <w:jc w:val="left"/>
                    <w:rPr>
                      <w:szCs w:val="21"/>
                    </w:rPr>
                  </w:pPr>
                </w:p>
              </w:tc>
              <w:tc>
                <w:tcPr>
                  <w:tcW w:w="712" w:type="dxa"/>
                  <w:gridSpan w:val="2"/>
                  <w:tcBorders>
                    <w:top w:val="single" w:color="auto" w:sz="4" w:space="0"/>
                    <w:left w:val="single" w:color="auto" w:sz="4" w:space="0"/>
                    <w:bottom w:val="single" w:color="auto" w:sz="4" w:space="0"/>
                    <w:right w:val="single" w:color="auto" w:sz="4" w:space="0"/>
                  </w:tcBorders>
                  <w:vAlign w:val="center"/>
                </w:tcPr>
                <w:p w14:paraId="547C474D">
                  <w:pPr>
                    <w:pStyle w:val="42"/>
                    <w:spacing w:before="24" w:after="24" w:line="360" w:lineRule="exact"/>
                    <w:rPr>
                      <w:rFonts w:ascii="Times New Roman"/>
                      <w:kern w:val="2"/>
                      <w:szCs w:val="21"/>
                    </w:rPr>
                  </w:pPr>
                  <w:r>
                    <w:rPr>
                      <w:rFonts w:ascii="Times New Roman"/>
                      <w:kern w:val="2"/>
                      <w:szCs w:val="21"/>
                    </w:rPr>
                    <w:t>装备制造（汽车）</w:t>
                  </w:r>
                </w:p>
              </w:tc>
              <w:tc>
                <w:tcPr>
                  <w:tcW w:w="1985" w:type="dxa"/>
                  <w:tcBorders>
                    <w:top w:val="single" w:color="auto" w:sz="4" w:space="0"/>
                    <w:left w:val="single" w:color="auto" w:sz="4" w:space="0"/>
                    <w:bottom w:val="single" w:color="auto" w:sz="4" w:space="0"/>
                    <w:right w:val="single" w:color="auto" w:sz="4" w:space="0"/>
                  </w:tcBorders>
                  <w:vAlign w:val="center"/>
                </w:tcPr>
                <w:p w14:paraId="2701B7B8">
                  <w:pPr>
                    <w:adjustRightInd w:val="0"/>
                    <w:snapToGrid w:val="0"/>
                    <w:jc w:val="center"/>
                    <w:rPr>
                      <w:szCs w:val="21"/>
                    </w:rPr>
                  </w:pPr>
                  <w:r>
                    <w:rPr>
                      <w:szCs w:val="21"/>
                    </w:rPr>
                    <w:t>未设置挥发性有机物削减设施的溶剂型涂料表面涂装生产线</w:t>
                  </w:r>
                </w:p>
              </w:tc>
              <w:tc>
                <w:tcPr>
                  <w:tcW w:w="2835" w:type="dxa"/>
                  <w:tcBorders>
                    <w:top w:val="single" w:color="auto" w:sz="4" w:space="0"/>
                    <w:left w:val="single" w:color="auto" w:sz="4" w:space="0"/>
                    <w:bottom w:val="single" w:color="auto" w:sz="4" w:space="0"/>
                    <w:right w:val="single" w:color="auto" w:sz="4" w:space="0"/>
                  </w:tcBorders>
                  <w:vAlign w:val="center"/>
                </w:tcPr>
                <w:p w14:paraId="685EFFAE">
                  <w:pPr>
                    <w:pStyle w:val="42"/>
                    <w:spacing w:before="24" w:after="24" w:line="360" w:lineRule="exact"/>
                    <w:rPr>
                      <w:rFonts w:ascii="Times New Roman"/>
                      <w:kern w:val="2"/>
                      <w:szCs w:val="21"/>
                    </w:rPr>
                  </w:pPr>
                  <w:r>
                    <w:rPr>
                      <w:rFonts w:ascii="Times New Roman"/>
                      <w:kern w:val="2"/>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130BB426">
                  <w:pPr>
                    <w:adjustRightInd w:val="0"/>
                    <w:snapToGrid w:val="0"/>
                    <w:jc w:val="center"/>
                    <w:rPr>
                      <w:szCs w:val="21"/>
                    </w:rPr>
                  </w:pPr>
                  <w:r>
                    <w:rPr>
                      <w:rFonts w:hint="eastAsia"/>
                      <w:szCs w:val="21"/>
                    </w:rPr>
                    <w:t>项目不涉及涂装工艺</w:t>
                  </w:r>
                </w:p>
              </w:tc>
            </w:tr>
            <w:tr w14:paraId="1018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6CFA8A08">
                  <w:pPr>
                    <w:widowControl/>
                    <w:jc w:val="left"/>
                    <w:rPr>
                      <w:szCs w:val="21"/>
                    </w:rPr>
                  </w:pPr>
                </w:p>
              </w:tc>
              <w:tc>
                <w:tcPr>
                  <w:tcW w:w="493" w:type="dxa"/>
                  <w:vMerge w:val="continue"/>
                  <w:tcBorders>
                    <w:top w:val="single" w:color="auto" w:sz="4" w:space="0"/>
                    <w:left w:val="single" w:color="auto" w:sz="4" w:space="0"/>
                    <w:bottom w:val="single" w:color="auto" w:sz="4" w:space="0"/>
                    <w:right w:val="single" w:color="auto" w:sz="4" w:space="0"/>
                  </w:tcBorders>
                  <w:vAlign w:val="center"/>
                </w:tcPr>
                <w:p w14:paraId="00C956AE">
                  <w:pPr>
                    <w:widowControl/>
                    <w:jc w:val="left"/>
                    <w:rPr>
                      <w:szCs w:val="21"/>
                    </w:rPr>
                  </w:pPr>
                </w:p>
              </w:tc>
              <w:tc>
                <w:tcPr>
                  <w:tcW w:w="712" w:type="dxa"/>
                  <w:gridSpan w:val="2"/>
                  <w:tcBorders>
                    <w:top w:val="single" w:color="auto" w:sz="4" w:space="0"/>
                    <w:left w:val="single" w:color="auto" w:sz="4" w:space="0"/>
                    <w:bottom w:val="single" w:color="auto" w:sz="4" w:space="0"/>
                    <w:right w:val="single" w:color="auto" w:sz="4" w:space="0"/>
                  </w:tcBorders>
                  <w:vAlign w:val="center"/>
                </w:tcPr>
                <w:p w14:paraId="446A5472">
                  <w:pPr>
                    <w:pStyle w:val="42"/>
                    <w:spacing w:before="24" w:after="24" w:line="360" w:lineRule="exact"/>
                    <w:rPr>
                      <w:rFonts w:ascii="Times New Roman"/>
                      <w:kern w:val="2"/>
                      <w:szCs w:val="21"/>
                    </w:rPr>
                  </w:pPr>
                  <w:r>
                    <w:rPr>
                      <w:rFonts w:ascii="Times New Roman"/>
                      <w:kern w:val="2"/>
                      <w:szCs w:val="21"/>
                    </w:rPr>
                    <w:t>食品医药</w:t>
                  </w:r>
                </w:p>
              </w:tc>
              <w:tc>
                <w:tcPr>
                  <w:tcW w:w="1985" w:type="dxa"/>
                  <w:tcBorders>
                    <w:top w:val="single" w:color="auto" w:sz="4" w:space="0"/>
                    <w:left w:val="single" w:color="auto" w:sz="4" w:space="0"/>
                    <w:bottom w:val="single" w:color="auto" w:sz="4" w:space="0"/>
                    <w:right w:val="single" w:color="auto" w:sz="4" w:space="0"/>
                  </w:tcBorders>
                  <w:vAlign w:val="center"/>
                </w:tcPr>
                <w:p w14:paraId="62D31E45">
                  <w:pPr>
                    <w:adjustRightInd w:val="0"/>
                    <w:snapToGrid w:val="0"/>
                    <w:jc w:val="center"/>
                    <w:rPr>
                      <w:szCs w:val="21"/>
                    </w:rPr>
                  </w:pPr>
                  <w:r>
                    <w:rPr>
                      <w:szCs w:val="21"/>
                    </w:rPr>
                    <w:t>/</w:t>
                  </w:r>
                </w:p>
              </w:tc>
              <w:tc>
                <w:tcPr>
                  <w:tcW w:w="2835" w:type="dxa"/>
                  <w:tcBorders>
                    <w:top w:val="single" w:color="auto" w:sz="4" w:space="0"/>
                    <w:left w:val="single" w:color="auto" w:sz="4" w:space="0"/>
                    <w:bottom w:val="single" w:color="auto" w:sz="4" w:space="0"/>
                    <w:right w:val="single" w:color="auto" w:sz="4" w:space="0"/>
                  </w:tcBorders>
                  <w:vAlign w:val="center"/>
                </w:tcPr>
                <w:p w14:paraId="656DEB83">
                  <w:pPr>
                    <w:pStyle w:val="42"/>
                    <w:spacing w:before="24" w:after="24" w:line="360" w:lineRule="exact"/>
                    <w:rPr>
                      <w:rFonts w:ascii="Times New Roman"/>
                      <w:kern w:val="2"/>
                      <w:szCs w:val="21"/>
                    </w:rPr>
                  </w:pPr>
                  <w:r>
                    <w:rPr>
                      <w:rFonts w:ascii="Times New Roman"/>
                      <w:kern w:val="2"/>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0EFE6D28">
                  <w:pPr>
                    <w:adjustRightInd w:val="0"/>
                    <w:snapToGrid w:val="0"/>
                    <w:jc w:val="center"/>
                    <w:rPr>
                      <w:szCs w:val="21"/>
                    </w:rPr>
                  </w:pPr>
                  <w:r>
                    <w:rPr>
                      <w:rFonts w:hint="eastAsia"/>
                      <w:szCs w:val="21"/>
                    </w:rPr>
                    <w:t>项目</w:t>
                  </w:r>
                  <w:r>
                    <w:rPr>
                      <w:szCs w:val="21"/>
                    </w:rPr>
                    <w:t>不属于食品</w:t>
                  </w:r>
                  <w:r>
                    <w:rPr>
                      <w:rFonts w:hint="eastAsia"/>
                      <w:szCs w:val="21"/>
                    </w:rPr>
                    <w:t>、</w:t>
                  </w:r>
                  <w:r>
                    <w:rPr>
                      <w:szCs w:val="21"/>
                    </w:rPr>
                    <w:t>医药行业</w:t>
                  </w:r>
                </w:p>
              </w:tc>
            </w:tr>
            <w:tr w14:paraId="603A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1072734F">
                  <w:pPr>
                    <w:widowControl/>
                    <w:jc w:val="left"/>
                    <w:rPr>
                      <w:szCs w:val="21"/>
                    </w:rPr>
                  </w:pPr>
                </w:p>
              </w:tc>
              <w:tc>
                <w:tcPr>
                  <w:tcW w:w="493" w:type="dxa"/>
                  <w:vMerge w:val="continue"/>
                  <w:tcBorders>
                    <w:top w:val="single" w:color="auto" w:sz="4" w:space="0"/>
                    <w:left w:val="single" w:color="auto" w:sz="4" w:space="0"/>
                    <w:bottom w:val="single" w:color="auto" w:sz="4" w:space="0"/>
                    <w:right w:val="single" w:color="auto" w:sz="4" w:space="0"/>
                  </w:tcBorders>
                  <w:vAlign w:val="center"/>
                </w:tcPr>
                <w:p w14:paraId="57C16F67">
                  <w:pPr>
                    <w:widowControl/>
                    <w:jc w:val="left"/>
                    <w:rPr>
                      <w:szCs w:val="21"/>
                    </w:rPr>
                  </w:pPr>
                </w:p>
              </w:tc>
              <w:tc>
                <w:tcPr>
                  <w:tcW w:w="712" w:type="dxa"/>
                  <w:gridSpan w:val="2"/>
                  <w:tcBorders>
                    <w:top w:val="single" w:color="auto" w:sz="4" w:space="0"/>
                    <w:left w:val="single" w:color="auto" w:sz="4" w:space="0"/>
                    <w:bottom w:val="single" w:color="auto" w:sz="4" w:space="0"/>
                    <w:right w:val="single" w:color="auto" w:sz="4" w:space="0"/>
                  </w:tcBorders>
                  <w:vAlign w:val="center"/>
                </w:tcPr>
                <w:p w14:paraId="5686E05E">
                  <w:pPr>
                    <w:pStyle w:val="42"/>
                    <w:spacing w:before="24" w:after="24" w:line="360" w:lineRule="exact"/>
                    <w:rPr>
                      <w:rFonts w:ascii="Times New Roman"/>
                      <w:kern w:val="2"/>
                      <w:szCs w:val="21"/>
                    </w:rPr>
                  </w:pPr>
                  <w:r>
                    <w:rPr>
                      <w:rFonts w:ascii="Times New Roman"/>
                      <w:kern w:val="2"/>
                      <w:szCs w:val="21"/>
                    </w:rPr>
                    <w:t>材料</w:t>
                  </w:r>
                </w:p>
              </w:tc>
              <w:tc>
                <w:tcPr>
                  <w:tcW w:w="1985" w:type="dxa"/>
                  <w:tcBorders>
                    <w:top w:val="single" w:color="auto" w:sz="4" w:space="0"/>
                    <w:left w:val="single" w:color="auto" w:sz="4" w:space="0"/>
                    <w:bottom w:val="single" w:color="auto" w:sz="4" w:space="0"/>
                    <w:right w:val="single" w:color="auto" w:sz="4" w:space="0"/>
                  </w:tcBorders>
                  <w:vAlign w:val="center"/>
                </w:tcPr>
                <w:p w14:paraId="71BF7438">
                  <w:pPr>
                    <w:adjustRightInd w:val="0"/>
                    <w:snapToGrid w:val="0"/>
                    <w:jc w:val="center"/>
                    <w:rPr>
                      <w:szCs w:val="21"/>
                    </w:rPr>
                  </w:pPr>
                  <w:r>
                    <w:rPr>
                      <w:szCs w:val="21"/>
                    </w:rPr>
                    <w:t>采用燃煤、焦炭等作为原材料的工艺</w:t>
                  </w:r>
                </w:p>
              </w:tc>
              <w:tc>
                <w:tcPr>
                  <w:tcW w:w="2835" w:type="dxa"/>
                  <w:tcBorders>
                    <w:top w:val="single" w:color="auto" w:sz="4" w:space="0"/>
                    <w:left w:val="single" w:color="auto" w:sz="4" w:space="0"/>
                    <w:bottom w:val="single" w:color="auto" w:sz="4" w:space="0"/>
                    <w:right w:val="single" w:color="auto" w:sz="4" w:space="0"/>
                  </w:tcBorders>
                  <w:vAlign w:val="center"/>
                </w:tcPr>
                <w:p w14:paraId="3508B8C0">
                  <w:pPr>
                    <w:pStyle w:val="42"/>
                    <w:spacing w:before="24" w:after="24" w:line="360" w:lineRule="exact"/>
                    <w:rPr>
                      <w:rFonts w:ascii="Times New Roman"/>
                      <w:kern w:val="2"/>
                      <w:szCs w:val="21"/>
                    </w:rPr>
                  </w:pPr>
                  <w:r>
                    <w:rPr>
                      <w:rFonts w:ascii="Times New Roman"/>
                      <w:kern w:val="2"/>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5F17E0ED">
                  <w:pPr>
                    <w:adjustRightInd w:val="0"/>
                    <w:snapToGrid w:val="0"/>
                    <w:jc w:val="center"/>
                    <w:rPr>
                      <w:szCs w:val="21"/>
                    </w:rPr>
                  </w:pPr>
                  <w:r>
                    <w:rPr>
                      <w:szCs w:val="21"/>
                    </w:rPr>
                    <w:t>项目</w:t>
                  </w:r>
                  <w:r>
                    <w:rPr>
                      <w:rFonts w:hint="eastAsia"/>
                      <w:szCs w:val="21"/>
                    </w:rPr>
                    <w:t>不属于</w:t>
                  </w:r>
                  <w:r>
                    <w:rPr>
                      <w:szCs w:val="21"/>
                    </w:rPr>
                    <w:t>材料行业</w:t>
                  </w:r>
                </w:p>
              </w:tc>
            </w:tr>
            <w:tr w14:paraId="38E5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restart"/>
                  <w:tcBorders>
                    <w:top w:val="single" w:color="auto" w:sz="4" w:space="0"/>
                    <w:left w:val="single" w:color="auto" w:sz="4" w:space="0"/>
                    <w:bottom w:val="single" w:color="auto" w:sz="4" w:space="0"/>
                    <w:right w:val="single" w:color="auto" w:sz="4" w:space="0"/>
                  </w:tcBorders>
                  <w:vAlign w:val="center"/>
                </w:tcPr>
                <w:p w14:paraId="6E321E7C">
                  <w:pPr>
                    <w:adjustRightInd w:val="0"/>
                    <w:snapToGrid w:val="0"/>
                    <w:jc w:val="center"/>
                    <w:rPr>
                      <w:szCs w:val="21"/>
                    </w:rPr>
                  </w:pPr>
                  <w:r>
                    <w:rPr>
                      <w:szCs w:val="21"/>
                    </w:rPr>
                    <w:t>3</w:t>
                  </w:r>
                </w:p>
              </w:tc>
              <w:tc>
                <w:tcPr>
                  <w:tcW w:w="499" w:type="dxa"/>
                  <w:gridSpan w:val="2"/>
                  <w:vMerge w:val="restart"/>
                  <w:tcBorders>
                    <w:top w:val="single" w:color="auto" w:sz="4" w:space="0"/>
                    <w:left w:val="single" w:color="auto" w:sz="4" w:space="0"/>
                    <w:bottom w:val="single" w:color="auto" w:sz="4" w:space="0"/>
                    <w:right w:val="single" w:color="auto" w:sz="4" w:space="0"/>
                  </w:tcBorders>
                  <w:vAlign w:val="center"/>
                </w:tcPr>
                <w:p w14:paraId="14740298">
                  <w:pPr>
                    <w:adjustRightInd w:val="0"/>
                    <w:snapToGrid w:val="0"/>
                    <w:jc w:val="center"/>
                    <w:rPr>
                      <w:szCs w:val="21"/>
                    </w:rPr>
                  </w:pPr>
                  <w:r>
                    <w:rPr>
                      <w:szCs w:val="21"/>
                    </w:rPr>
                    <w:t>产品</w:t>
                  </w:r>
                </w:p>
              </w:tc>
              <w:tc>
                <w:tcPr>
                  <w:tcW w:w="706" w:type="dxa"/>
                  <w:tcBorders>
                    <w:top w:val="single" w:color="auto" w:sz="4" w:space="0"/>
                    <w:left w:val="single" w:color="auto" w:sz="4" w:space="0"/>
                    <w:bottom w:val="single" w:color="auto" w:sz="4" w:space="0"/>
                    <w:right w:val="single" w:color="auto" w:sz="4" w:space="0"/>
                  </w:tcBorders>
                  <w:vAlign w:val="center"/>
                </w:tcPr>
                <w:p w14:paraId="7DDA2A7A">
                  <w:pPr>
                    <w:adjustRightInd w:val="0"/>
                    <w:snapToGrid w:val="0"/>
                    <w:jc w:val="center"/>
                    <w:rPr>
                      <w:szCs w:val="21"/>
                    </w:rPr>
                  </w:pPr>
                  <w:r>
                    <w:rPr>
                      <w:szCs w:val="21"/>
                    </w:rPr>
                    <w:t>电子信息</w:t>
                  </w:r>
                </w:p>
              </w:tc>
              <w:tc>
                <w:tcPr>
                  <w:tcW w:w="1985" w:type="dxa"/>
                  <w:tcBorders>
                    <w:top w:val="single" w:color="auto" w:sz="4" w:space="0"/>
                    <w:left w:val="single" w:color="auto" w:sz="4" w:space="0"/>
                    <w:bottom w:val="single" w:color="auto" w:sz="4" w:space="0"/>
                    <w:right w:val="single" w:color="auto" w:sz="4" w:space="0"/>
                  </w:tcBorders>
                  <w:vAlign w:val="center"/>
                </w:tcPr>
                <w:p w14:paraId="726B5CFC">
                  <w:pPr>
                    <w:adjustRightInd w:val="0"/>
                    <w:snapToGrid w:val="0"/>
                    <w:jc w:val="center"/>
                    <w:rPr>
                      <w:szCs w:val="21"/>
                    </w:rPr>
                  </w:pPr>
                  <w:r>
                    <w:rPr>
                      <w:szCs w:val="21"/>
                    </w:rPr>
                    <w:t>/</w:t>
                  </w:r>
                </w:p>
              </w:tc>
              <w:tc>
                <w:tcPr>
                  <w:tcW w:w="2835" w:type="dxa"/>
                  <w:tcBorders>
                    <w:top w:val="single" w:color="auto" w:sz="4" w:space="0"/>
                    <w:left w:val="single" w:color="auto" w:sz="4" w:space="0"/>
                    <w:bottom w:val="single" w:color="auto" w:sz="4" w:space="0"/>
                    <w:right w:val="single" w:color="auto" w:sz="4" w:space="0"/>
                  </w:tcBorders>
                  <w:vAlign w:val="center"/>
                </w:tcPr>
                <w:p w14:paraId="09D67E9E">
                  <w:pPr>
                    <w:adjustRightInd w:val="0"/>
                    <w:snapToGrid w:val="0"/>
                    <w:jc w:val="center"/>
                    <w:rPr>
                      <w:szCs w:val="21"/>
                    </w:rPr>
                  </w:pPr>
                  <w:r>
                    <w:rPr>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14EE86B8">
                  <w:pPr>
                    <w:adjustRightInd w:val="0"/>
                    <w:snapToGrid w:val="0"/>
                    <w:jc w:val="center"/>
                    <w:rPr>
                      <w:szCs w:val="21"/>
                    </w:rPr>
                  </w:pPr>
                  <w:r>
                    <w:rPr>
                      <w:szCs w:val="21"/>
                    </w:rPr>
                    <w:t>项目</w:t>
                  </w:r>
                  <w:r>
                    <w:rPr>
                      <w:rFonts w:hint="eastAsia"/>
                      <w:szCs w:val="21"/>
                    </w:rPr>
                    <w:t>不属于</w:t>
                  </w:r>
                  <w:r>
                    <w:rPr>
                      <w:szCs w:val="21"/>
                    </w:rPr>
                    <w:t>电子信息行业</w:t>
                  </w:r>
                </w:p>
              </w:tc>
            </w:tr>
            <w:tr w14:paraId="621D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525B4E1B">
                  <w:pPr>
                    <w:widowControl/>
                    <w:jc w:val="left"/>
                    <w:rPr>
                      <w:szCs w:val="21"/>
                    </w:rPr>
                  </w:pPr>
                </w:p>
              </w:tc>
              <w:tc>
                <w:tcPr>
                  <w:tcW w:w="499" w:type="dxa"/>
                  <w:gridSpan w:val="2"/>
                  <w:vMerge w:val="continue"/>
                  <w:tcBorders>
                    <w:top w:val="single" w:color="auto" w:sz="4" w:space="0"/>
                    <w:left w:val="single" w:color="auto" w:sz="4" w:space="0"/>
                    <w:bottom w:val="single" w:color="auto" w:sz="4" w:space="0"/>
                    <w:right w:val="single" w:color="auto" w:sz="4" w:space="0"/>
                  </w:tcBorders>
                  <w:vAlign w:val="center"/>
                </w:tcPr>
                <w:p w14:paraId="5CBEE3ED">
                  <w:pPr>
                    <w:widowControl/>
                    <w:jc w:val="left"/>
                    <w:rPr>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50948CBF">
                  <w:pPr>
                    <w:pStyle w:val="42"/>
                    <w:spacing w:before="24" w:after="24" w:line="360" w:lineRule="exact"/>
                    <w:rPr>
                      <w:rFonts w:ascii="Times New Roman"/>
                      <w:kern w:val="2"/>
                      <w:szCs w:val="21"/>
                    </w:rPr>
                  </w:pPr>
                  <w:r>
                    <w:rPr>
                      <w:rFonts w:ascii="Times New Roman"/>
                      <w:kern w:val="2"/>
                      <w:szCs w:val="21"/>
                    </w:rPr>
                    <w:t>装备制造（汽车）</w:t>
                  </w:r>
                </w:p>
              </w:tc>
              <w:tc>
                <w:tcPr>
                  <w:tcW w:w="1985" w:type="dxa"/>
                  <w:tcBorders>
                    <w:top w:val="single" w:color="auto" w:sz="4" w:space="0"/>
                    <w:left w:val="single" w:color="auto" w:sz="4" w:space="0"/>
                    <w:bottom w:val="single" w:color="auto" w:sz="4" w:space="0"/>
                    <w:right w:val="single" w:color="auto" w:sz="4" w:space="0"/>
                  </w:tcBorders>
                  <w:vAlign w:val="center"/>
                </w:tcPr>
                <w:p w14:paraId="06434FD1">
                  <w:pPr>
                    <w:adjustRightInd w:val="0"/>
                    <w:snapToGrid w:val="0"/>
                    <w:jc w:val="center"/>
                    <w:rPr>
                      <w:szCs w:val="21"/>
                    </w:rPr>
                  </w:pPr>
                  <w:r>
                    <w:rPr>
                      <w:szCs w:val="21"/>
                    </w:rPr>
                    <w:t>不满足国家现行尾气排放标准汽车整车产品</w:t>
                  </w:r>
                </w:p>
              </w:tc>
              <w:tc>
                <w:tcPr>
                  <w:tcW w:w="2835" w:type="dxa"/>
                  <w:tcBorders>
                    <w:top w:val="single" w:color="auto" w:sz="4" w:space="0"/>
                    <w:left w:val="single" w:color="auto" w:sz="4" w:space="0"/>
                    <w:bottom w:val="single" w:color="auto" w:sz="4" w:space="0"/>
                    <w:right w:val="single" w:color="auto" w:sz="4" w:space="0"/>
                  </w:tcBorders>
                  <w:vAlign w:val="center"/>
                </w:tcPr>
                <w:p w14:paraId="5708CD40">
                  <w:pPr>
                    <w:pStyle w:val="42"/>
                    <w:spacing w:before="24" w:after="24" w:line="360" w:lineRule="exact"/>
                    <w:rPr>
                      <w:rFonts w:ascii="Times New Roman"/>
                      <w:kern w:val="2"/>
                      <w:szCs w:val="21"/>
                    </w:rPr>
                  </w:pPr>
                  <w:r>
                    <w:rPr>
                      <w:rFonts w:ascii="Times New Roman"/>
                      <w:kern w:val="2"/>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2A146572">
                  <w:pPr>
                    <w:adjustRightInd w:val="0"/>
                    <w:snapToGrid w:val="0"/>
                    <w:jc w:val="center"/>
                    <w:rPr>
                      <w:szCs w:val="21"/>
                    </w:rPr>
                  </w:pPr>
                  <w:r>
                    <w:rPr>
                      <w:rFonts w:hint="eastAsia"/>
                      <w:szCs w:val="21"/>
                    </w:rPr>
                    <w:t>项目为汽车零部件生产，不属于汽车整车制造</w:t>
                  </w:r>
                </w:p>
              </w:tc>
            </w:tr>
            <w:tr w14:paraId="78BB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26A85001">
                  <w:pPr>
                    <w:widowControl/>
                    <w:jc w:val="left"/>
                    <w:rPr>
                      <w:szCs w:val="21"/>
                    </w:rPr>
                  </w:pPr>
                </w:p>
              </w:tc>
              <w:tc>
                <w:tcPr>
                  <w:tcW w:w="499" w:type="dxa"/>
                  <w:gridSpan w:val="2"/>
                  <w:vMerge w:val="continue"/>
                  <w:tcBorders>
                    <w:top w:val="single" w:color="auto" w:sz="4" w:space="0"/>
                    <w:left w:val="single" w:color="auto" w:sz="4" w:space="0"/>
                    <w:bottom w:val="single" w:color="auto" w:sz="4" w:space="0"/>
                    <w:right w:val="single" w:color="auto" w:sz="4" w:space="0"/>
                  </w:tcBorders>
                  <w:vAlign w:val="center"/>
                </w:tcPr>
                <w:p w14:paraId="76170B6F">
                  <w:pPr>
                    <w:widowControl/>
                    <w:jc w:val="left"/>
                    <w:rPr>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3B75DDFB">
                  <w:pPr>
                    <w:pStyle w:val="42"/>
                    <w:spacing w:before="24" w:after="24" w:line="360" w:lineRule="exact"/>
                    <w:rPr>
                      <w:rFonts w:ascii="Times New Roman"/>
                      <w:kern w:val="2"/>
                      <w:szCs w:val="21"/>
                    </w:rPr>
                  </w:pPr>
                  <w:r>
                    <w:rPr>
                      <w:rFonts w:ascii="Times New Roman"/>
                      <w:kern w:val="2"/>
                      <w:szCs w:val="21"/>
                    </w:rPr>
                    <w:t>食品医药</w:t>
                  </w:r>
                </w:p>
              </w:tc>
              <w:tc>
                <w:tcPr>
                  <w:tcW w:w="1985" w:type="dxa"/>
                  <w:tcBorders>
                    <w:top w:val="single" w:color="auto" w:sz="4" w:space="0"/>
                    <w:left w:val="single" w:color="auto" w:sz="4" w:space="0"/>
                    <w:bottom w:val="single" w:color="auto" w:sz="4" w:space="0"/>
                    <w:right w:val="single" w:color="auto" w:sz="4" w:space="0"/>
                  </w:tcBorders>
                  <w:vAlign w:val="center"/>
                </w:tcPr>
                <w:p w14:paraId="615C0309">
                  <w:pPr>
                    <w:adjustRightInd w:val="0"/>
                    <w:snapToGrid w:val="0"/>
                    <w:jc w:val="center"/>
                    <w:rPr>
                      <w:szCs w:val="21"/>
                    </w:rPr>
                  </w:pPr>
                  <w:r>
                    <w:rPr>
                      <w:szCs w:val="21"/>
                    </w:rPr>
                    <w:t>化学原料药</w:t>
                  </w:r>
                </w:p>
              </w:tc>
              <w:tc>
                <w:tcPr>
                  <w:tcW w:w="2835" w:type="dxa"/>
                  <w:tcBorders>
                    <w:top w:val="single" w:color="auto" w:sz="4" w:space="0"/>
                    <w:left w:val="single" w:color="auto" w:sz="4" w:space="0"/>
                    <w:bottom w:val="single" w:color="auto" w:sz="4" w:space="0"/>
                    <w:right w:val="single" w:color="auto" w:sz="4" w:space="0"/>
                  </w:tcBorders>
                  <w:vAlign w:val="center"/>
                </w:tcPr>
                <w:p w14:paraId="48B96629">
                  <w:pPr>
                    <w:pStyle w:val="42"/>
                    <w:spacing w:before="24" w:after="24" w:line="360" w:lineRule="exact"/>
                    <w:rPr>
                      <w:rFonts w:ascii="Times New Roman"/>
                      <w:kern w:val="2"/>
                      <w:szCs w:val="21"/>
                    </w:rPr>
                  </w:pPr>
                  <w:r>
                    <w:rPr>
                      <w:rFonts w:ascii="Times New Roman"/>
                      <w:kern w:val="2"/>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0E1CC6A1">
                  <w:pPr>
                    <w:adjustRightInd w:val="0"/>
                    <w:snapToGrid w:val="0"/>
                    <w:jc w:val="center"/>
                    <w:rPr>
                      <w:szCs w:val="21"/>
                    </w:rPr>
                  </w:pPr>
                  <w:r>
                    <w:rPr>
                      <w:rFonts w:hint="eastAsia"/>
                      <w:szCs w:val="21"/>
                    </w:rPr>
                    <w:t>项目不属于食品医药行业</w:t>
                  </w:r>
                </w:p>
              </w:tc>
            </w:tr>
            <w:tr w14:paraId="1AB1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vMerge w:val="continue"/>
                  <w:tcBorders>
                    <w:top w:val="single" w:color="auto" w:sz="4" w:space="0"/>
                    <w:left w:val="single" w:color="auto" w:sz="4" w:space="0"/>
                    <w:bottom w:val="single" w:color="auto" w:sz="4" w:space="0"/>
                    <w:right w:val="single" w:color="auto" w:sz="4" w:space="0"/>
                  </w:tcBorders>
                  <w:vAlign w:val="center"/>
                </w:tcPr>
                <w:p w14:paraId="04B0CBFB">
                  <w:pPr>
                    <w:widowControl/>
                    <w:jc w:val="left"/>
                    <w:rPr>
                      <w:szCs w:val="21"/>
                    </w:rPr>
                  </w:pPr>
                </w:p>
              </w:tc>
              <w:tc>
                <w:tcPr>
                  <w:tcW w:w="499" w:type="dxa"/>
                  <w:gridSpan w:val="2"/>
                  <w:vMerge w:val="continue"/>
                  <w:tcBorders>
                    <w:top w:val="single" w:color="auto" w:sz="4" w:space="0"/>
                    <w:left w:val="single" w:color="auto" w:sz="4" w:space="0"/>
                    <w:bottom w:val="single" w:color="auto" w:sz="4" w:space="0"/>
                    <w:right w:val="single" w:color="auto" w:sz="4" w:space="0"/>
                  </w:tcBorders>
                  <w:vAlign w:val="center"/>
                </w:tcPr>
                <w:p w14:paraId="54A583B5">
                  <w:pPr>
                    <w:widowControl/>
                    <w:jc w:val="left"/>
                    <w:rPr>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634D7A3B">
                  <w:pPr>
                    <w:pStyle w:val="42"/>
                    <w:spacing w:before="24" w:after="24" w:line="360" w:lineRule="exact"/>
                    <w:rPr>
                      <w:rFonts w:ascii="Times New Roman"/>
                      <w:kern w:val="2"/>
                      <w:szCs w:val="21"/>
                    </w:rPr>
                  </w:pPr>
                  <w:r>
                    <w:rPr>
                      <w:rFonts w:ascii="Times New Roman"/>
                      <w:kern w:val="2"/>
                      <w:szCs w:val="21"/>
                    </w:rPr>
                    <w:t>材料</w:t>
                  </w:r>
                </w:p>
              </w:tc>
              <w:tc>
                <w:tcPr>
                  <w:tcW w:w="1985" w:type="dxa"/>
                  <w:tcBorders>
                    <w:top w:val="single" w:color="auto" w:sz="4" w:space="0"/>
                    <w:left w:val="single" w:color="auto" w:sz="4" w:space="0"/>
                    <w:bottom w:val="single" w:color="auto" w:sz="4" w:space="0"/>
                    <w:right w:val="single" w:color="auto" w:sz="4" w:space="0"/>
                  </w:tcBorders>
                  <w:vAlign w:val="center"/>
                </w:tcPr>
                <w:p w14:paraId="60662153">
                  <w:pPr>
                    <w:adjustRightInd w:val="0"/>
                    <w:snapToGrid w:val="0"/>
                    <w:jc w:val="center"/>
                    <w:rPr>
                      <w:szCs w:val="21"/>
                    </w:rPr>
                  </w:pPr>
                  <w:r>
                    <w:rPr>
                      <w:szCs w:val="21"/>
                    </w:rPr>
                    <w:t>基础化学类原料产品；耐火材料；初级形态塑料、合成树脂、合成橡胶、合成纤维等；再生铅产品</w:t>
                  </w:r>
                </w:p>
              </w:tc>
              <w:tc>
                <w:tcPr>
                  <w:tcW w:w="2835" w:type="dxa"/>
                  <w:tcBorders>
                    <w:top w:val="single" w:color="auto" w:sz="4" w:space="0"/>
                    <w:left w:val="single" w:color="auto" w:sz="4" w:space="0"/>
                    <w:bottom w:val="single" w:color="auto" w:sz="4" w:space="0"/>
                    <w:right w:val="single" w:color="auto" w:sz="4" w:space="0"/>
                  </w:tcBorders>
                  <w:vAlign w:val="center"/>
                </w:tcPr>
                <w:p w14:paraId="53552E2F">
                  <w:pPr>
                    <w:pStyle w:val="42"/>
                    <w:spacing w:before="24" w:after="24" w:line="360" w:lineRule="exact"/>
                    <w:rPr>
                      <w:rFonts w:ascii="Times New Roman"/>
                      <w:kern w:val="2"/>
                      <w:szCs w:val="21"/>
                    </w:rPr>
                  </w:pPr>
                  <w:r>
                    <w:rPr>
                      <w:rFonts w:ascii="Times New Roman"/>
                      <w:kern w:val="2"/>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14:paraId="33C99FAC">
                  <w:pPr>
                    <w:adjustRightInd w:val="0"/>
                    <w:snapToGrid w:val="0"/>
                    <w:jc w:val="center"/>
                    <w:rPr>
                      <w:szCs w:val="21"/>
                    </w:rPr>
                  </w:pPr>
                  <w:r>
                    <w:rPr>
                      <w:rFonts w:hint="eastAsia"/>
                      <w:szCs w:val="21"/>
                    </w:rPr>
                    <w:t>项目不属于材料行业</w:t>
                  </w:r>
                </w:p>
              </w:tc>
            </w:tr>
          </w:tbl>
          <w:p w14:paraId="2CA1B49B">
            <w:pPr>
              <w:autoSpaceDE w:val="0"/>
              <w:autoSpaceDN w:val="0"/>
              <w:adjustRightInd w:val="0"/>
              <w:snapToGrid w:val="0"/>
              <w:spacing w:line="360" w:lineRule="auto"/>
              <w:ind w:firstLine="480" w:firstLineChars="200"/>
              <w:jc w:val="left"/>
              <w:rPr>
                <w:sz w:val="24"/>
              </w:rPr>
            </w:pPr>
            <w:r>
              <w:rPr>
                <w:rFonts w:hint="eastAsia"/>
                <w:sz w:val="24"/>
              </w:rPr>
              <w:t>根据上表可知，</w:t>
            </w:r>
            <w:r>
              <w:rPr>
                <w:sz w:val="24"/>
              </w:rPr>
              <w:t>项目不在规划环评环境准入负面清单</w:t>
            </w:r>
            <w:r>
              <w:rPr>
                <w:rFonts w:hint="eastAsia"/>
                <w:sz w:val="24"/>
              </w:rPr>
              <w:t>，</w:t>
            </w:r>
            <w:r>
              <w:rPr>
                <w:sz w:val="24"/>
              </w:rPr>
              <w:t>符合要求</w:t>
            </w:r>
            <w:r>
              <w:rPr>
                <w:rFonts w:hint="eastAsia"/>
                <w:sz w:val="24"/>
              </w:rPr>
              <w:t>。</w:t>
            </w:r>
          </w:p>
          <w:p w14:paraId="6AB8E319">
            <w:pPr>
              <w:autoSpaceDE w:val="0"/>
              <w:autoSpaceDN w:val="0"/>
              <w:adjustRightInd w:val="0"/>
              <w:snapToGrid w:val="0"/>
              <w:spacing w:line="360" w:lineRule="auto"/>
              <w:ind w:firstLine="480" w:firstLineChars="200"/>
              <w:jc w:val="left"/>
              <w:rPr>
                <w:sz w:val="24"/>
              </w:rPr>
            </w:pPr>
            <w:r>
              <w:rPr>
                <w:rFonts w:hint="eastAsia"/>
                <w:sz w:val="24"/>
              </w:rPr>
              <w:t>综上分析可知，本项目建设符合规划环评结论。</w:t>
            </w:r>
          </w:p>
          <w:p w14:paraId="29DF75AE">
            <w:pPr>
              <w:autoSpaceDE w:val="0"/>
              <w:autoSpaceDN w:val="0"/>
              <w:adjustRightInd w:val="0"/>
              <w:snapToGrid w:val="0"/>
              <w:spacing w:line="360" w:lineRule="auto"/>
              <w:jc w:val="left"/>
              <w:rPr>
                <w:b/>
                <w:sz w:val="24"/>
              </w:rPr>
            </w:pPr>
            <w:r>
              <w:rPr>
                <w:b/>
                <w:sz w:val="24"/>
              </w:rPr>
              <w:t>4</w:t>
            </w:r>
            <w:r>
              <w:rPr>
                <w:rFonts w:hint="eastAsia"/>
                <w:b/>
                <w:sz w:val="24"/>
              </w:rPr>
              <w:t>、</w:t>
            </w:r>
            <w:r>
              <w:rPr>
                <w:rFonts w:hint="eastAsia" w:ascii="宋体" w:hAnsi="宋体" w:cs="宋体"/>
                <w:b/>
                <w:kern w:val="0"/>
                <w:sz w:val="24"/>
              </w:rPr>
              <w:t>规划环评审查意见的符合性分析</w:t>
            </w:r>
          </w:p>
          <w:p w14:paraId="6FB289D3">
            <w:pPr>
              <w:autoSpaceDE w:val="0"/>
              <w:autoSpaceDN w:val="0"/>
              <w:adjustRightInd w:val="0"/>
              <w:snapToGrid w:val="0"/>
              <w:spacing w:line="360" w:lineRule="auto"/>
              <w:ind w:firstLine="480" w:firstLineChars="200"/>
              <w:jc w:val="left"/>
              <w:rPr>
                <w:bCs/>
                <w:sz w:val="24"/>
              </w:rPr>
            </w:pPr>
            <w:r>
              <w:rPr>
                <w:rFonts w:ascii="宋体" w:hAnsi="宋体" w:cs="宋体"/>
                <w:kern w:val="0"/>
                <w:sz w:val="24"/>
              </w:rPr>
              <w:t>对照</w:t>
            </w:r>
            <w:r>
              <w:rPr>
                <w:rFonts w:hint="eastAsia" w:ascii="宋体" w:hAnsi="宋体" w:cs="宋体"/>
                <w:kern w:val="0"/>
                <w:sz w:val="24"/>
              </w:rPr>
              <w:t>《关于重庆涪陵工业园区李渡组团规划环境影响报告书审查意见的函》</w:t>
            </w:r>
            <w:r>
              <w:rPr>
                <w:rFonts w:hint="eastAsia"/>
                <w:bCs/>
                <w:sz w:val="24"/>
              </w:rPr>
              <w:t>（渝环函[2016]816号），项目与其符合性分析见表1</w:t>
            </w:r>
            <w:r>
              <w:rPr>
                <w:bCs/>
                <w:sz w:val="24"/>
              </w:rPr>
              <w:t>-3</w:t>
            </w:r>
            <w:r>
              <w:rPr>
                <w:rFonts w:hint="eastAsia"/>
                <w:bCs/>
                <w:sz w:val="24"/>
              </w:rPr>
              <w:t>。</w:t>
            </w:r>
            <w:r>
              <w:rPr>
                <w:bCs/>
                <w:sz w:val="24"/>
              </w:rPr>
              <w:t>根据表中分析结果</w:t>
            </w:r>
            <w:r>
              <w:rPr>
                <w:rFonts w:hint="eastAsia"/>
                <w:bCs/>
                <w:sz w:val="24"/>
              </w:rPr>
              <w:t>可知，本项目的建设符合规划环评审查意见的要求。</w:t>
            </w:r>
          </w:p>
          <w:p w14:paraId="399C7150">
            <w:pPr>
              <w:pStyle w:val="53"/>
              <w:adjustRightInd/>
              <w:spacing w:line="360" w:lineRule="auto"/>
              <w:ind w:firstLineChars="200"/>
              <w:jc w:val="center"/>
              <w:rPr>
                <w:rFonts w:ascii="Times New Roman"/>
                <w:bCs/>
                <w:szCs w:val="24"/>
              </w:rPr>
            </w:pPr>
            <w:r>
              <w:rPr>
                <w:rFonts w:ascii="Times New Roman"/>
                <w:bCs/>
                <w:szCs w:val="24"/>
              </w:rPr>
              <w:t>表1-3  项目与规划环境影响评价审查意见的符合性分析</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4398"/>
              <w:gridCol w:w="2048"/>
              <w:gridCol w:w="1005"/>
            </w:tblGrid>
            <w:tr w14:paraId="59289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14DC65CE">
                  <w:pPr>
                    <w:autoSpaceDE w:val="0"/>
                    <w:autoSpaceDN w:val="0"/>
                    <w:adjustRightInd w:val="0"/>
                    <w:snapToGrid w:val="0"/>
                    <w:jc w:val="center"/>
                    <w:rPr>
                      <w:szCs w:val="21"/>
                    </w:rPr>
                  </w:pPr>
                  <w:r>
                    <w:rPr>
                      <w:szCs w:val="21"/>
                    </w:rPr>
                    <w:t>序号</w:t>
                  </w:r>
                </w:p>
              </w:tc>
              <w:tc>
                <w:tcPr>
                  <w:tcW w:w="4398" w:type="dxa"/>
                  <w:shd w:val="clear" w:color="auto" w:fill="auto"/>
                  <w:vAlign w:val="center"/>
                </w:tcPr>
                <w:p w14:paraId="12F93DFB">
                  <w:pPr>
                    <w:autoSpaceDE w:val="0"/>
                    <w:autoSpaceDN w:val="0"/>
                    <w:adjustRightInd w:val="0"/>
                    <w:snapToGrid w:val="0"/>
                    <w:rPr>
                      <w:szCs w:val="21"/>
                    </w:rPr>
                  </w:pPr>
                  <w:r>
                    <w:rPr>
                      <w:szCs w:val="21"/>
                    </w:rPr>
                    <w:t>审查意见</w:t>
                  </w:r>
                </w:p>
              </w:tc>
              <w:tc>
                <w:tcPr>
                  <w:tcW w:w="2048" w:type="dxa"/>
                  <w:shd w:val="clear" w:color="auto" w:fill="auto"/>
                  <w:vAlign w:val="center"/>
                </w:tcPr>
                <w:p w14:paraId="7C0412D1">
                  <w:pPr>
                    <w:autoSpaceDE w:val="0"/>
                    <w:autoSpaceDN w:val="0"/>
                    <w:adjustRightInd w:val="0"/>
                    <w:snapToGrid w:val="0"/>
                    <w:jc w:val="center"/>
                    <w:rPr>
                      <w:szCs w:val="21"/>
                    </w:rPr>
                  </w:pPr>
                  <w:r>
                    <w:rPr>
                      <w:szCs w:val="21"/>
                    </w:rPr>
                    <w:t>项目情况</w:t>
                  </w:r>
                </w:p>
              </w:tc>
              <w:tc>
                <w:tcPr>
                  <w:tcW w:w="1005" w:type="dxa"/>
                  <w:shd w:val="clear" w:color="auto" w:fill="auto"/>
                  <w:vAlign w:val="center"/>
                </w:tcPr>
                <w:p w14:paraId="22178BEB">
                  <w:pPr>
                    <w:autoSpaceDE w:val="0"/>
                    <w:autoSpaceDN w:val="0"/>
                    <w:adjustRightInd w:val="0"/>
                    <w:snapToGrid w:val="0"/>
                    <w:jc w:val="center"/>
                    <w:rPr>
                      <w:szCs w:val="21"/>
                    </w:rPr>
                  </w:pPr>
                  <w:r>
                    <w:rPr>
                      <w:szCs w:val="21"/>
                    </w:rPr>
                    <w:t>符合性</w:t>
                  </w:r>
                </w:p>
              </w:tc>
            </w:tr>
            <w:tr w14:paraId="41E07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18D53CB9">
                  <w:pPr>
                    <w:autoSpaceDE w:val="0"/>
                    <w:autoSpaceDN w:val="0"/>
                    <w:adjustRightInd w:val="0"/>
                    <w:snapToGrid w:val="0"/>
                    <w:jc w:val="center"/>
                    <w:rPr>
                      <w:szCs w:val="21"/>
                    </w:rPr>
                  </w:pPr>
                  <w:r>
                    <w:rPr>
                      <w:szCs w:val="21"/>
                    </w:rPr>
                    <w:t>1</w:t>
                  </w:r>
                </w:p>
              </w:tc>
              <w:tc>
                <w:tcPr>
                  <w:tcW w:w="4398" w:type="dxa"/>
                  <w:shd w:val="clear" w:color="auto" w:fill="auto"/>
                  <w:vAlign w:val="center"/>
                </w:tcPr>
                <w:p w14:paraId="49776925">
                  <w:pPr>
                    <w:autoSpaceDE w:val="0"/>
                    <w:autoSpaceDN w:val="0"/>
                    <w:adjustRightInd w:val="0"/>
                    <w:snapToGrid w:val="0"/>
                    <w:rPr>
                      <w:szCs w:val="21"/>
                    </w:rPr>
                  </w:pPr>
                  <w:r>
                    <w:rPr>
                      <w:szCs w:val="21"/>
                    </w:rPr>
                    <w:t>（一）严格执行负面清单。</w:t>
                  </w:r>
                </w:p>
                <w:p w14:paraId="04F46BDC">
                  <w:pPr>
                    <w:autoSpaceDE w:val="0"/>
                    <w:autoSpaceDN w:val="0"/>
                    <w:adjustRightInd w:val="0"/>
                    <w:snapToGrid w:val="0"/>
                    <w:rPr>
                      <w:szCs w:val="21"/>
                    </w:rPr>
                  </w:pPr>
                  <w:r>
                    <w:rPr>
                      <w:szCs w:val="21"/>
                    </w:rPr>
                    <w:t>引进项目严格执行《报告书》提出的负面清单要求，不符合要求的企业项目禁止入园。禁止不符合国家产业政策的项目进入，限制高耗水、水污染物排放强度高的工业企业进入。大力发展循环经济，提高水资源重复利用率，减少废水排放量;提倡和鼓励企业进行中水回用</w:t>
                  </w:r>
                  <w:r>
                    <w:rPr>
                      <w:rFonts w:hint="eastAsia"/>
                      <w:szCs w:val="21"/>
                    </w:rPr>
                    <w:t>；</w:t>
                  </w:r>
                  <w:r>
                    <w:rPr>
                      <w:szCs w:val="21"/>
                    </w:rPr>
                    <w:t>应禁止化学原料药企业，除已经批准电镀应急项目以外，规划区内不得再引入电镀项目</w:t>
                  </w:r>
                  <w:r>
                    <w:rPr>
                      <w:rFonts w:hint="eastAsia"/>
                      <w:szCs w:val="21"/>
                    </w:rPr>
                    <w:t>；</w:t>
                  </w:r>
                  <w:r>
                    <w:rPr>
                      <w:szCs w:val="21"/>
                    </w:rPr>
                    <w:t>鉴于目前园区下游20km内分布有饮用水取水口，禁止新增排放重金属、剧毒物质和持久性有机污染物的企业。</w:t>
                  </w:r>
                </w:p>
              </w:tc>
              <w:tc>
                <w:tcPr>
                  <w:tcW w:w="2048" w:type="dxa"/>
                  <w:shd w:val="clear" w:color="auto" w:fill="auto"/>
                  <w:vAlign w:val="center"/>
                </w:tcPr>
                <w:p w14:paraId="1D592D6D">
                  <w:pPr>
                    <w:autoSpaceDE w:val="0"/>
                    <w:autoSpaceDN w:val="0"/>
                    <w:adjustRightInd w:val="0"/>
                    <w:snapToGrid w:val="0"/>
                    <w:jc w:val="center"/>
                    <w:rPr>
                      <w:szCs w:val="21"/>
                    </w:rPr>
                  </w:pPr>
                  <w:r>
                    <w:rPr>
                      <w:rFonts w:hint="eastAsia"/>
                      <w:szCs w:val="21"/>
                    </w:rPr>
                    <w:t>本项目不在</w:t>
                  </w:r>
                  <w:r>
                    <w:rPr>
                      <w:szCs w:val="21"/>
                    </w:rPr>
                    <w:t>《报告书》</w:t>
                  </w:r>
                  <w:r>
                    <w:rPr>
                      <w:rFonts w:hint="eastAsia"/>
                      <w:szCs w:val="21"/>
                    </w:rPr>
                    <w:t>负面清单内，符合国家产业政策，不属于</w:t>
                  </w:r>
                  <w:r>
                    <w:rPr>
                      <w:szCs w:val="21"/>
                    </w:rPr>
                    <w:t>高耗水、水污染物排放强度高的工业企业</w:t>
                  </w:r>
                  <w:r>
                    <w:rPr>
                      <w:rFonts w:hint="eastAsia"/>
                      <w:szCs w:val="21"/>
                    </w:rPr>
                    <w:t>。项目不涉及</w:t>
                  </w:r>
                  <w:r>
                    <w:rPr>
                      <w:szCs w:val="21"/>
                    </w:rPr>
                    <w:t>重金属、剧毒物质和持久性有机污染物</w:t>
                  </w:r>
                  <w:r>
                    <w:rPr>
                      <w:rFonts w:hint="eastAsia"/>
                      <w:szCs w:val="21"/>
                    </w:rPr>
                    <w:t>排放</w:t>
                  </w:r>
                </w:p>
              </w:tc>
              <w:tc>
                <w:tcPr>
                  <w:tcW w:w="1005" w:type="dxa"/>
                  <w:shd w:val="clear" w:color="auto" w:fill="auto"/>
                  <w:vAlign w:val="center"/>
                </w:tcPr>
                <w:p w14:paraId="357DA4C3">
                  <w:pPr>
                    <w:autoSpaceDE w:val="0"/>
                    <w:autoSpaceDN w:val="0"/>
                    <w:adjustRightInd w:val="0"/>
                    <w:snapToGrid w:val="0"/>
                    <w:jc w:val="center"/>
                    <w:rPr>
                      <w:szCs w:val="21"/>
                    </w:rPr>
                  </w:pPr>
                  <w:r>
                    <w:rPr>
                      <w:szCs w:val="21"/>
                    </w:rPr>
                    <w:t>符合</w:t>
                  </w:r>
                </w:p>
              </w:tc>
            </w:tr>
            <w:tr w14:paraId="4F56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50BCBD55">
                  <w:pPr>
                    <w:autoSpaceDE w:val="0"/>
                    <w:autoSpaceDN w:val="0"/>
                    <w:adjustRightInd w:val="0"/>
                    <w:snapToGrid w:val="0"/>
                    <w:jc w:val="center"/>
                    <w:rPr>
                      <w:szCs w:val="21"/>
                    </w:rPr>
                  </w:pPr>
                  <w:r>
                    <w:rPr>
                      <w:szCs w:val="21"/>
                    </w:rPr>
                    <w:t>2</w:t>
                  </w:r>
                </w:p>
              </w:tc>
              <w:tc>
                <w:tcPr>
                  <w:tcW w:w="4398" w:type="dxa"/>
                  <w:shd w:val="clear" w:color="auto" w:fill="auto"/>
                  <w:vAlign w:val="center"/>
                </w:tcPr>
                <w:p w14:paraId="2D568C38">
                  <w:pPr>
                    <w:autoSpaceDE w:val="0"/>
                    <w:autoSpaceDN w:val="0"/>
                    <w:adjustRightInd w:val="0"/>
                    <w:snapToGrid w:val="0"/>
                    <w:rPr>
                      <w:szCs w:val="21"/>
                    </w:rPr>
                  </w:pPr>
                  <w:r>
                    <w:rPr>
                      <w:szCs w:val="21"/>
                    </w:rPr>
                    <w:t>（二）优化园区空间布局。</w:t>
                  </w:r>
                </w:p>
                <w:p w14:paraId="34CC2523">
                  <w:pPr>
                    <w:autoSpaceDE w:val="0"/>
                    <w:autoSpaceDN w:val="0"/>
                    <w:adjustRightInd w:val="0"/>
                    <w:snapToGrid w:val="0"/>
                    <w:rPr>
                      <w:szCs w:val="21"/>
                    </w:rPr>
                  </w:pPr>
                  <w:r>
                    <w:rPr>
                      <w:szCs w:val="21"/>
                    </w:rPr>
                    <w:t>结合企业分布现状、气象条件、行业污染等特点，从环保角度进一步优化园区内产业用地布局。为避免工业、居住混杂局面，临近工业用地的地块不宜规划为居住用地性质，现已规划而尚未实施的，应尽量调整土地利用性质，对无法调整的，应强化企业污染防治</w:t>
                  </w:r>
                  <w:r>
                    <w:rPr>
                      <w:rFonts w:hint="eastAsia"/>
                      <w:szCs w:val="21"/>
                    </w:rPr>
                    <w:t>，</w:t>
                  </w:r>
                  <w:r>
                    <w:rPr>
                      <w:szCs w:val="21"/>
                    </w:rPr>
                    <w:t>禁止污染大、易扰民的行业布局，并设置防护带。</w:t>
                  </w:r>
                </w:p>
              </w:tc>
              <w:tc>
                <w:tcPr>
                  <w:tcW w:w="2048" w:type="dxa"/>
                  <w:shd w:val="clear" w:color="auto" w:fill="auto"/>
                  <w:vAlign w:val="center"/>
                </w:tcPr>
                <w:p w14:paraId="5EC0432E">
                  <w:pPr>
                    <w:autoSpaceDE w:val="0"/>
                    <w:autoSpaceDN w:val="0"/>
                    <w:adjustRightInd w:val="0"/>
                    <w:snapToGrid w:val="0"/>
                    <w:jc w:val="center"/>
                    <w:rPr>
                      <w:szCs w:val="21"/>
                    </w:rPr>
                  </w:pPr>
                  <w:r>
                    <w:rPr>
                      <w:rFonts w:hint="eastAsia"/>
                      <w:szCs w:val="21"/>
                    </w:rPr>
                    <w:t>项目不属于污染大、已扰民的企业，项目与双溪5组团公租房及配套廉租房小区之间最近距离为</w:t>
                  </w:r>
                  <w:r>
                    <w:rPr>
                      <w:szCs w:val="21"/>
                    </w:rPr>
                    <w:t>390m</w:t>
                  </w:r>
                  <w:r>
                    <w:rPr>
                      <w:rFonts w:hint="eastAsia"/>
                      <w:szCs w:val="21"/>
                    </w:rPr>
                    <w:t>，与涪陵区第十三小学最近距离为3</w:t>
                  </w:r>
                  <w:r>
                    <w:rPr>
                      <w:szCs w:val="21"/>
                    </w:rPr>
                    <w:t>20m</w:t>
                  </w:r>
                  <w:r>
                    <w:rPr>
                      <w:rFonts w:hint="eastAsia"/>
                      <w:szCs w:val="21"/>
                    </w:rPr>
                    <w:t>，与东北侧规划居住用地最近距离为2</w:t>
                  </w:r>
                  <w:r>
                    <w:rPr>
                      <w:szCs w:val="21"/>
                    </w:rPr>
                    <w:t>20m</w:t>
                  </w:r>
                  <w:r>
                    <w:rPr>
                      <w:rFonts w:hint="eastAsia"/>
                      <w:szCs w:val="21"/>
                    </w:rPr>
                    <w:t>，项目</w:t>
                  </w:r>
                  <w:r>
                    <w:rPr>
                      <w:szCs w:val="21"/>
                    </w:rPr>
                    <w:t>与居民区和学校之间</w:t>
                  </w:r>
                  <w:r>
                    <w:rPr>
                      <w:rFonts w:hint="eastAsia"/>
                      <w:szCs w:val="21"/>
                    </w:rPr>
                    <w:t>存在隔离带。</w:t>
                  </w:r>
                </w:p>
              </w:tc>
              <w:tc>
                <w:tcPr>
                  <w:tcW w:w="1005" w:type="dxa"/>
                  <w:shd w:val="clear" w:color="auto" w:fill="auto"/>
                  <w:vAlign w:val="center"/>
                </w:tcPr>
                <w:p w14:paraId="5186B3E9">
                  <w:pPr>
                    <w:autoSpaceDE w:val="0"/>
                    <w:autoSpaceDN w:val="0"/>
                    <w:adjustRightInd w:val="0"/>
                    <w:snapToGrid w:val="0"/>
                    <w:jc w:val="center"/>
                    <w:rPr>
                      <w:szCs w:val="21"/>
                    </w:rPr>
                  </w:pPr>
                  <w:r>
                    <w:rPr>
                      <w:szCs w:val="21"/>
                    </w:rPr>
                    <w:t>符合</w:t>
                  </w:r>
                </w:p>
              </w:tc>
            </w:tr>
            <w:tr w14:paraId="3165F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1F18F749">
                  <w:pPr>
                    <w:autoSpaceDE w:val="0"/>
                    <w:autoSpaceDN w:val="0"/>
                    <w:adjustRightInd w:val="0"/>
                    <w:snapToGrid w:val="0"/>
                    <w:jc w:val="center"/>
                    <w:rPr>
                      <w:szCs w:val="21"/>
                    </w:rPr>
                  </w:pPr>
                  <w:r>
                    <w:rPr>
                      <w:szCs w:val="21"/>
                    </w:rPr>
                    <w:t>3</w:t>
                  </w:r>
                </w:p>
              </w:tc>
              <w:tc>
                <w:tcPr>
                  <w:tcW w:w="4398" w:type="dxa"/>
                  <w:shd w:val="clear" w:color="auto" w:fill="auto"/>
                  <w:vAlign w:val="center"/>
                </w:tcPr>
                <w:p w14:paraId="5EAA0006">
                  <w:pPr>
                    <w:autoSpaceDE w:val="0"/>
                    <w:autoSpaceDN w:val="0"/>
                    <w:adjustRightInd w:val="0"/>
                    <w:snapToGrid w:val="0"/>
                    <w:rPr>
                      <w:szCs w:val="21"/>
                    </w:rPr>
                  </w:pPr>
                  <w:r>
                    <w:rPr>
                      <w:szCs w:val="21"/>
                    </w:rPr>
                    <w:t>（三）加强大气污染防治。</w:t>
                  </w:r>
                </w:p>
                <w:p w14:paraId="3D7744CF">
                  <w:pPr>
                    <w:autoSpaceDE w:val="0"/>
                    <w:autoSpaceDN w:val="0"/>
                    <w:adjustRightInd w:val="0"/>
                    <w:snapToGrid w:val="0"/>
                    <w:rPr>
                      <w:szCs w:val="21"/>
                    </w:rPr>
                  </w:pPr>
                  <w:r>
                    <w:rPr>
                      <w:szCs w:val="21"/>
                    </w:rPr>
                    <w:t>加强工业企业大气污染综合治理，尤其是应推进挥发性有机物污染治理。规划区邻近涪陵新城区，提倡采用清洁能源，并禁止新建燃煤设施;装备制造业涉及喷漆工艺的，鼓励采用水性涂料、高固份涂料等环保涂料，其它涉及有机废气排放的，应加强有机废气防治，最大限度地减轻其影响。加强对区域内排放氯化氢企业的监管，落实污染防治措施，做到氯化氢的达标排放，减少无组织排放。</w:t>
                  </w:r>
                </w:p>
              </w:tc>
              <w:tc>
                <w:tcPr>
                  <w:tcW w:w="2048" w:type="dxa"/>
                  <w:shd w:val="clear" w:color="auto" w:fill="auto"/>
                  <w:vAlign w:val="center"/>
                </w:tcPr>
                <w:p w14:paraId="4EF5CC78">
                  <w:pPr>
                    <w:autoSpaceDE w:val="0"/>
                    <w:autoSpaceDN w:val="0"/>
                    <w:adjustRightInd w:val="0"/>
                    <w:snapToGrid w:val="0"/>
                    <w:jc w:val="center"/>
                    <w:rPr>
                      <w:szCs w:val="21"/>
                    </w:rPr>
                  </w:pPr>
                  <w:r>
                    <w:rPr>
                      <w:rFonts w:hint="eastAsia"/>
                      <w:szCs w:val="21"/>
                    </w:rPr>
                    <w:t>项目压铸过程产生的挥发性有机物经“</w:t>
                  </w:r>
                  <w:r>
                    <w:rPr>
                      <w:rFonts w:hint="eastAsia"/>
                      <w:bCs/>
                      <w:szCs w:val="21"/>
                    </w:rPr>
                    <w:t>干燥+UV光解+活性炭吸附</w:t>
                  </w:r>
                  <w:r>
                    <w:rPr>
                      <w:rFonts w:hint="eastAsia"/>
                      <w:szCs w:val="21"/>
                    </w:rPr>
                    <w:t>”装置处理后达标排放。熔化炉和保温炉均采用清洁能源天然气作为燃料，项目不涉及氯化氢排放。</w:t>
                  </w:r>
                </w:p>
              </w:tc>
              <w:tc>
                <w:tcPr>
                  <w:tcW w:w="1005" w:type="dxa"/>
                  <w:shd w:val="clear" w:color="auto" w:fill="auto"/>
                  <w:vAlign w:val="center"/>
                </w:tcPr>
                <w:p w14:paraId="38466018">
                  <w:pPr>
                    <w:autoSpaceDE w:val="0"/>
                    <w:autoSpaceDN w:val="0"/>
                    <w:adjustRightInd w:val="0"/>
                    <w:snapToGrid w:val="0"/>
                    <w:jc w:val="center"/>
                    <w:rPr>
                      <w:szCs w:val="21"/>
                    </w:rPr>
                  </w:pPr>
                  <w:r>
                    <w:rPr>
                      <w:szCs w:val="21"/>
                    </w:rPr>
                    <w:t>符合</w:t>
                  </w:r>
                </w:p>
              </w:tc>
            </w:tr>
            <w:tr w14:paraId="4DAD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646201D4">
                  <w:pPr>
                    <w:autoSpaceDE w:val="0"/>
                    <w:autoSpaceDN w:val="0"/>
                    <w:adjustRightInd w:val="0"/>
                    <w:snapToGrid w:val="0"/>
                    <w:jc w:val="center"/>
                    <w:rPr>
                      <w:szCs w:val="21"/>
                    </w:rPr>
                  </w:pPr>
                  <w:r>
                    <w:rPr>
                      <w:szCs w:val="21"/>
                    </w:rPr>
                    <w:t>4</w:t>
                  </w:r>
                </w:p>
              </w:tc>
              <w:tc>
                <w:tcPr>
                  <w:tcW w:w="4398" w:type="dxa"/>
                  <w:shd w:val="clear" w:color="auto" w:fill="auto"/>
                  <w:vAlign w:val="center"/>
                </w:tcPr>
                <w:p w14:paraId="15583A39">
                  <w:pPr>
                    <w:autoSpaceDE w:val="0"/>
                    <w:autoSpaceDN w:val="0"/>
                    <w:adjustRightInd w:val="0"/>
                    <w:snapToGrid w:val="0"/>
                    <w:rPr>
                      <w:szCs w:val="21"/>
                    </w:rPr>
                  </w:pPr>
                  <w:r>
                    <w:rPr>
                      <w:szCs w:val="21"/>
                    </w:rPr>
                    <w:t>（四）加强水环境保护。</w:t>
                  </w:r>
                </w:p>
                <w:p w14:paraId="34E3ACE6">
                  <w:pPr>
                    <w:autoSpaceDE w:val="0"/>
                    <w:autoSpaceDN w:val="0"/>
                    <w:adjustRightInd w:val="0"/>
                    <w:snapToGrid w:val="0"/>
                    <w:rPr>
                      <w:szCs w:val="21"/>
                    </w:rPr>
                  </w:pPr>
                  <w:r>
                    <w:rPr>
                      <w:szCs w:val="21"/>
                    </w:rPr>
                    <w:t>李渡组团宜进行整体规划和考虑，合理确定大耍坝污水处理厂总规模</w:t>
                  </w:r>
                  <w:r>
                    <w:rPr>
                      <w:rFonts w:hint="eastAsia"/>
                      <w:szCs w:val="21"/>
                    </w:rPr>
                    <w:t>；</w:t>
                  </w:r>
                  <w:r>
                    <w:rPr>
                      <w:szCs w:val="21"/>
                    </w:rPr>
                    <w:t>根据片区及周边区域开发进度、污水排放状况及时扩建大耍坝污水处理厂</w:t>
                  </w:r>
                  <w:r>
                    <w:rPr>
                      <w:rFonts w:hint="eastAsia"/>
                      <w:szCs w:val="21"/>
                    </w:rPr>
                    <w:t>；</w:t>
                  </w:r>
                  <w:r>
                    <w:rPr>
                      <w:szCs w:val="21"/>
                    </w:rPr>
                    <w:t>污水处理厂厂界200m范围内的西侧及西南侧规划居住用地应暂缓建设实施，待污水厂远期卫生防护距离的具体范围确定后再行规划建设。加快园区内截污管网工程建设，同时，对破损管网进行修复改造，减少污水管网漏失，提高污水集中收集率、处理率。加强对园区污水处理厂的运行维护和管理，确保废水稳定达标排放。</w:t>
                  </w:r>
                </w:p>
              </w:tc>
              <w:tc>
                <w:tcPr>
                  <w:tcW w:w="2048" w:type="dxa"/>
                  <w:shd w:val="clear" w:color="auto" w:fill="auto"/>
                  <w:vAlign w:val="center"/>
                </w:tcPr>
                <w:p w14:paraId="14C852E3">
                  <w:pPr>
                    <w:autoSpaceDE w:val="0"/>
                    <w:autoSpaceDN w:val="0"/>
                    <w:adjustRightInd w:val="0"/>
                    <w:snapToGrid w:val="0"/>
                    <w:jc w:val="center"/>
                    <w:rPr>
                      <w:szCs w:val="21"/>
                    </w:rPr>
                  </w:pPr>
                  <w:r>
                    <w:rPr>
                      <w:rFonts w:hint="eastAsia"/>
                      <w:szCs w:val="21"/>
                    </w:rPr>
                    <w:t>本项目不涉及</w:t>
                  </w:r>
                </w:p>
              </w:tc>
              <w:tc>
                <w:tcPr>
                  <w:tcW w:w="1005" w:type="dxa"/>
                  <w:shd w:val="clear" w:color="auto" w:fill="auto"/>
                  <w:vAlign w:val="center"/>
                </w:tcPr>
                <w:p w14:paraId="0E7EECEB">
                  <w:pPr>
                    <w:autoSpaceDE w:val="0"/>
                    <w:autoSpaceDN w:val="0"/>
                    <w:adjustRightInd w:val="0"/>
                    <w:snapToGrid w:val="0"/>
                    <w:jc w:val="center"/>
                    <w:rPr>
                      <w:szCs w:val="21"/>
                    </w:rPr>
                  </w:pPr>
                  <w:r>
                    <w:rPr>
                      <w:szCs w:val="21"/>
                    </w:rPr>
                    <w:t>符合</w:t>
                  </w:r>
                </w:p>
              </w:tc>
            </w:tr>
            <w:tr w14:paraId="5FA2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5B1755E5">
                  <w:pPr>
                    <w:autoSpaceDE w:val="0"/>
                    <w:autoSpaceDN w:val="0"/>
                    <w:adjustRightInd w:val="0"/>
                    <w:snapToGrid w:val="0"/>
                    <w:jc w:val="center"/>
                    <w:rPr>
                      <w:szCs w:val="21"/>
                    </w:rPr>
                  </w:pPr>
                  <w:r>
                    <w:rPr>
                      <w:szCs w:val="21"/>
                    </w:rPr>
                    <w:t>5</w:t>
                  </w:r>
                </w:p>
              </w:tc>
              <w:tc>
                <w:tcPr>
                  <w:tcW w:w="4398" w:type="dxa"/>
                  <w:shd w:val="clear" w:color="auto" w:fill="auto"/>
                  <w:vAlign w:val="center"/>
                </w:tcPr>
                <w:p w14:paraId="03513219">
                  <w:pPr>
                    <w:autoSpaceDE w:val="0"/>
                    <w:autoSpaceDN w:val="0"/>
                    <w:adjustRightInd w:val="0"/>
                    <w:snapToGrid w:val="0"/>
                    <w:rPr>
                      <w:szCs w:val="21"/>
                    </w:rPr>
                  </w:pPr>
                  <w:r>
                    <w:rPr>
                      <w:szCs w:val="21"/>
                    </w:rPr>
                    <w:t>（五）妥善处理固体废物。</w:t>
                  </w:r>
                </w:p>
                <w:p w14:paraId="70A6549E">
                  <w:pPr>
                    <w:autoSpaceDE w:val="0"/>
                    <w:autoSpaceDN w:val="0"/>
                    <w:adjustRightInd w:val="0"/>
                    <w:snapToGrid w:val="0"/>
                    <w:rPr>
                      <w:szCs w:val="21"/>
                    </w:rPr>
                  </w:pPr>
                  <w:r>
                    <w:rPr>
                      <w:szCs w:val="21"/>
                    </w:rPr>
                    <w:t>李渡组团应根据固体废物产生情况实施一般工业固体废物处理设施建设，并按照《一般工业固体废物贮存、处置场污染控制标准》(GB18599-2001)及2013年修订要求进行一般工业固体废物贮存、处置场的选址、设计、运行管理等。</w:t>
                  </w:r>
                </w:p>
              </w:tc>
              <w:tc>
                <w:tcPr>
                  <w:tcW w:w="2048" w:type="dxa"/>
                  <w:shd w:val="clear" w:color="auto" w:fill="auto"/>
                  <w:vAlign w:val="center"/>
                </w:tcPr>
                <w:p w14:paraId="7E508828">
                  <w:pPr>
                    <w:autoSpaceDE w:val="0"/>
                    <w:autoSpaceDN w:val="0"/>
                    <w:adjustRightInd w:val="0"/>
                    <w:snapToGrid w:val="0"/>
                    <w:jc w:val="center"/>
                    <w:rPr>
                      <w:szCs w:val="21"/>
                    </w:rPr>
                  </w:pPr>
                  <w:r>
                    <w:rPr>
                      <w:rFonts w:hint="eastAsia"/>
                      <w:szCs w:val="21"/>
                    </w:rPr>
                    <w:t>本项目固体废物分类收集、储存和处置。一般工业固废经收集后暂存于一般固废暂存间内，危险废物经收集后暂存于危废暂存间内，一般固废暂存间按照</w:t>
                  </w:r>
                  <w:r>
                    <w:rPr>
                      <w:szCs w:val="21"/>
                    </w:rPr>
                    <w:t>《一般工业固体废物贮存、处置场污染控制标准》(GB18599-2001)要求进行一般防渗</w:t>
                  </w:r>
                  <w:r>
                    <w:rPr>
                      <w:rFonts w:hint="eastAsia"/>
                      <w:szCs w:val="21"/>
                    </w:rPr>
                    <w:t>，</w:t>
                  </w:r>
                  <w:r>
                    <w:rPr>
                      <w:szCs w:val="21"/>
                    </w:rPr>
                    <w:t>危废暂存间按照《危险废物贮存污染控制标准》（GB18597-2001）进行重点防渗</w:t>
                  </w:r>
                </w:p>
              </w:tc>
              <w:tc>
                <w:tcPr>
                  <w:tcW w:w="1005" w:type="dxa"/>
                  <w:shd w:val="clear" w:color="auto" w:fill="auto"/>
                  <w:vAlign w:val="center"/>
                </w:tcPr>
                <w:p w14:paraId="75249568">
                  <w:pPr>
                    <w:autoSpaceDE w:val="0"/>
                    <w:autoSpaceDN w:val="0"/>
                    <w:adjustRightInd w:val="0"/>
                    <w:snapToGrid w:val="0"/>
                    <w:jc w:val="center"/>
                    <w:rPr>
                      <w:szCs w:val="21"/>
                    </w:rPr>
                  </w:pPr>
                  <w:r>
                    <w:rPr>
                      <w:szCs w:val="21"/>
                    </w:rPr>
                    <w:t>符合</w:t>
                  </w:r>
                </w:p>
              </w:tc>
            </w:tr>
            <w:tr w14:paraId="2810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71419F71">
                  <w:pPr>
                    <w:autoSpaceDE w:val="0"/>
                    <w:autoSpaceDN w:val="0"/>
                    <w:adjustRightInd w:val="0"/>
                    <w:snapToGrid w:val="0"/>
                    <w:jc w:val="center"/>
                    <w:rPr>
                      <w:szCs w:val="21"/>
                    </w:rPr>
                  </w:pPr>
                  <w:r>
                    <w:rPr>
                      <w:szCs w:val="21"/>
                    </w:rPr>
                    <w:t>6</w:t>
                  </w:r>
                </w:p>
              </w:tc>
              <w:tc>
                <w:tcPr>
                  <w:tcW w:w="4398" w:type="dxa"/>
                  <w:shd w:val="clear" w:color="auto" w:fill="auto"/>
                  <w:vAlign w:val="center"/>
                </w:tcPr>
                <w:p w14:paraId="0BFF1FCB">
                  <w:pPr>
                    <w:autoSpaceDE w:val="0"/>
                    <w:autoSpaceDN w:val="0"/>
                    <w:adjustRightInd w:val="0"/>
                    <w:snapToGrid w:val="0"/>
                    <w:rPr>
                      <w:szCs w:val="21"/>
                    </w:rPr>
                  </w:pPr>
                  <w:r>
                    <w:rPr>
                      <w:szCs w:val="21"/>
                    </w:rPr>
                    <w:t>（六）强化环境风险防范。</w:t>
                  </w:r>
                </w:p>
                <w:p w14:paraId="4C136767">
                  <w:pPr>
                    <w:autoSpaceDE w:val="0"/>
                    <w:autoSpaceDN w:val="0"/>
                    <w:adjustRightInd w:val="0"/>
                    <w:snapToGrid w:val="0"/>
                    <w:rPr>
                      <w:szCs w:val="21"/>
                    </w:rPr>
                  </w:pPr>
                  <w:r>
                    <w:rPr>
                      <w:szCs w:val="21"/>
                    </w:rPr>
                    <w:t>环境风险防范是重要的环保工作内容，应在现有基础上完善环境风险防范体系建设，防范突发性环境风险事故发生。</w:t>
                  </w:r>
                </w:p>
              </w:tc>
              <w:tc>
                <w:tcPr>
                  <w:tcW w:w="2048" w:type="dxa"/>
                  <w:shd w:val="clear" w:color="auto" w:fill="auto"/>
                  <w:vAlign w:val="center"/>
                </w:tcPr>
                <w:p w14:paraId="072F7151">
                  <w:pPr>
                    <w:autoSpaceDE w:val="0"/>
                    <w:autoSpaceDN w:val="0"/>
                    <w:adjustRightInd w:val="0"/>
                    <w:snapToGrid w:val="0"/>
                    <w:jc w:val="center"/>
                    <w:rPr>
                      <w:szCs w:val="21"/>
                    </w:rPr>
                  </w:pPr>
                  <w:r>
                    <w:rPr>
                      <w:rFonts w:hint="eastAsia"/>
                      <w:szCs w:val="21"/>
                    </w:rPr>
                    <w:t>项目采取完善的环境风险防范措施，避免发生环境风险事故</w:t>
                  </w:r>
                </w:p>
              </w:tc>
              <w:tc>
                <w:tcPr>
                  <w:tcW w:w="1005" w:type="dxa"/>
                  <w:shd w:val="clear" w:color="auto" w:fill="auto"/>
                  <w:vAlign w:val="center"/>
                </w:tcPr>
                <w:p w14:paraId="6FB72405">
                  <w:pPr>
                    <w:autoSpaceDE w:val="0"/>
                    <w:autoSpaceDN w:val="0"/>
                    <w:adjustRightInd w:val="0"/>
                    <w:snapToGrid w:val="0"/>
                    <w:jc w:val="center"/>
                    <w:rPr>
                      <w:szCs w:val="21"/>
                    </w:rPr>
                  </w:pPr>
                  <w:r>
                    <w:rPr>
                      <w:szCs w:val="21"/>
                    </w:rPr>
                    <w:t>符合</w:t>
                  </w:r>
                </w:p>
              </w:tc>
            </w:tr>
            <w:tr w14:paraId="5274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9" w:type="dxa"/>
                  <w:shd w:val="clear" w:color="auto" w:fill="auto"/>
                  <w:vAlign w:val="center"/>
                </w:tcPr>
                <w:p w14:paraId="6CEAA1F1">
                  <w:pPr>
                    <w:autoSpaceDE w:val="0"/>
                    <w:autoSpaceDN w:val="0"/>
                    <w:adjustRightInd w:val="0"/>
                    <w:snapToGrid w:val="0"/>
                    <w:jc w:val="center"/>
                    <w:rPr>
                      <w:szCs w:val="21"/>
                    </w:rPr>
                  </w:pPr>
                  <w:r>
                    <w:rPr>
                      <w:szCs w:val="21"/>
                    </w:rPr>
                    <w:t>7</w:t>
                  </w:r>
                </w:p>
              </w:tc>
              <w:tc>
                <w:tcPr>
                  <w:tcW w:w="4398" w:type="dxa"/>
                  <w:shd w:val="clear" w:color="auto" w:fill="auto"/>
                  <w:vAlign w:val="center"/>
                </w:tcPr>
                <w:p w14:paraId="2F6F0119">
                  <w:pPr>
                    <w:autoSpaceDE w:val="0"/>
                    <w:autoSpaceDN w:val="0"/>
                    <w:adjustRightInd w:val="0"/>
                    <w:snapToGrid w:val="0"/>
                    <w:rPr>
                      <w:szCs w:val="21"/>
                    </w:rPr>
                  </w:pPr>
                  <w:r>
                    <w:rPr>
                      <w:szCs w:val="21"/>
                    </w:rPr>
                    <w:t>（七）严格执行环评和“三同时”制度。</w:t>
                  </w:r>
                </w:p>
                <w:p w14:paraId="77F74923">
                  <w:pPr>
                    <w:autoSpaceDE w:val="0"/>
                    <w:autoSpaceDN w:val="0"/>
                    <w:adjustRightInd w:val="0"/>
                    <w:snapToGrid w:val="0"/>
                    <w:rPr>
                      <w:szCs w:val="21"/>
                    </w:rPr>
                  </w:pPr>
                  <w:r>
                    <w:rPr>
                      <w:szCs w:val="21"/>
                    </w:rPr>
                    <w:t>规划区的入驻建设项目应严格执行环境影响评价和环保“三同时制度，按规定办理建设项目环评审批和环保验收手续。入园建设项目应符合规划环评结论要求。单个项目环评可在根据本规划环评报告书有关内容或结论的基础上适当简化。规划实施后，按照规定要求适时开展环境影响跟踪评价。</w:t>
                  </w:r>
                </w:p>
              </w:tc>
              <w:tc>
                <w:tcPr>
                  <w:tcW w:w="2048" w:type="dxa"/>
                  <w:shd w:val="clear" w:color="auto" w:fill="auto"/>
                  <w:vAlign w:val="center"/>
                </w:tcPr>
                <w:p w14:paraId="57FD5EF9">
                  <w:pPr>
                    <w:autoSpaceDE w:val="0"/>
                    <w:autoSpaceDN w:val="0"/>
                    <w:adjustRightInd w:val="0"/>
                    <w:snapToGrid w:val="0"/>
                    <w:jc w:val="center"/>
                    <w:rPr>
                      <w:szCs w:val="21"/>
                    </w:rPr>
                  </w:pPr>
                  <w:r>
                    <w:rPr>
                      <w:rFonts w:hint="eastAsia"/>
                      <w:szCs w:val="21"/>
                    </w:rPr>
                    <w:t>项目正在办理环评手续，将严格执行环境影响评价和环保“三同时”制度</w:t>
                  </w:r>
                </w:p>
              </w:tc>
              <w:tc>
                <w:tcPr>
                  <w:tcW w:w="1005" w:type="dxa"/>
                  <w:shd w:val="clear" w:color="auto" w:fill="auto"/>
                  <w:vAlign w:val="center"/>
                </w:tcPr>
                <w:p w14:paraId="58D59A5F">
                  <w:pPr>
                    <w:autoSpaceDE w:val="0"/>
                    <w:autoSpaceDN w:val="0"/>
                    <w:adjustRightInd w:val="0"/>
                    <w:snapToGrid w:val="0"/>
                    <w:jc w:val="center"/>
                    <w:rPr>
                      <w:szCs w:val="21"/>
                    </w:rPr>
                  </w:pPr>
                  <w:r>
                    <w:rPr>
                      <w:szCs w:val="21"/>
                    </w:rPr>
                    <w:t>符合</w:t>
                  </w:r>
                </w:p>
              </w:tc>
            </w:tr>
          </w:tbl>
          <w:p w14:paraId="02795B54">
            <w:pPr>
              <w:autoSpaceDE w:val="0"/>
              <w:autoSpaceDN w:val="0"/>
              <w:adjustRightInd w:val="0"/>
              <w:snapToGrid w:val="0"/>
              <w:spacing w:line="360" w:lineRule="auto"/>
              <w:ind w:firstLine="480" w:firstLineChars="200"/>
              <w:rPr>
                <w:kern w:val="0"/>
                <w:sz w:val="24"/>
              </w:rPr>
            </w:pPr>
            <w:r>
              <w:rPr>
                <w:kern w:val="0"/>
                <w:sz w:val="24"/>
              </w:rPr>
              <w:t>根据上表分析可知</w:t>
            </w:r>
            <w:r>
              <w:rPr>
                <w:rFonts w:hint="eastAsia"/>
                <w:kern w:val="0"/>
                <w:sz w:val="24"/>
              </w:rPr>
              <w:t>，</w:t>
            </w:r>
            <w:r>
              <w:rPr>
                <w:kern w:val="0"/>
                <w:sz w:val="24"/>
              </w:rPr>
              <w:t>项目符合规划环评审查意见要求</w:t>
            </w:r>
            <w:r>
              <w:rPr>
                <w:rFonts w:hint="eastAsia"/>
                <w:kern w:val="0"/>
                <w:sz w:val="24"/>
              </w:rPr>
              <w:t>。</w:t>
            </w:r>
          </w:p>
        </w:tc>
      </w:tr>
      <w:tr w14:paraId="7DED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4" w:type="dxa"/>
            <w:vAlign w:val="center"/>
          </w:tcPr>
          <w:p w14:paraId="0B049720">
            <w:pPr>
              <w:autoSpaceDE w:val="0"/>
              <w:autoSpaceDN w:val="0"/>
              <w:adjustRightInd w:val="0"/>
              <w:snapToGrid w:val="0"/>
              <w:jc w:val="center"/>
              <w:rPr>
                <w:kern w:val="0"/>
                <w:szCs w:val="21"/>
              </w:rPr>
            </w:pPr>
            <w:r>
              <w:rPr>
                <w:kern w:val="0"/>
                <w:szCs w:val="21"/>
              </w:rPr>
              <w:t>其他符合性分析</w:t>
            </w:r>
          </w:p>
        </w:tc>
        <w:tc>
          <w:tcPr>
            <w:tcW w:w="8516" w:type="dxa"/>
            <w:gridSpan w:val="3"/>
            <w:vAlign w:val="center"/>
          </w:tcPr>
          <w:p w14:paraId="5FF7ACD4">
            <w:pPr>
              <w:pStyle w:val="53"/>
              <w:adjustRightInd/>
              <w:spacing w:line="360" w:lineRule="auto"/>
              <w:ind w:firstLine="0"/>
              <w:rPr>
                <w:rFonts w:ascii="Times New Roman"/>
                <w:b/>
                <w:bCs/>
              </w:rPr>
            </w:pPr>
            <w:r>
              <w:rPr>
                <w:rFonts w:ascii="Times New Roman"/>
                <w:b/>
                <w:szCs w:val="21"/>
              </w:rPr>
              <w:t>1、</w:t>
            </w:r>
            <w:r>
              <w:rPr>
                <w:rFonts w:ascii="Times New Roman"/>
                <w:b/>
                <w:bCs/>
              </w:rPr>
              <w:t>与</w:t>
            </w:r>
            <w:r>
              <w:rPr>
                <w:rFonts w:hint="eastAsia" w:ascii="Times New Roman"/>
                <w:b/>
                <w:bCs/>
              </w:rPr>
              <w:t>涪陵区</w:t>
            </w:r>
            <w:r>
              <w:rPr>
                <w:rFonts w:ascii="Times New Roman"/>
                <w:b/>
                <w:bCs/>
              </w:rPr>
              <w:t>“三线一单”符合性分析</w:t>
            </w:r>
          </w:p>
          <w:p w14:paraId="267ECE38">
            <w:pPr>
              <w:spacing w:line="360" w:lineRule="auto"/>
              <w:ind w:firstLine="480" w:firstLineChars="200"/>
              <w:rPr>
                <w:bCs/>
                <w:sz w:val="24"/>
              </w:rPr>
            </w:pPr>
            <w:r>
              <w:rPr>
                <w:sz w:val="24"/>
              </w:rPr>
              <w:t>根据</w:t>
            </w:r>
            <w:r>
              <w:rPr>
                <w:rFonts w:hint="eastAsia"/>
                <w:sz w:val="24"/>
              </w:rPr>
              <w:t>《重庆市涪陵区人民政府办公室关于印发涪陵区落实“三线一单”实施生态环境分区管控实施方案的通知》</w:t>
            </w:r>
            <w:r>
              <w:rPr>
                <w:rFonts w:hint="eastAsia"/>
                <w:bCs/>
                <w:sz w:val="24"/>
              </w:rPr>
              <w:t>（涪陵府办发〔2020〕118号），涪陵区</w:t>
            </w:r>
            <w:r>
              <w:rPr>
                <w:bCs/>
                <w:sz w:val="24"/>
              </w:rPr>
              <w:t>环境管控单元包括优先保护单元、重点管控单元、一般管控单元三类。</w:t>
            </w:r>
            <w:r>
              <w:rPr>
                <w:rFonts w:hint="eastAsia"/>
                <w:bCs/>
                <w:sz w:val="24"/>
              </w:rPr>
              <w:t>优先保护单元指以生态环境保护为主的区域，主要包括饮用水源保护区、环境空气一类功能区等。重点管控单元指涉及水、大气、土壤、自然资源等资源环境要素重点管控的区域，主要包括人口密集的城镇规划区和产业集聚的工业园区（工业集聚区）。一般管控单元指除优先保护单元、重点管控单元之外的其他区域。</w:t>
            </w:r>
          </w:p>
          <w:p w14:paraId="1AF6EC4A">
            <w:pPr>
              <w:spacing w:line="360" w:lineRule="auto"/>
              <w:ind w:firstLine="480" w:firstLineChars="200"/>
              <w:rPr>
                <w:bCs/>
                <w:sz w:val="24"/>
              </w:rPr>
            </w:pPr>
            <w:r>
              <w:rPr>
                <w:rFonts w:hint="eastAsia"/>
                <w:bCs/>
                <w:sz w:val="24"/>
              </w:rPr>
              <w:t>（1）生态保护红线</w:t>
            </w:r>
          </w:p>
          <w:p w14:paraId="194BDE8C">
            <w:pPr>
              <w:spacing w:line="360" w:lineRule="auto"/>
              <w:ind w:firstLine="480" w:firstLineChars="200"/>
              <w:rPr>
                <w:bCs/>
                <w:sz w:val="24"/>
              </w:rPr>
            </w:pPr>
            <w:r>
              <w:rPr>
                <w:rFonts w:hint="eastAsia"/>
                <w:bCs/>
                <w:sz w:val="24"/>
              </w:rPr>
              <w:t>拟建项目位于涪陵工业园区李渡组团综合保税区内，不涉及涪陵区生态保护红线。</w:t>
            </w:r>
          </w:p>
          <w:p w14:paraId="3FBC7C96">
            <w:pPr>
              <w:spacing w:line="360" w:lineRule="auto"/>
              <w:ind w:firstLine="480" w:firstLineChars="200"/>
              <w:rPr>
                <w:bCs/>
                <w:sz w:val="24"/>
              </w:rPr>
            </w:pPr>
            <w:r>
              <w:rPr>
                <w:rFonts w:hint="eastAsia"/>
                <w:bCs/>
                <w:sz w:val="24"/>
              </w:rPr>
              <w:t>（2）环境质量底线</w:t>
            </w:r>
          </w:p>
          <w:p w14:paraId="3E4BA8F2">
            <w:pPr>
              <w:spacing w:line="360" w:lineRule="auto"/>
              <w:ind w:firstLine="480" w:firstLineChars="200"/>
              <w:rPr>
                <w:bCs/>
                <w:sz w:val="24"/>
              </w:rPr>
            </w:pPr>
            <w:r>
              <w:rPr>
                <w:rFonts w:hint="eastAsia"/>
                <w:bCs/>
                <w:sz w:val="24"/>
              </w:rPr>
              <w:t>根据环境质量现状评价可知，区域地表水、声环境质量现状较好，有一定的环境容量。涪陵区为环境空气达标区，非甲烷总烃满足河北省地方标准《环境空气质量标准 非甲烷总烃限值》（DB13/1577-2012）中的二级标准；项目所在区有足够环境容量接纳拟建项目的实施。</w:t>
            </w:r>
          </w:p>
          <w:p w14:paraId="0D5DE597">
            <w:pPr>
              <w:spacing w:line="360" w:lineRule="auto"/>
              <w:ind w:firstLine="480" w:firstLineChars="200"/>
              <w:rPr>
                <w:bCs/>
                <w:sz w:val="24"/>
              </w:rPr>
            </w:pPr>
            <w:r>
              <w:rPr>
                <w:rFonts w:hint="eastAsia"/>
                <w:bCs/>
                <w:sz w:val="24"/>
              </w:rPr>
              <w:t>（3）资源利用上线</w:t>
            </w:r>
          </w:p>
          <w:p w14:paraId="6D6D8C7A">
            <w:pPr>
              <w:spacing w:line="360" w:lineRule="auto"/>
              <w:ind w:firstLine="480" w:firstLineChars="200"/>
              <w:rPr>
                <w:bCs/>
                <w:sz w:val="24"/>
              </w:rPr>
            </w:pPr>
            <w:r>
              <w:rPr>
                <w:rFonts w:hint="eastAsia"/>
                <w:bCs/>
                <w:sz w:val="24"/>
              </w:rPr>
              <w:t>拟建项目为食用调味品生产加工项目，生产过程中消耗能源主要为电、水、气，拟建项目位于工业园区，水资源、电力资源、天然气资料供应充足，利用已建厂房，不新增土地占用。拟建项目的水、电、天然气、土地利用等资源利用不会突破所在区域的资源利用上线。</w:t>
            </w:r>
          </w:p>
          <w:p w14:paraId="63B6DEDA">
            <w:pPr>
              <w:spacing w:line="360" w:lineRule="auto"/>
              <w:ind w:firstLine="480" w:firstLineChars="200"/>
              <w:rPr>
                <w:bCs/>
                <w:sz w:val="24"/>
              </w:rPr>
            </w:pPr>
            <w:r>
              <w:rPr>
                <w:rFonts w:hint="eastAsia"/>
                <w:bCs/>
                <w:sz w:val="24"/>
              </w:rPr>
              <w:t>（4）环境准入负面清单</w:t>
            </w:r>
          </w:p>
          <w:p w14:paraId="4884881F">
            <w:pPr>
              <w:spacing w:line="360" w:lineRule="auto"/>
              <w:ind w:firstLine="480" w:firstLineChars="200"/>
              <w:rPr>
                <w:bCs/>
                <w:sz w:val="24"/>
              </w:rPr>
            </w:pPr>
            <w:r>
              <w:rPr>
                <w:sz w:val="24"/>
              </w:rPr>
              <w:t>根据</w:t>
            </w:r>
            <w:r>
              <w:rPr>
                <w:bCs/>
                <w:sz w:val="24"/>
              </w:rPr>
              <w:t>（</w:t>
            </w:r>
            <w:r>
              <w:rPr>
                <w:rFonts w:hint="eastAsia"/>
                <w:bCs/>
                <w:sz w:val="24"/>
              </w:rPr>
              <w:t>涪陵府办发〔2020〕118号</w:t>
            </w:r>
            <w:r>
              <w:rPr>
                <w:bCs/>
                <w:sz w:val="24"/>
              </w:rPr>
              <w:t>），项目位于</w:t>
            </w:r>
            <w:r>
              <w:rPr>
                <w:rFonts w:hint="eastAsia"/>
                <w:bCs/>
                <w:sz w:val="24"/>
              </w:rPr>
              <w:t>“</w:t>
            </w:r>
            <w:r>
              <w:rPr>
                <w:rFonts w:hint="eastAsia"/>
                <w:sz w:val="24"/>
              </w:rPr>
              <w:t>涪陵区重点管控单元2-长江二桥（涉及李渡、龙桥、马鞍街道）</w:t>
            </w:r>
            <w:r>
              <w:rPr>
                <w:rFonts w:hint="eastAsia"/>
                <w:bCs/>
                <w:sz w:val="24"/>
              </w:rPr>
              <w:t>”</w:t>
            </w:r>
            <w:r>
              <w:rPr>
                <w:sz w:val="24"/>
              </w:rPr>
              <w:t>，环境管控单元编码为ZH50010220002，</w:t>
            </w:r>
            <w:r>
              <w:rPr>
                <w:rFonts w:hint="eastAsia"/>
                <w:bCs/>
                <w:sz w:val="24"/>
              </w:rPr>
              <w:t>项目与“</w:t>
            </w:r>
            <w:r>
              <w:rPr>
                <w:rFonts w:hint="eastAsia"/>
                <w:sz w:val="24"/>
              </w:rPr>
              <w:t>涪陵区重点管控单元2-长江二桥（涉及李渡、龙桥、马鞍街道）</w:t>
            </w:r>
            <w:r>
              <w:rPr>
                <w:rFonts w:hint="eastAsia"/>
                <w:bCs/>
                <w:sz w:val="24"/>
              </w:rPr>
              <w:t>”</w:t>
            </w:r>
            <w:r>
              <w:rPr>
                <w:sz w:val="24"/>
              </w:rPr>
              <w:t>管控要求的符合性符合性分析见表1-4。</w:t>
            </w:r>
          </w:p>
          <w:p w14:paraId="5B1D3240">
            <w:pPr>
              <w:spacing w:line="360" w:lineRule="auto"/>
              <w:jc w:val="center"/>
              <w:rPr>
                <w:kern w:val="0"/>
                <w:sz w:val="24"/>
              </w:rPr>
            </w:pPr>
            <w:r>
              <w:rPr>
                <w:bCs/>
                <w:sz w:val="24"/>
              </w:rPr>
              <w:t>表1-4  项目与</w:t>
            </w:r>
            <w:r>
              <w:rPr>
                <w:rFonts w:hint="eastAsia"/>
                <w:bCs/>
                <w:sz w:val="24"/>
              </w:rPr>
              <w:t>“</w:t>
            </w:r>
            <w:r>
              <w:rPr>
                <w:rFonts w:hint="eastAsia"/>
                <w:sz w:val="24"/>
              </w:rPr>
              <w:t>涪陵区重点管控单元2-长江二桥（涉及李渡、龙桥、马鞍街道）</w:t>
            </w:r>
            <w:r>
              <w:rPr>
                <w:rFonts w:hint="eastAsia"/>
                <w:bCs/>
                <w:sz w:val="24"/>
              </w:rPr>
              <w:t>”的符合性分析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718"/>
              <w:gridCol w:w="3446"/>
              <w:gridCol w:w="2303"/>
              <w:gridCol w:w="936"/>
            </w:tblGrid>
            <w:tr w14:paraId="53AB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20C31A90">
                  <w:pPr>
                    <w:widowControl/>
                    <w:jc w:val="center"/>
                    <w:rPr>
                      <w:szCs w:val="21"/>
                    </w:rPr>
                  </w:pPr>
                  <w:r>
                    <w:rPr>
                      <w:szCs w:val="21"/>
                    </w:rPr>
                    <w:t>环境管控单元名称</w:t>
                  </w:r>
                </w:p>
              </w:tc>
              <w:tc>
                <w:tcPr>
                  <w:tcW w:w="718" w:type="dxa"/>
                  <w:vAlign w:val="center"/>
                </w:tcPr>
                <w:p w14:paraId="6392E56A">
                  <w:pPr>
                    <w:widowControl/>
                    <w:jc w:val="center"/>
                    <w:rPr>
                      <w:szCs w:val="21"/>
                    </w:rPr>
                  </w:pPr>
                  <w:r>
                    <w:rPr>
                      <w:szCs w:val="21"/>
                    </w:rPr>
                    <w:t>管控类别</w:t>
                  </w:r>
                </w:p>
              </w:tc>
              <w:tc>
                <w:tcPr>
                  <w:tcW w:w="3446" w:type="dxa"/>
                  <w:vAlign w:val="center"/>
                </w:tcPr>
                <w:p w14:paraId="1D25D07F">
                  <w:pPr>
                    <w:widowControl/>
                    <w:jc w:val="center"/>
                    <w:rPr>
                      <w:szCs w:val="21"/>
                    </w:rPr>
                  </w:pPr>
                  <w:r>
                    <w:rPr>
                      <w:szCs w:val="21"/>
                    </w:rPr>
                    <w:t>管控要求</w:t>
                  </w:r>
                </w:p>
              </w:tc>
              <w:tc>
                <w:tcPr>
                  <w:tcW w:w="2303" w:type="dxa"/>
                  <w:vAlign w:val="center"/>
                </w:tcPr>
                <w:p w14:paraId="66D3ED46">
                  <w:pPr>
                    <w:jc w:val="center"/>
                    <w:rPr>
                      <w:szCs w:val="21"/>
                    </w:rPr>
                  </w:pPr>
                  <w:r>
                    <w:rPr>
                      <w:szCs w:val="21"/>
                    </w:rPr>
                    <w:t>本项目情况</w:t>
                  </w:r>
                </w:p>
              </w:tc>
              <w:tc>
                <w:tcPr>
                  <w:tcW w:w="936" w:type="dxa"/>
                  <w:vAlign w:val="center"/>
                </w:tcPr>
                <w:p w14:paraId="5931EC96">
                  <w:pPr>
                    <w:jc w:val="center"/>
                    <w:rPr>
                      <w:szCs w:val="21"/>
                    </w:rPr>
                  </w:pPr>
                  <w:r>
                    <w:rPr>
                      <w:szCs w:val="21"/>
                    </w:rPr>
                    <w:t>符合性</w:t>
                  </w:r>
                </w:p>
              </w:tc>
            </w:tr>
            <w:tr w14:paraId="3F1A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vAlign w:val="center"/>
                </w:tcPr>
                <w:p w14:paraId="7DA69C4F">
                  <w:pPr>
                    <w:widowControl/>
                    <w:jc w:val="center"/>
                    <w:rPr>
                      <w:szCs w:val="21"/>
                    </w:rPr>
                  </w:pPr>
                  <w:r>
                    <w:rPr>
                      <w:rFonts w:hint="eastAsia"/>
                      <w:szCs w:val="21"/>
                    </w:rPr>
                    <w:t>“涪陵区重点管控单元2-长江二桥（涉及李渡、龙桥、马鞍街道）”</w:t>
                  </w:r>
                </w:p>
              </w:tc>
              <w:tc>
                <w:tcPr>
                  <w:tcW w:w="718" w:type="dxa"/>
                  <w:vAlign w:val="center"/>
                </w:tcPr>
                <w:p w14:paraId="4E0000A8">
                  <w:pPr>
                    <w:widowControl/>
                    <w:jc w:val="center"/>
                    <w:rPr>
                      <w:szCs w:val="21"/>
                    </w:rPr>
                  </w:pPr>
                  <w:r>
                    <w:rPr>
                      <w:szCs w:val="21"/>
                    </w:rPr>
                    <w:t>空间布局约束</w:t>
                  </w:r>
                </w:p>
              </w:tc>
              <w:tc>
                <w:tcPr>
                  <w:tcW w:w="3446" w:type="dxa"/>
                  <w:vAlign w:val="center"/>
                </w:tcPr>
                <w:p w14:paraId="2C787137">
                  <w:pPr>
                    <w:widowControl/>
                    <w:rPr>
                      <w:szCs w:val="21"/>
                    </w:rPr>
                  </w:pPr>
                  <w:r>
                    <w:rPr>
                      <w:rStyle w:val="164"/>
                      <w:rFonts w:hint="default" w:ascii="Times New Roman" w:hAnsi="Times New Roman" w:eastAsia="宋体"/>
                      <w:color w:val="auto"/>
                      <w:sz w:val="21"/>
                      <w:szCs w:val="21"/>
                    </w:rPr>
                    <w:t>1.禁止涪陵工业园区李渡组团、龙桥组团在长江干流岸线1公里范围内新建重化工、纺织、造纸等存在污染风险的工业项目；2.涪陵工业园区龙桥组团原则上不再布局高污染化工项目，李渡组团不得布局化工项目；3.崇义街道涪陵二水厂、李渡水厂饮用水水源取水口上游20公里范围内的沿岸地区（江河50年一遇洪水位向陆域一侧1公里范围内），禁止新建排放重金属（铬、镉、汞、砷、铅）、剧毒物质和持久性有机污染物的工业项目；4.李渡组团禁止建设印染业、燃煤电厂、造纸、水泥生产等重污染行业和其它不符合国家产业政策的项目，以及超出环境资源承载力的项目；5.重庆涪陵工业园区龙桥组团南岸浦片区维持现有燃煤锅炉容量，不新增燃煤热电项目。</w:t>
                  </w:r>
                </w:p>
              </w:tc>
              <w:tc>
                <w:tcPr>
                  <w:tcW w:w="2303" w:type="dxa"/>
                  <w:vAlign w:val="center"/>
                </w:tcPr>
                <w:p w14:paraId="653A0277">
                  <w:pPr>
                    <w:jc w:val="center"/>
                    <w:rPr>
                      <w:szCs w:val="21"/>
                    </w:rPr>
                  </w:pPr>
                  <w:r>
                    <w:rPr>
                      <w:szCs w:val="21"/>
                    </w:rPr>
                    <w:t>本项目</w:t>
                  </w:r>
                  <w:r>
                    <w:rPr>
                      <w:rFonts w:hint="eastAsia"/>
                      <w:szCs w:val="21"/>
                    </w:rPr>
                    <w:t>位于</w:t>
                  </w:r>
                  <w:r>
                    <w:rPr>
                      <w:rStyle w:val="164"/>
                      <w:rFonts w:hint="default" w:ascii="Times New Roman" w:hAnsi="Times New Roman" w:eastAsia="宋体"/>
                      <w:color w:val="auto"/>
                      <w:sz w:val="21"/>
                      <w:szCs w:val="21"/>
                    </w:rPr>
                    <w:t>涪陵工业园区李渡组团，项目不属于重化工、纺织、造纸等存在污染风险的工业项目，不属于化工项目。</w:t>
                  </w:r>
                  <w:r>
                    <w:rPr>
                      <w:szCs w:val="21"/>
                    </w:rPr>
                    <w:t>不属于</w:t>
                  </w:r>
                  <w:r>
                    <w:rPr>
                      <w:rStyle w:val="164"/>
                      <w:rFonts w:hint="default" w:ascii="Times New Roman" w:hAnsi="Times New Roman" w:eastAsia="宋体"/>
                      <w:color w:val="auto"/>
                      <w:sz w:val="21"/>
                      <w:szCs w:val="21"/>
                    </w:rPr>
                    <w:t>锶盐精细化工项目。项目不涉及重金属（铬、镉、汞、砷、铅）、剧毒物质和持久性有机污染物的排放。项目不属于印染业、燃煤电厂、造纸、水泥等项目，符合国家产业政策，未超出当地环境资源承载能力，项目不涉及锅炉及燃煤热电</w:t>
                  </w:r>
                </w:p>
              </w:tc>
              <w:tc>
                <w:tcPr>
                  <w:tcW w:w="936" w:type="dxa"/>
                  <w:vAlign w:val="center"/>
                </w:tcPr>
                <w:p w14:paraId="24956415">
                  <w:pPr>
                    <w:jc w:val="center"/>
                    <w:rPr>
                      <w:szCs w:val="21"/>
                    </w:rPr>
                  </w:pPr>
                  <w:r>
                    <w:rPr>
                      <w:szCs w:val="21"/>
                    </w:rPr>
                    <w:t>符合</w:t>
                  </w:r>
                </w:p>
              </w:tc>
            </w:tr>
            <w:tr w14:paraId="72DF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B15B184">
                  <w:pPr>
                    <w:widowControl/>
                    <w:jc w:val="center"/>
                    <w:rPr>
                      <w:szCs w:val="21"/>
                    </w:rPr>
                  </w:pPr>
                </w:p>
              </w:tc>
              <w:tc>
                <w:tcPr>
                  <w:tcW w:w="718" w:type="dxa"/>
                  <w:vAlign w:val="center"/>
                </w:tcPr>
                <w:p w14:paraId="354848BA">
                  <w:pPr>
                    <w:widowControl/>
                    <w:jc w:val="center"/>
                    <w:rPr>
                      <w:szCs w:val="21"/>
                    </w:rPr>
                  </w:pPr>
                  <w:r>
                    <w:rPr>
                      <w:szCs w:val="21"/>
                    </w:rPr>
                    <w:t>污染物排放管控</w:t>
                  </w:r>
                </w:p>
              </w:tc>
              <w:tc>
                <w:tcPr>
                  <w:tcW w:w="3446" w:type="dxa"/>
                  <w:vAlign w:val="center"/>
                </w:tcPr>
                <w:p w14:paraId="4F43586E">
                  <w:pPr>
                    <w:widowControl/>
                    <w:rPr>
                      <w:rStyle w:val="164"/>
                      <w:rFonts w:hint="default" w:ascii="Times New Roman" w:hAnsi="Times New Roman" w:eastAsia="宋体"/>
                      <w:color w:val="auto"/>
                      <w:sz w:val="21"/>
                      <w:szCs w:val="21"/>
                    </w:rPr>
                  </w:pPr>
                  <w:r>
                    <w:rPr>
                      <w:rStyle w:val="164"/>
                      <w:rFonts w:hint="default" w:ascii="Times New Roman" w:hAnsi="Times New Roman" w:eastAsia="宋体"/>
                      <w:color w:val="auto"/>
                      <w:sz w:val="21"/>
                      <w:szCs w:val="21"/>
                    </w:rPr>
                    <w:t>1.改扩建龙桥北拱污水处理厂，提高废水排放标准；2.改扩乡镇废水处理工程。完善二、三级管网；3.建成并投运涪陵化工磷石膏渣坝渗滤液处理设施。完成涪陵化工磷石膏渣坝坝体及坝顶的覆土、复绿；4.对重点企业和石化储油罐区有机废气进行深度治理。</w:t>
                  </w:r>
                </w:p>
              </w:tc>
              <w:tc>
                <w:tcPr>
                  <w:tcW w:w="2303" w:type="dxa"/>
                  <w:vAlign w:val="center"/>
                </w:tcPr>
                <w:p w14:paraId="1CFF72DE">
                  <w:pPr>
                    <w:jc w:val="center"/>
                    <w:rPr>
                      <w:szCs w:val="21"/>
                    </w:rPr>
                  </w:pPr>
                  <w:r>
                    <w:rPr>
                      <w:rFonts w:hint="eastAsia"/>
                      <w:szCs w:val="21"/>
                    </w:rPr>
                    <w:t>本项目不涉及</w:t>
                  </w:r>
                </w:p>
              </w:tc>
              <w:tc>
                <w:tcPr>
                  <w:tcW w:w="936" w:type="dxa"/>
                  <w:vAlign w:val="center"/>
                </w:tcPr>
                <w:p w14:paraId="722389C6">
                  <w:pPr>
                    <w:jc w:val="center"/>
                    <w:rPr>
                      <w:szCs w:val="21"/>
                    </w:rPr>
                  </w:pPr>
                  <w:r>
                    <w:rPr>
                      <w:szCs w:val="21"/>
                    </w:rPr>
                    <w:t>符合</w:t>
                  </w:r>
                </w:p>
              </w:tc>
            </w:tr>
            <w:tr w14:paraId="5B51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1168075">
                  <w:pPr>
                    <w:widowControl/>
                    <w:jc w:val="center"/>
                    <w:rPr>
                      <w:szCs w:val="21"/>
                    </w:rPr>
                  </w:pPr>
                </w:p>
              </w:tc>
              <w:tc>
                <w:tcPr>
                  <w:tcW w:w="718" w:type="dxa"/>
                  <w:vAlign w:val="center"/>
                </w:tcPr>
                <w:p w14:paraId="72505831">
                  <w:pPr>
                    <w:widowControl/>
                    <w:jc w:val="center"/>
                    <w:rPr>
                      <w:szCs w:val="21"/>
                    </w:rPr>
                  </w:pPr>
                  <w:r>
                    <w:rPr>
                      <w:szCs w:val="21"/>
                    </w:rPr>
                    <w:t>环境风险防控</w:t>
                  </w:r>
                </w:p>
              </w:tc>
              <w:tc>
                <w:tcPr>
                  <w:tcW w:w="3446" w:type="dxa"/>
                  <w:vAlign w:val="center"/>
                </w:tcPr>
                <w:p w14:paraId="0A9B44B9">
                  <w:pPr>
                    <w:widowControl/>
                    <w:rPr>
                      <w:rStyle w:val="164"/>
                      <w:rFonts w:hint="default" w:ascii="Times New Roman" w:hAnsi="Times New Roman" w:eastAsia="宋体"/>
                      <w:color w:val="auto"/>
                      <w:sz w:val="21"/>
                      <w:szCs w:val="21"/>
                    </w:rPr>
                  </w:pPr>
                  <w:r>
                    <w:rPr>
                      <w:rStyle w:val="164"/>
                      <w:rFonts w:hint="default" w:ascii="Times New Roman" w:hAnsi="Times New Roman" w:eastAsia="宋体"/>
                      <w:color w:val="auto"/>
                      <w:sz w:val="21"/>
                      <w:szCs w:val="21"/>
                    </w:rPr>
                    <w:t>1.完成涪陵区城市双水源建设，城区白鹤水厂和李渡二水厂全面建成供水；2.强化化工企业环境风险管控，加强长江水质和下游饮用水供水安全；3.加强涪陵工业园区生活垃圾、龙桥组团一般工业固体废物处置场渣场和涪陵化工磷石膏渣坝地下水污染防治措施。</w:t>
                  </w:r>
                </w:p>
              </w:tc>
              <w:tc>
                <w:tcPr>
                  <w:tcW w:w="2303" w:type="dxa"/>
                  <w:vAlign w:val="center"/>
                </w:tcPr>
                <w:p w14:paraId="7CA8E297">
                  <w:pPr>
                    <w:jc w:val="center"/>
                    <w:rPr>
                      <w:szCs w:val="21"/>
                    </w:rPr>
                  </w:pPr>
                  <w:r>
                    <w:rPr>
                      <w:szCs w:val="21"/>
                    </w:rPr>
                    <w:t>本项目位于工业园区内，项目</w:t>
                  </w:r>
                  <w:r>
                    <w:rPr>
                      <w:rFonts w:hint="eastAsia"/>
                      <w:szCs w:val="21"/>
                    </w:rPr>
                    <w:t>将采取</w:t>
                  </w:r>
                  <w:r>
                    <w:rPr>
                      <w:szCs w:val="21"/>
                    </w:rPr>
                    <w:t>严格、规范的环境</w:t>
                  </w:r>
                  <w:r>
                    <w:rPr>
                      <w:rFonts w:hint="eastAsia"/>
                      <w:szCs w:val="21"/>
                    </w:rPr>
                    <w:t>风险防控</w:t>
                  </w:r>
                  <w:r>
                    <w:rPr>
                      <w:szCs w:val="21"/>
                    </w:rPr>
                    <w:t>措施。</w:t>
                  </w:r>
                </w:p>
              </w:tc>
              <w:tc>
                <w:tcPr>
                  <w:tcW w:w="936" w:type="dxa"/>
                  <w:vAlign w:val="center"/>
                </w:tcPr>
                <w:p w14:paraId="4B46F95E">
                  <w:pPr>
                    <w:jc w:val="center"/>
                    <w:rPr>
                      <w:szCs w:val="21"/>
                    </w:rPr>
                  </w:pPr>
                  <w:r>
                    <w:rPr>
                      <w:szCs w:val="21"/>
                    </w:rPr>
                    <w:t>符合</w:t>
                  </w:r>
                </w:p>
              </w:tc>
            </w:tr>
            <w:tr w14:paraId="55A4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0873551D">
                  <w:pPr>
                    <w:widowControl/>
                    <w:jc w:val="center"/>
                    <w:rPr>
                      <w:szCs w:val="21"/>
                    </w:rPr>
                  </w:pPr>
                </w:p>
              </w:tc>
              <w:tc>
                <w:tcPr>
                  <w:tcW w:w="718" w:type="dxa"/>
                  <w:vAlign w:val="center"/>
                </w:tcPr>
                <w:p w14:paraId="479CB255">
                  <w:pPr>
                    <w:widowControl/>
                    <w:jc w:val="center"/>
                    <w:rPr>
                      <w:szCs w:val="21"/>
                    </w:rPr>
                  </w:pPr>
                  <w:r>
                    <w:rPr>
                      <w:szCs w:val="21"/>
                    </w:rPr>
                    <w:t>资源开发效率要求</w:t>
                  </w:r>
                </w:p>
              </w:tc>
              <w:tc>
                <w:tcPr>
                  <w:tcW w:w="3446" w:type="dxa"/>
                  <w:vAlign w:val="center"/>
                </w:tcPr>
                <w:p w14:paraId="2D838B7F">
                  <w:pPr>
                    <w:widowControl/>
                    <w:rPr>
                      <w:rStyle w:val="164"/>
                      <w:rFonts w:hint="default" w:ascii="Times New Roman" w:hAnsi="Times New Roman" w:eastAsia="宋体"/>
                      <w:color w:val="auto"/>
                      <w:sz w:val="21"/>
                      <w:szCs w:val="21"/>
                    </w:rPr>
                  </w:pPr>
                  <w:r>
                    <w:rPr>
                      <w:rStyle w:val="164"/>
                      <w:rFonts w:hint="default" w:ascii="Times New Roman" w:hAnsi="Times New Roman" w:eastAsia="宋体"/>
                      <w:color w:val="auto"/>
                      <w:sz w:val="21"/>
                      <w:szCs w:val="21"/>
                    </w:rPr>
                    <w:t>火电机组供电煤耗低于310克/千瓦时。</w:t>
                  </w:r>
                </w:p>
              </w:tc>
              <w:tc>
                <w:tcPr>
                  <w:tcW w:w="2303" w:type="dxa"/>
                  <w:vAlign w:val="center"/>
                </w:tcPr>
                <w:p w14:paraId="3D30DB98">
                  <w:pPr>
                    <w:jc w:val="center"/>
                    <w:rPr>
                      <w:szCs w:val="21"/>
                    </w:rPr>
                  </w:pPr>
                  <w:r>
                    <w:rPr>
                      <w:szCs w:val="21"/>
                    </w:rPr>
                    <w:t>本项目不涉及</w:t>
                  </w:r>
                </w:p>
              </w:tc>
              <w:tc>
                <w:tcPr>
                  <w:tcW w:w="936" w:type="dxa"/>
                  <w:vAlign w:val="center"/>
                </w:tcPr>
                <w:p w14:paraId="21ECDD88">
                  <w:pPr>
                    <w:jc w:val="center"/>
                    <w:rPr>
                      <w:szCs w:val="21"/>
                    </w:rPr>
                  </w:pPr>
                  <w:r>
                    <w:rPr>
                      <w:szCs w:val="21"/>
                    </w:rPr>
                    <w:t>符合</w:t>
                  </w:r>
                </w:p>
              </w:tc>
            </w:tr>
          </w:tbl>
          <w:p w14:paraId="273D74D6">
            <w:pPr>
              <w:pStyle w:val="54"/>
              <w:spacing w:line="360" w:lineRule="auto"/>
              <w:ind w:firstLine="480" w:firstLineChars="200"/>
              <w:jc w:val="both"/>
              <w:rPr>
                <w:bCs/>
                <w:color w:val="auto"/>
              </w:rPr>
            </w:pPr>
            <w:r>
              <w:rPr>
                <w:rFonts w:hint="eastAsia" w:ascii="Times New Roman" w:hAnsi="Times New Roman" w:cs="Times New Roman"/>
                <w:color w:val="auto"/>
              </w:rPr>
              <w:t>综上分析可知，项目满足涪陵区“三线一单”要求</w:t>
            </w:r>
            <w:r>
              <w:rPr>
                <w:rFonts w:hint="eastAsia"/>
                <w:bCs/>
                <w:color w:val="auto"/>
              </w:rPr>
              <w:t>。</w:t>
            </w:r>
          </w:p>
          <w:p w14:paraId="72961568">
            <w:pPr>
              <w:spacing w:line="360" w:lineRule="auto"/>
              <w:rPr>
                <w:b/>
                <w:sz w:val="24"/>
              </w:rPr>
            </w:pPr>
            <w:r>
              <w:rPr>
                <w:b/>
                <w:kern w:val="0"/>
                <w:sz w:val="24"/>
              </w:rPr>
              <w:t>2、</w:t>
            </w:r>
            <w:r>
              <w:rPr>
                <w:b/>
                <w:sz w:val="24"/>
              </w:rPr>
              <w:t>《挥发性有机物无组织排放控制标准》（GB37822-2019)达标性分析</w:t>
            </w:r>
          </w:p>
          <w:p w14:paraId="62573EBD">
            <w:pPr>
              <w:spacing w:line="360" w:lineRule="auto"/>
              <w:ind w:firstLine="480" w:firstLineChars="200"/>
              <w:rPr>
                <w:sz w:val="24"/>
              </w:rPr>
            </w:pPr>
            <w:r>
              <w:rPr>
                <w:sz w:val="24"/>
              </w:rPr>
              <w:t>项目对照《挥发性有机物无组织排放控制标准》（GB37822-2019)中提出的VOC</w:t>
            </w:r>
            <w:r>
              <w:rPr>
                <w:sz w:val="24"/>
                <w:vertAlign w:val="subscript"/>
              </w:rPr>
              <w:t>s</w:t>
            </w:r>
            <w:r>
              <w:rPr>
                <w:sz w:val="24"/>
              </w:rPr>
              <w:t>无组织排放管理要求，进行达标性分析，详见表1-5。根据表中分析结果，可见项目可以做到挥发性有机物无组织管理要求达标。</w:t>
            </w:r>
          </w:p>
          <w:p w14:paraId="0FCC0C9D">
            <w:pPr>
              <w:spacing w:line="360" w:lineRule="auto"/>
              <w:jc w:val="center"/>
              <w:rPr>
                <w:sz w:val="24"/>
              </w:rPr>
            </w:pPr>
            <w:r>
              <w:rPr>
                <w:sz w:val="24"/>
              </w:rPr>
              <w:t>表1-5  《挥发性有机物无组织排放控制标准》（GB37822-2019)达标性分析</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52"/>
              <w:gridCol w:w="3999"/>
              <w:gridCol w:w="2155"/>
              <w:gridCol w:w="984"/>
            </w:tblGrid>
            <w:tr w14:paraId="6277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695" w:type="pct"/>
                  <w:vAlign w:val="center"/>
                </w:tcPr>
                <w:p w14:paraId="2D5EA61A">
                  <w:pPr>
                    <w:adjustRightInd w:val="0"/>
                    <w:snapToGrid w:val="0"/>
                    <w:jc w:val="center"/>
                    <w:rPr>
                      <w:szCs w:val="21"/>
                    </w:rPr>
                  </w:pPr>
                  <w:r>
                    <w:rPr>
                      <w:szCs w:val="21"/>
                    </w:rPr>
                    <w:t>类别</w:t>
                  </w:r>
                </w:p>
              </w:tc>
              <w:tc>
                <w:tcPr>
                  <w:tcW w:w="2412" w:type="pct"/>
                  <w:vAlign w:val="center"/>
                </w:tcPr>
                <w:p w14:paraId="64C2B5A6">
                  <w:pPr>
                    <w:adjustRightInd w:val="0"/>
                    <w:snapToGrid w:val="0"/>
                    <w:jc w:val="center"/>
                    <w:rPr>
                      <w:szCs w:val="21"/>
                    </w:rPr>
                  </w:pPr>
                  <w:r>
                    <w:rPr>
                      <w:szCs w:val="21"/>
                    </w:rPr>
                    <w:t>相关要求</w:t>
                  </w:r>
                </w:p>
              </w:tc>
              <w:tc>
                <w:tcPr>
                  <w:tcW w:w="1300" w:type="pct"/>
                  <w:vAlign w:val="center"/>
                </w:tcPr>
                <w:p w14:paraId="5A55A4E9">
                  <w:pPr>
                    <w:adjustRightInd w:val="0"/>
                    <w:snapToGrid w:val="0"/>
                    <w:jc w:val="center"/>
                    <w:rPr>
                      <w:szCs w:val="21"/>
                    </w:rPr>
                  </w:pPr>
                  <w:r>
                    <w:rPr>
                      <w:szCs w:val="21"/>
                    </w:rPr>
                    <w:t>项目情况</w:t>
                  </w:r>
                </w:p>
              </w:tc>
              <w:tc>
                <w:tcPr>
                  <w:tcW w:w="593" w:type="pct"/>
                  <w:vAlign w:val="center"/>
                </w:tcPr>
                <w:p w14:paraId="4274405E">
                  <w:pPr>
                    <w:adjustRightInd w:val="0"/>
                    <w:snapToGrid w:val="0"/>
                    <w:jc w:val="center"/>
                    <w:rPr>
                      <w:szCs w:val="21"/>
                    </w:rPr>
                  </w:pPr>
                  <w:r>
                    <w:rPr>
                      <w:szCs w:val="21"/>
                    </w:rPr>
                    <w:t>符合性</w:t>
                  </w:r>
                </w:p>
                <w:p w14:paraId="24F4D71B">
                  <w:pPr>
                    <w:adjustRightInd w:val="0"/>
                    <w:snapToGrid w:val="0"/>
                    <w:jc w:val="center"/>
                    <w:rPr>
                      <w:szCs w:val="21"/>
                    </w:rPr>
                  </w:pPr>
                  <w:r>
                    <w:rPr>
                      <w:szCs w:val="21"/>
                    </w:rPr>
                    <w:t>分析</w:t>
                  </w:r>
                </w:p>
              </w:tc>
            </w:tr>
            <w:tr w14:paraId="3244B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restart"/>
                  <w:vAlign w:val="center"/>
                </w:tcPr>
                <w:p w14:paraId="16BF90DC">
                  <w:pPr>
                    <w:adjustRightInd w:val="0"/>
                    <w:snapToGrid w:val="0"/>
                    <w:jc w:val="center"/>
                    <w:rPr>
                      <w:szCs w:val="21"/>
                    </w:rPr>
                  </w:pPr>
                  <w:r>
                    <w:rPr>
                      <w:szCs w:val="21"/>
                    </w:rPr>
                    <w:t>VOCs 物料储存无组织排放控制要求</w:t>
                  </w:r>
                </w:p>
              </w:tc>
              <w:tc>
                <w:tcPr>
                  <w:tcW w:w="2412" w:type="pct"/>
                  <w:vAlign w:val="center"/>
                </w:tcPr>
                <w:p w14:paraId="3FD5C4BA">
                  <w:pPr>
                    <w:adjustRightInd w:val="0"/>
                    <w:snapToGrid w:val="0"/>
                    <w:jc w:val="center"/>
                    <w:rPr>
                      <w:szCs w:val="21"/>
                    </w:rPr>
                  </w:pPr>
                  <w:r>
                    <w:rPr>
                      <w:szCs w:val="21"/>
                    </w:rPr>
                    <w:t>VOCs物料应储存于密闭的容器、包装袋、储罐、储库、料仓中。</w:t>
                  </w:r>
                </w:p>
              </w:tc>
              <w:tc>
                <w:tcPr>
                  <w:tcW w:w="1300" w:type="pct"/>
                  <w:vAlign w:val="center"/>
                </w:tcPr>
                <w:p w14:paraId="3A41EDDD">
                  <w:pPr>
                    <w:autoSpaceDE w:val="0"/>
                    <w:autoSpaceDN w:val="0"/>
                    <w:adjustRightInd w:val="0"/>
                    <w:snapToGrid w:val="0"/>
                    <w:jc w:val="center"/>
                    <w:rPr>
                      <w:szCs w:val="21"/>
                    </w:rPr>
                  </w:pPr>
                  <w:r>
                    <w:rPr>
                      <w:szCs w:val="21"/>
                    </w:rPr>
                    <w:t>项目</w:t>
                  </w:r>
                  <w:r>
                    <w:rPr>
                      <w:rFonts w:hint="eastAsia"/>
                      <w:szCs w:val="21"/>
                    </w:rPr>
                    <w:t>脱模剂、</w:t>
                  </w:r>
                  <w:r>
                    <w:rPr>
                      <w:szCs w:val="21"/>
                    </w:rPr>
                    <w:t>切削液均采用密闭桶装</w:t>
                  </w:r>
                  <w:r>
                    <w:rPr>
                      <w:rFonts w:hint="eastAsia"/>
                      <w:szCs w:val="21"/>
                    </w:rPr>
                    <w:t>，</w:t>
                  </w:r>
                  <w:r>
                    <w:rPr>
                      <w:szCs w:val="21"/>
                    </w:rPr>
                    <w:t>储存与油品库</w:t>
                  </w:r>
                  <w:r>
                    <w:rPr>
                      <w:rFonts w:hint="eastAsia"/>
                      <w:szCs w:val="21"/>
                    </w:rPr>
                    <w:t>内</w:t>
                  </w:r>
                </w:p>
              </w:tc>
              <w:tc>
                <w:tcPr>
                  <w:tcW w:w="593" w:type="pct"/>
                  <w:vAlign w:val="center"/>
                </w:tcPr>
                <w:p w14:paraId="0B35CFEC">
                  <w:pPr>
                    <w:adjustRightInd w:val="0"/>
                    <w:snapToGrid w:val="0"/>
                    <w:jc w:val="center"/>
                    <w:rPr>
                      <w:szCs w:val="21"/>
                    </w:rPr>
                  </w:pPr>
                  <w:r>
                    <w:rPr>
                      <w:szCs w:val="21"/>
                    </w:rPr>
                    <w:t>符合</w:t>
                  </w:r>
                </w:p>
              </w:tc>
            </w:tr>
            <w:tr w14:paraId="7C4C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63634B1D">
                  <w:pPr>
                    <w:widowControl/>
                    <w:adjustRightInd w:val="0"/>
                    <w:snapToGrid w:val="0"/>
                    <w:jc w:val="center"/>
                    <w:rPr>
                      <w:szCs w:val="21"/>
                    </w:rPr>
                  </w:pPr>
                </w:p>
              </w:tc>
              <w:tc>
                <w:tcPr>
                  <w:tcW w:w="2412" w:type="pct"/>
                  <w:vAlign w:val="center"/>
                </w:tcPr>
                <w:p w14:paraId="2DADD563">
                  <w:pPr>
                    <w:adjustRightInd w:val="0"/>
                    <w:snapToGrid w:val="0"/>
                    <w:jc w:val="center"/>
                    <w:rPr>
                      <w:szCs w:val="21"/>
                    </w:rPr>
                  </w:pPr>
                  <w:r>
                    <w:rPr>
                      <w:szCs w:val="21"/>
                    </w:rPr>
                    <w:t>盛装VOCs 物料的容器或包装袋应存放于室内，或存放于设置有雨棚、遮阳和防渗设施的专用场地。盛装VOCs 物料的容器或包装袋在非取用状态时应加盖、封口，保持密闭。</w:t>
                  </w:r>
                </w:p>
              </w:tc>
              <w:tc>
                <w:tcPr>
                  <w:tcW w:w="1300" w:type="pct"/>
                  <w:vAlign w:val="center"/>
                </w:tcPr>
                <w:p w14:paraId="337B41C1">
                  <w:pPr>
                    <w:autoSpaceDE w:val="0"/>
                    <w:autoSpaceDN w:val="0"/>
                    <w:adjustRightInd w:val="0"/>
                    <w:snapToGrid w:val="0"/>
                    <w:jc w:val="center"/>
                    <w:rPr>
                      <w:szCs w:val="21"/>
                    </w:rPr>
                  </w:pPr>
                  <w:r>
                    <w:rPr>
                      <w:szCs w:val="21"/>
                    </w:rPr>
                    <w:t>项目</w:t>
                  </w:r>
                  <w:r>
                    <w:rPr>
                      <w:rFonts w:hint="eastAsia"/>
                      <w:szCs w:val="21"/>
                    </w:rPr>
                    <w:t>脱模剂、</w:t>
                  </w:r>
                  <w:r>
                    <w:rPr>
                      <w:szCs w:val="21"/>
                    </w:rPr>
                    <w:t>切削液采用铁桶承装，仅在使用是打开封盖，储存于</w:t>
                  </w:r>
                  <w:r>
                    <w:rPr>
                      <w:rFonts w:hint="eastAsia"/>
                      <w:szCs w:val="21"/>
                    </w:rPr>
                    <w:t>切削液、脱模剂、液压油储存间内</w:t>
                  </w:r>
                </w:p>
              </w:tc>
              <w:tc>
                <w:tcPr>
                  <w:tcW w:w="593" w:type="pct"/>
                  <w:vAlign w:val="center"/>
                </w:tcPr>
                <w:p w14:paraId="3B3336B0">
                  <w:pPr>
                    <w:adjustRightInd w:val="0"/>
                    <w:snapToGrid w:val="0"/>
                    <w:jc w:val="center"/>
                    <w:rPr>
                      <w:szCs w:val="21"/>
                    </w:rPr>
                  </w:pPr>
                  <w:r>
                    <w:rPr>
                      <w:szCs w:val="21"/>
                    </w:rPr>
                    <w:t>符合</w:t>
                  </w:r>
                </w:p>
              </w:tc>
            </w:tr>
            <w:tr w14:paraId="05090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restart"/>
                  <w:vAlign w:val="center"/>
                </w:tcPr>
                <w:p w14:paraId="680A1A8F">
                  <w:pPr>
                    <w:adjustRightInd w:val="0"/>
                    <w:snapToGrid w:val="0"/>
                    <w:jc w:val="center"/>
                    <w:rPr>
                      <w:szCs w:val="21"/>
                    </w:rPr>
                  </w:pPr>
                  <w:r>
                    <w:rPr>
                      <w:szCs w:val="21"/>
                    </w:rPr>
                    <w:t>含VOCs 产品的使用过程无组织排放控制要求</w:t>
                  </w:r>
                </w:p>
              </w:tc>
              <w:tc>
                <w:tcPr>
                  <w:tcW w:w="2412" w:type="pct"/>
                  <w:vAlign w:val="center"/>
                </w:tcPr>
                <w:p w14:paraId="6CFCEF1C">
                  <w:pPr>
                    <w:autoSpaceDE w:val="0"/>
                    <w:autoSpaceDN w:val="0"/>
                    <w:adjustRightInd w:val="0"/>
                    <w:rPr>
                      <w:szCs w:val="21"/>
                    </w:rPr>
                  </w:pPr>
                  <w:r>
                    <w:rPr>
                      <w:szCs w:val="21"/>
                    </w:rPr>
                    <w:t>VOCs质量占比大于等于10%的含VOCs产品，其使用过程应采用密闭设备或在密闭空间内操作，废气应排至VOCs 废气收集处理系统；无法密闭的，应采取局部气体收集措施，废气应排至VOCs废气收集处理系统。含VOCs 产品的使用过程包括但不限于以下作业：</w:t>
                  </w:r>
                </w:p>
                <w:p w14:paraId="429A36D9">
                  <w:pPr>
                    <w:adjustRightInd w:val="0"/>
                    <w:snapToGrid w:val="0"/>
                    <w:rPr>
                      <w:szCs w:val="21"/>
                    </w:rPr>
                  </w:pPr>
                  <w:r>
                    <w:rPr>
                      <w:szCs w:val="21"/>
                    </w:rPr>
                    <w:t>a）调配（混合、搅拌等）；b）涂装（喷涂、浸涂、淋涂、辊涂、刷涂、涂布等）；c）印刷（平版、凸版、凹版、孔版等）；d）粘结（涂胶、热压、复合、贴合等）；e）印染（染色、印花、定型等）；f ）干燥（烘干、风干、晾干等）；g）清洗（浸洗、喷洗、淋洗、冲洗、擦洗等）。</w:t>
                  </w:r>
                </w:p>
              </w:tc>
              <w:tc>
                <w:tcPr>
                  <w:tcW w:w="1300" w:type="pct"/>
                  <w:vAlign w:val="center"/>
                </w:tcPr>
                <w:p w14:paraId="720BBF01">
                  <w:pPr>
                    <w:adjustRightInd w:val="0"/>
                    <w:snapToGrid w:val="0"/>
                    <w:jc w:val="center"/>
                    <w:rPr>
                      <w:szCs w:val="21"/>
                      <w:highlight w:val="yellow"/>
                    </w:rPr>
                  </w:pPr>
                  <w:r>
                    <w:rPr>
                      <w:szCs w:val="21"/>
                    </w:rPr>
                    <w:t>项目</w:t>
                  </w:r>
                  <w:r>
                    <w:rPr>
                      <w:rFonts w:hint="eastAsia"/>
                      <w:szCs w:val="21"/>
                    </w:rPr>
                    <w:t>脱模剂、</w:t>
                  </w:r>
                  <w:r>
                    <w:rPr>
                      <w:szCs w:val="21"/>
                    </w:rPr>
                    <w:t>切削液按配比配置后使用时VOCs小于</w:t>
                  </w:r>
                  <w:r>
                    <w:rPr>
                      <w:rFonts w:hint="eastAsia"/>
                      <w:szCs w:val="21"/>
                    </w:rPr>
                    <w:t>1</w:t>
                  </w:r>
                  <w:r>
                    <w:rPr>
                      <w:szCs w:val="21"/>
                    </w:rPr>
                    <w:t>0</w:t>
                  </w:r>
                  <w:r>
                    <w:rPr>
                      <w:rFonts w:hint="eastAsia"/>
                      <w:szCs w:val="21"/>
                    </w:rPr>
                    <w:t>%，压铸过程产生的V</w:t>
                  </w:r>
                  <w:r>
                    <w:rPr>
                      <w:szCs w:val="21"/>
                    </w:rPr>
                    <w:t>OCs经集气罩收集至</w:t>
                  </w:r>
                  <w:r>
                    <w:rPr>
                      <w:rFonts w:hint="eastAsia"/>
                      <w:szCs w:val="21"/>
                    </w:rPr>
                    <w:t>“</w:t>
                  </w:r>
                  <w:r>
                    <w:rPr>
                      <w:rFonts w:hint="eastAsia"/>
                      <w:bCs/>
                      <w:szCs w:val="21"/>
                    </w:rPr>
                    <w:t>干燥+</w:t>
                  </w:r>
                  <w:r>
                    <w:rPr>
                      <w:bCs/>
                      <w:szCs w:val="21"/>
                    </w:rPr>
                    <w:t>UV光解</w:t>
                  </w:r>
                  <w:r>
                    <w:rPr>
                      <w:rFonts w:hint="eastAsia"/>
                      <w:bCs/>
                      <w:szCs w:val="21"/>
                    </w:rPr>
                    <w:t>+活性炭吸附</w:t>
                  </w:r>
                  <w:r>
                    <w:rPr>
                      <w:rFonts w:hint="eastAsia"/>
                      <w:szCs w:val="21"/>
                    </w:rPr>
                    <w:t>”装置处理后经</w:t>
                  </w:r>
                  <w:r>
                    <w:rPr>
                      <w:szCs w:val="21"/>
                    </w:rPr>
                    <w:t>20m高排气筒达标排放</w:t>
                  </w:r>
                  <w:r>
                    <w:rPr>
                      <w:rFonts w:hint="eastAsia"/>
                      <w:szCs w:val="21"/>
                    </w:rPr>
                    <w:t>。</w:t>
                  </w:r>
                </w:p>
              </w:tc>
              <w:tc>
                <w:tcPr>
                  <w:tcW w:w="593" w:type="pct"/>
                  <w:vAlign w:val="center"/>
                </w:tcPr>
                <w:p w14:paraId="2F0276B2">
                  <w:pPr>
                    <w:adjustRightInd w:val="0"/>
                    <w:snapToGrid w:val="0"/>
                    <w:jc w:val="center"/>
                    <w:rPr>
                      <w:szCs w:val="21"/>
                    </w:rPr>
                  </w:pPr>
                  <w:r>
                    <w:rPr>
                      <w:szCs w:val="21"/>
                    </w:rPr>
                    <w:t>符合</w:t>
                  </w:r>
                </w:p>
              </w:tc>
            </w:tr>
            <w:tr w14:paraId="056A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3347BB31">
                  <w:pPr>
                    <w:adjustRightInd w:val="0"/>
                    <w:snapToGrid w:val="0"/>
                    <w:jc w:val="center"/>
                    <w:rPr>
                      <w:szCs w:val="21"/>
                    </w:rPr>
                  </w:pPr>
                </w:p>
              </w:tc>
              <w:tc>
                <w:tcPr>
                  <w:tcW w:w="2412" w:type="pct"/>
                  <w:vAlign w:val="center"/>
                </w:tcPr>
                <w:p w14:paraId="3BFB9106">
                  <w:pPr>
                    <w:adjustRightInd w:val="0"/>
                    <w:snapToGrid w:val="0"/>
                    <w:jc w:val="center"/>
                    <w:rPr>
                      <w:szCs w:val="21"/>
                    </w:rPr>
                  </w:pPr>
                  <w:r>
                    <w:rPr>
                      <w:szCs w:val="21"/>
                    </w:rPr>
                    <w:t>企业应建立台账，记录含VOCs 原辅材料和含VOCs 产品的名称、使用量、回收量、废弃量、去向以及VOCs 含量等信息。台账保存期限不少于3 年。</w:t>
                  </w:r>
                </w:p>
              </w:tc>
              <w:tc>
                <w:tcPr>
                  <w:tcW w:w="1300" w:type="pct"/>
                  <w:vAlign w:val="center"/>
                </w:tcPr>
                <w:p w14:paraId="577D63EC">
                  <w:pPr>
                    <w:autoSpaceDE w:val="0"/>
                    <w:autoSpaceDN w:val="0"/>
                    <w:adjustRightInd w:val="0"/>
                    <w:snapToGrid w:val="0"/>
                    <w:jc w:val="center"/>
                    <w:rPr>
                      <w:szCs w:val="21"/>
                    </w:rPr>
                  </w:pPr>
                  <w:r>
                    <w:rPr>
                      <w:szCs w:val="21"/>
                    </w:rPr>
                    <w:t>企业拟建立原辅材料台账，记录内容包括涂料等含VOCs原辅料</w:t>
                  </w:r>
                </w:p>
              </w:tc>
              <w:tc>
                <w:tcPr>
                  <w:tcW w:w="593" w:type="pct"/>
                  <w:vAlign w:val="center"/>
                </w:tcPr>
                <w:p w14:paraId="6215219B">
                  <w:pPr>
                    <w:adjustRightInd w:val="0"/>
                    <w:snapToGrid w:val="0"/>
                    <w:jc w:val="center"/>
                    <w:rPr>
                      <w:szCs w:val="21"/>
                    </w:rPr>
                  </w:pPr>
                  <w:r>
                    <w:rPr>
                      <w:szCs w:val="21"/>
                    </w:rPr>
                    <w:t>符合</w:t>
                  </w:r>
                </w:p>
              </w:tc>
            </w:tr>
            <w:tr w14:paraId="619DF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435E79AE">
                  <w:pPr>
                    <w:widowControl/>
                    <w:adjustRightInd w:val="0"/>
                    <w:snapToGrid w:val="0"/>
                    <w:jc w:val="center"/>
                    <w:rPr>
                      <w:szCs w:val="21"/>
                    </w:rPr>
                  </w:pPr>
                </w:p>
              </w:tc>
              <w:tc>
                <w:tcPr>
                  <w:tcW w:w="2412" w:type="pct"/>
                  <w:vAlign w:val="center"/>
                </w:tcPr>
                <w:p w14:paraId="551EC2E2">
                  <w:pPr>
                    <w:adjustRightInd w:val="0"/>
                    <w:snapToGrid w:val="0"/>
                    <w:jc w:val="center"/>
                    <w:rPr>
                      <w:szCs w:val="21"/>
                    </w:rPr>
                  </w:pPr>
                  <w:r>
                    <w:rPr>
                      <w:szCs w:val="21"/>
                    </w:rPr>
                    <w:t>盛装过VOCs物料的废包装容器应加盖密闭。</w:t>
                  </w:r>
                </w:p>
              </w:tc>
              <w:tc>
                <w:tcPr>
                  <w:tcW w:w="1300" w:type="pct"/>
                  <w:vAlign w:val="center"/>
                </w:tcPr>
                <w:p w14:paraId="1E9D9FED">
                  <w:pPr>
                    <w:autoSpaceDE w:val="0"/>
                    <w:autoSpaceDN w:val="0"/>
                    <w:adjustRightInd w:val="0"/>
                    <w:snapToGrid w:val="0"/>
                    <w:jc w:val="center"/>
                    <w:rPr>
                      <w:szCs w:val="21"/>
                    </w:rPr>
                  </w:pPr>
                  <w:r>
                    <w:rPr>
                      <w:szCs w:val="21"/>
                    </w:rPr>
                    <w:t>项目</w:t>
                  </w:r>
                  <w:r>
                    <w:rPr>
                      <w:rFonts w:hint="eastAsia"/>
                      <w:szCs w:val="21"/>
                    </w:rPr>
                    <w:t>废</w:t>
                  </w:r>
                  <w:r>
                    <w:rPr>
                      <w:szCs w:val="21"/>
                    </w:rPr>
                    <w:t>脱模剂桶</w:t>
                  </w:r>
                  <w:r>
                    <w:rPr>
                      <w:rFonts w:hint="eastAsia"/>
                      <w:szCs w:val="21"/>
                    </w:rPr>
                    <w:t>、</w:t>
                  </w:r>
                  <w:r>
                    <w:rPr>
                      <w:szCs w:val="21"/>
                    </w:rPr>
                    <w:t>废切削液桶等承装VOCs物料的容器加盖密闭后在危废暂存间暂存</w:t>
                  </w:r>
                </w:p>
              </w:tc>
              <w:tc>
                <w:tcPr>
                  <w:tcW w:w="593" w:type="pct"/>
                  <w:vAlign w:val="center"/>
                </w:tcPr>
                <w:p w14:paraId="550EA665">
                  <w:pPr>
                    <w:adjustRightInd w:val="0"/>
                    <w:snapToGrid w:val="0"/>
                    <w:jc w:val="center"/>
                    <w:rPr>
                      <w:szCs w:val="21"/>
                    </w:rPr>
                  </w:pPr>
                  <w:r>
                    <w:rPr>
                      <w:szCs w:val="21"/>
                    </w:rPr>
                    <w:t>符合</w:t>
                  </w:r>
                </w:p>
              </w:tc>
            </w:tr>
            <w:tr w14:paraId="2CCB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restart"/>
                  <w:vAlign w:val="center"/>
                </w:tcPr>
                <w:p w14:paraId="3BA216B1">
                  <w:pPr>
                    <w:adjustRightInd w:val="0"/>
                    <w:snapToGrid w:val="0"/>
                    <w:jc w:val="center"/>
                    <w:rPr>
                      <w:szCs w:val="21"/>
                    </w:rPr>
                  </w:pPr>
                  <w:r>
                    <w:rPr>
                      <w:szCs w:val="21"/>
                    </w:rPr>
                    <w:t>VOCs无组织排放废气收集处理系统要求</w:t>
                  </w:r>
                </w:p>
              </w:tc>
              <w:tc>
                <w:tcPr>
                  <w:tcW w:w="2412" w:type="pct"/>
                  <w:vAlign w:val="center"/>
                </w:tcPr>
                <w:p w14:paraId="76FCDB8E">
                  <w:pPr>
                    <w:adjustRightInd w:val="0"/>
                    <w:snapToGrid w:val="0"/>
                    <w:jc w:val="center"/>
                    <w:rPr>
                      <w:szCs w:val="21"/>
                    </w:rPr>
                  </w:pPr>
                  <w:r>
                    <w:rPr>
                      <w:szCs w:val="21"/>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300" w:type="pct"/>
                  <w:vAlign w:val="center"/>
                </w:tcPr>
                <w:p w14:paraId="36160918">
                  <w:pPr>
                    <w:adjustRightInd w:val="0"/>
                    <w:snapToGrid w:val="0"/>
                    <w:jc w:val="center"/>
                    <w:rPr>
                      <w:szCs w:val="21"/>
                      <w:highlight w:val="yellow"/>
                    </w:rPr>
                  </w:pPr>
                  <w:r>
                    <w:rPr>
                      <w:rFonts w:hint="eastAsia"/>
                      <w:szCs w:val="21"/>
                    </w:rPr>
                    <w:t>评价要求项目</w:t>
                  </w:r>
                  <w:r>
                    <w:rPr>
                      <w:szCs w:val="21"/>
                    </w:rPr>
                    <w:t>VOCs废气收集处理系统应与生产工艺设备同步运行</w:t>
                  </w:r>
                  <w:r>
                    <w:rPr>
                      <w:rFonts w:hint="eastAsia"/>
                      <w:szCs w:val="21"/>
                    </w:rPr>
                    <w:t>，</w:t>
                  </w:r>
                  <w:r>
                    <w:rPr>
                      <w:szCs w:val="21"/>
                    </w:rPr>
                    <w:t>VOCs废气收集处理系统故障时立即停止工艺设备运行</w:t>
                  </w:r>
                  <w:r>
                    <w:rPr>
                      <w:rFonts w:hint="eastAsia"/>
                      <w:szCs w:val="21"/>
                    </w:rPr>
                    <w:t>，</w:t>
                  </w:r>
                  <w:r>
                    <w:rPr>
                      <w:szCs w:val="21"/>
                    </w:rPr>
                    <w:t>待VOCs废气收集处理系统检修完毕正常运行后</w:t>
                  </w:r>
                  <w:r>
                    <w:rPr>
                      <w:rFonts w:hint="eastAsia"/>
                      <w:szCs w:val="21"/>
                    </w:rPr>
                    <w:t>，</w:t>
                  </w:r>
                  <w:r>
                    <w:rPr>
                      <w:szCs w:val="21"/>
                    </w:rPr>
                    <w:t>工艺设备再投入使用</w:t>
                  </w:r>
                </w:p>
              </w:tc>
              <w:tc>
                <w:tcPr>
                  <w:tcW w:w="593" w:type="pct"/>
                  <w:vAlign w:val="center"/>
                </w:tcPr>
                <w:p w14:paraId="585C8F98">
                  <w:pPr>
                    <w:adjustRightInd w:val="0"/>
                    <w:snapToGrid w:val="0"/>
                    <w:jc w:val="center"/>
                    <w:rPr>
                      <w:szCs w:val="21"/>
                    </w:rPr>
                  </w:pPr>
                  <w:r>
                    <w:rPr>
                      <w:szCs w:val="21"/>
                    </w:rPr>
                    <w:t>符合</w:t>
                  </w:r>
                </w:p>
              </w:tc>
            </w:tr>
            <w:tr w14:paraId="02DE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42052259">
                  <w:pPr>
                    <w:widowControl/>
                    <w:adjustRightInd w:val="0"/>
                    <w:snapToGrid w:val="0"/>
                    <w:jc w:val="center"/>
                    <w:rPr>
                      <w:szCs w:val="21"/>
                    </w:rPr>
                  </w:pPr>
                </w:p>
              </w:tc>
              <w:tc>
                <w:tcPr>
                  <w:tcW w:w="2412" w:type="pct"/>
                  <w:vAlign w:val="center"/>
                </w:tcPr>
                <w:p w14:paraId="49A14379">
                  <w:pPr>
                    <w:adjustRightInd w:val="0"/>
                    <w:snapToGrid w:val="0"/>
                    <w:jc w:val="center"/>
                    <w:rPr>
                      <w:szCs w:val="21"/>
                    </w:rPr>
                  </w:pPr>
                  <w:r>
                    <w:rPr>
                      <w:szCs w:val="21"/>
                    </w:rPr>
                    <w:t>废气收集系统排风罩（集气罩）的设置应符合GB/T16758的规定。采用外部排风罩的，应按GB/T 16758、AQ/T 4274—2016 规定的方法测量控制风速，测量点应选取在距排风罩开口面最远处的VOCs无组织排放位置，控制风速不应低于0.3 m/s（行业相关规范有具体规定的，按相关规定执行）</w:t>
                  </w:r>
                </w:p>
              </w:tc>
              <w:tc>
                <w:tcPr>
                  <w:tcW w:w="1300" w:type="pct"/>
                  <w:vAlign w:val="center"/>
                </w:tcPr>
                <w:p w14:paraId="35534673">
                  <w:pPr>
                    <w:adjustRightInd w:val="0"/>
                    <w:snapToGrid w:val="0"/>
                    <w:jc w:val="center"/>
                    <w:rPr>
                      <w:szCs w:val="21"/>
                      <w:highlight w:val="yellow"/>
                    </w:rPr>
                  </w:pPr>
                  <w:r>
                    <w:rPr>
                      <w:rFonts w:hint="eastAsia"/>
                      <w:szCs w:val="21"/>
                    </w:rPr>
                    <w:t>项目</w:t>
                  </w:r>
                  <w:r>
                    <w:rPr>
                      <w:szCs w:val="21"/>
                    </w:rPr>
                    <w:t>压铸机</w:t>
                  </w:r>
                  <w:r>
                    <w:rPr>
                      <w:rFonts w:hint="eastAsia"/>
                      <w:szCs w:val="21"/>
                    </w:rPr>
                    <w:t>V</w:t>
                  </w:r>
                  <w:r>
                    <w:rPr>
                      <w:szCs w:val="21"/>
                    </w:rPr>
                    <w:t>OCs集气罩采用上吸式集气罩</w:t>
                  </w:r>
                  <w:r>
                    <w:rPr>
                      <w:rFonts w:hint="eastAsia"/>
                      <w:szCs w:val="21"/>
                    </w:rPr>
                    <w:t>，</w:t>
                  </w:r>
                  <w:r>
                    <w:rPr>
                      <w:szCs w:val="21"/>
                    </w:rPr>
                    <w:t>根据风量核算</w:t>
                  </w:r>
                  <w:r>
                    <w:rPr>
                      <w:rFonts w:hint="eastAsia"/>
                      <w:szCs w:val="21"/>
                    </w:rPr>
                    <w:t>，</w:t>
                  </w:r>
                  <w:r>
                    <w:rPr>
                      <w:szCs w:val="21"/>
                    </w:rPr>
                    <w:t>VOCs无组织排放位置风速</w:t>
                  </w:r>
                  <w:r>
                    <w:rPr>
                      <w:rFonts w:hint="eastAsia"/>
                      <w:szCs w:val="21"/>
                    </w:rPr>
                    <w:t>大于</w:t>
                  </w:r>
                  <w:r>
                    <w:rPr>
                      <w:szCs w:val="21"/>
                    </w:rPr>
                    <w:t>0.5m/s</w:t>
                  </w:r>
                  <w:r>
                    <w:rPr>
                      <w:rFonts w:hint="eastAsia"/>
                      <w:szCs w:val="21"/>
                    </w:rPr>
                    <w:t>，</w:t>
                  </w:r>
                  <w:r>
                    <w:rPr>
                      <w:szCs w:val="21"/>
                    </w:rPr>
                    <w:t>满足要求</w:t>
                  </w:r>
                  <w:r>
                    <w:rPr>
                      <w:rFonts w:hint="eastAsia"/>
                      <w:szCs w:val="21"/>
                    </w:rPr>
                    <w:t>。</w:t>
                  </w:r>
                </w:p>
              </w:tc>
              <w:tc>
                <w:tcPr>
                  <w:tcW w:w="593" w:type="pct"/>
                  <w:vAlign w:val="center"/>
                </w:tcPr>
                <w:p w14:paraId="25DDE2BA">
                  <w:pPr>
                    <w:adjustRightInd w:val="0"/>
                    <w:snapToGrid w:val="0"/>
                    <w:jc w:val="center"/>
                    <w:rPr>
                      <w:szCs w:val="21"/>
                    </w:rPr>
                  </w:pPr>
                  <w:r>
                    <w:rPr>
                      <w:szCs w:val="21"/>
                    </w:rPr>
                    <w:t>符合</w:t>
                  </w:r>
                </w:p>
              </w:tc>
            </w:tr>
            <w:tr w14:paraId="24D2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5E7590EC">
                  <w:pPr>
                    <w:widowControl/>
                    <w:adjustRightInd w:val="0"/>
                    <w:snapToGrid w:val="0"/>
                    <w:jc w:val="center"/>
                    <w:rPr>
                      <w:szCs w:val="21"/>
                    </w:rPr>
                  </w:pPr>
                </w:p>
              </w:tc>
              <w:tc>
                <w:tcPr>
                  <w:tcW w:w="2412" w:type="pct"/>
                  <w:vAlign w:val="center"/>
                </w:tcPr>
                <w:p w14:paraId="238FDA9C">
                  <w:pPr>
                    <w:adjustRightInd w:val="0"/>
                    <w:snapToGrid w:val="0"/>
                    <w:jc w:val="center"/>
                    <w:rPr>
                      <w:szCs w:val="21"/>
                    </w:rPr>
                  </w:pPr>
                  <w:r>
                    <w:rPr>
                      <w:szCs w:val="21"/>
                    </w:rPr>
                    <w:t>废气收集系统的输送管道应密闭。废气收集系统应在负压下运行，若处于正压状态，应对输送管道组件的密封点进行泄漏检测，泄漏检测值不应超过500mol/mol，亦不应有感官可察觉泄漏。泄漏检测频次、修复与记录的要求按照第8 章规定执行。</w:t>
                  </w:r>
                </w:p>
              </w:tc>
              <w:tc>
                <w:tcPr>
                  <w:tcW w:w="1300" w:type="pct"/>
                  <w:vAlign w:val="center"/>
                </w:tcPr>
                <w:p w14:paraId="0CF8A941">
                  <w:pPr>
                    <w:adjustRightInd w:val="0"/>
                    <w:snapToGrid w:val="0"/>
                    <w:jc w:val="center"/>
                    <w:rPr>
                      <w:szCs w:val="21"/>
                      <w:highlight w:val="yellow"/>
                    </w:rPr>
                  </w:pPr>
                  <w:r>
                    <w:rPr>
                      <w:szCs w:val="21"/>
                    </w:rPr>
                    <w:t>项目废气收集系统均保持负压</w:t>
                  </w:r>
                </w:p>
              </w:tc>
              <w:tc>
                <w:tcPr>
                  <w:tcW w:w="593" w:type="pct"/>
                  <w:vAlign w:val="center"/>
                </w:tcPr>
                <w:p w14:paraId="2E7A6E41">
                  <w:pPr>
                    <w:adjustRightInd w:val="0"/>
                    <w:snapToGrid w:val="0"/>
                    <w:jc w:val="center"/>
                    <w:rPr>
                      <w:szCs w:val="21"/>
                    </w:rPr>
                  </w:pPr>
                  <w:r>
                    <w:rPr>
                      <w:szCs w:val="21"/>
                    </w:rPr>
                    <w:t>符合</w:t>
                  </w:r>
                </w:p>
              </w:tc>
            </w:tr>
            <w:tr w14:paraId="249FE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5DEC1B9B">
                  <w:pPr>
                    <w:adjustRightInd w:val="0"/>
                    <w:snapToGrid w:val="0"/>
                    <w:rPr>
                      <w:szCs w:val="21"/>
                    </w:rPr>
                  </w:pPr>
                </w:p>
              </w:tc>
              <w:tc>
                <w:tcPr>
                  <w:tcW w:w="2412" w:type="pct"/>
                  <w:vAlign w:val="center"/>
                </w:tcPr>
                <w:p w14:paraId="2DA1CA0E">
                  <w:pPr>
                    <w:adjustRightInd w:val="0"/>
                    <w:snapToGrid w:val="0"/>
                    <w:jc w:val="center"/>
                    <w:rPr>
                      <w:szCs w:val="21"/>
                    </w:rPr>
                  </w:pPr>
                  <w:r>
                    <w:rPr>
                      <w:szCs w:val="21"/>
                    </w:rPr>
                    <w:t>VOCs 废气收集处理系统污染物排放应符合GB 16297或相关行业排放标准的规定。</w:t>
                  </w:r>
                </w:p>
              </w:tc>
              <w:tc>
                <w:tcPr>
                  <w:tcW w:w="1300" w:type="pct"/>
                  <w:vAlign w:val="center"/>
                </w:tcPr>
                <w:p w14:paraId="40B55743">
                  <w:pPr>
                    <w:adjustRightInd w:val="0"/>
                    <w:snapToGrid w:val="0"/>
                    <w:rPr>
                      <w:szCs w:val="21"/>
                      <w:highlight w:val="yellow"/>
                    </w:rPr>
                  </w:pPr>
                  <w:r>
                    <w:rPr>
                      <w:szCs w:val="21"/>
                    </w:rPr>
                    <w:t>项目</w:t>
                  </w:r>
                  <w:r>
                    <w:rPr>
                      <w:rFonts w:hint="eastAsia"/>
                      <w:szCs w:val="21"/>
                    </w:rPr>
                    <w:t>压铸过程非甲烷总烃</w:t>
                  </w:r>
                  <w:r>
                    <w:rPr>
                      <w:szCs w:val="21"/>
                    </w:rPr>
                    <w:t>排放浓度及</w:t>
                  </w:r>
                  <w:r>
                    <w:rPr>
                      <w:rFonts w:hint="eastAsia"/>
                      <w:szCs w:val="21"/>
                    </w:rPr>
                    <w:t>速率</w:t>
                  </w:r>
                  <w:r>
                    <w:rPr>
                      <w:szCs w:val="21"/>
                    </w:rPr>
                    <w:t>均满足</w:t>
                  </w:r>
                  <w:r>
                    <w:rPr>
                      <w:rFonts w:hint="eastAsia"/>
                      <w:bCs/>
                      <w:sz w:val="24"/>
                    </w:rPr>
                    <w:t>《大气污染物综合排放标准》（DB50/418-2016）</w:t>
                  </w:r>
                  <w:r>
                    <w:rPr>
                      <w:szCs w:val="21"/>
                    </w:rPr>
                    <w:t>要求</w:t>
                  </w:r>
                </w:p>
              </w:tc>
              <w:tc>
                <w:tcPr>
                  <w:tcW w:w="593" w:type="pct"/>
                  <w:vAlign w:val="center"/>
                </w:tcPr>
                <w:p w14:paraId="5BF89CCA">
                  <w:pPr>
                    <w:adjustRightInd w:val="0"/>
                    <w:snapToGrid w:val="0"/>
                    <w:jc w:val="center"/>
                    <w:rPr>
                      <w:szCs w:val="21"/>
                    </w:rPr>
                  </w:pPr>
                  <w:r>
                    <w:rPr>
                      <w:szCs w:val="21"/>
                    </w:rPr>
                    <w:t>符合</w:t>
                  </w:r>
                </w:p>
              </w:tc>
            </w:tr>
            <w:tr w14:paraId="43B61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5" w:type="pct"/>
                  <w:vMerge w:val="continue"/>
                  <w:vAlign w:val="center"/>
                </w:tcPr>
                <w:p w14:paraId="29AFB0FB">
                  <w:pPr>
                    <w:widowControl/>
                    <w:adjustRightInd w:val="0"/>
                    <w:snapToGrid w:val="0"/>
                    <w:jc w:val="center"/>
                    <w:rPr>
                      <w:szCs w:val="21"/>
                    </w:rPr>
                  </w:pPr>
                </w:p>
              </w:tc>
              <w:tc>
                <w:tcPr>
                  <w:tcW w:w="2412" w:type="pct"/>
                  <w:vAlign w:val="center"/>
                </w:tcPr>
                <w:p w14:paraId="2A4EC4C4">
                  <w:pPr>
                    <w:adjustRightInd w:val="0"/>
                    <w:snapToGrid w:val="0"/>
                    <w:jc w:val="center"/>
                    <w:rPr>
                      <w:szCs w:val="21"/>
                    </w:rPr>
                  </w:pPr>
                  <w:r>
                    <w:rPr>
                      <w:szCs w:val="21"/>
                    </w:rPr>
                    <w:t>收集的废气中NMHC 初始排放速率≥3kg/h 时，应配置VOCs 处理设施，处理效率不应低于80%；对于重点地区，收集的废气中NMHC初始排放速率≥2kg/h时，应配置VOCs处理设施，处理效率不应低于80%；采用的原辅材料符合国家有关低VOCs 含量产品规定的除外。</w:t>
                  </w:r>
                </w:p>
              </w:tc>
              <w:tc>
                <w:tcPr>
                  <w:tcW w:w="1300" w:type="pct"/>
                  <w:vAlign w:val="center"/>
                </w:tcPr>
                <w:p w14:paraId="4288FB1E">
                  <w:pPr>
                    <w:adjustRightInd w:val="0"/>
                    <w:snapToGrid w:val="0"/>
                    <w:jc w:val="center"/>
                    <w:rPr>
                      <w:szCs w:val="21"/>
                      <w:highlight w:val="yellow"/>
                    </w:rPr>
                  </w:pPr>
                  <w:r>
                    <w:rPr>
                      <w:szCs w:val="21"/>
                    </w:rPr>
                    <w:t>项目</w:t>
                  </w:r>
                  <w:r>
                    <w:rPr>
                      <w:rFonts w:hint="eastAsia"/>
                      <w:szCs w:val="21"/>
                    </w:rPr>
                    <w:t>压铸</w:t>
                  </w:r>
                  <w:r>
                    <w:rPr>
                      <w:szCs w:val="21"/>
                    </w:rPr>
                    <w:t>废气NMHC初始排放速率</w:t>
                  </w:r>
                  <w:r>
                    <w:rPr>
                      <w:rFonts w:hint="eastAsia"/>
                      <w:szCs w:val="21"/>
                    </w:rPr>
                    <w:t>小于</w:t>
                  </w:r>
                  <w:r>
                    <w:rPr>
                      <w:szCs w:val="21"/>
                    </w:rPr>
                    <w:t>2kg/h</w:t>
                  </w:r>
                  <w:r>
                    <w:rPr>
                      <w:rFonts w:hint="eastAsia"/>
                      <w:szCs w:val="21"/>
                    </w:rPr>
                    <w:t>，</w:t>
                  </w:r>
                  <w:r>
                    <w:rPr>
                      <w:szCs w:val="21"/>
                    </w:rPr>
                    <w:t>采用“</w:t>
                  </w:r>
                  <w:r>
                    <w:rPr>
                      <w:rFonts w:hint="eastAsia"/>
                      <w:bCs/>
                      <w:szCs w:val="21"/>
                    </w:rPr>
                    <w:t>干燥+</w:t>
                  </w:r>
                  <w:r>
                    <w:rPr>
                      <w:bCs/>
                      <w:szCs w:val="21"/>
                    </w:rPr>
                    <w:t>UV光解</w:t>
                  </w:r>
                  <w:r>
                    <w:rPr>
                      <w:rFonts w:hint="eastAsia"/>
                      <w:bCs/>
                      <w:szCs w:val="21"/>
                    </w:rPr>
                    <w:t>+活性炭吸附</w:t>
                  </w:r>
                  <w:r>
                    <w:rPr>
                      <w:szCs w:val="21"/>
                    </w:rPr>
                    <w:t xml:space="preserve">”工艺处理，处理效率可达到70% </w:t>
                  </w:r>
                </w:p>
              </w:tc>
              <w:tc>
                <w:tcPr>
                  <w:tcW w:w="593" w:type="pct"/>
                  <w:vAlign w:val="center"/>
                </w:tcPr>
                <w:p w14:paraId="689DAD9A">
                  <w:pPr>
                    <w:adjustRightInd w:val="0"/>
                    <w:snapToGrid w:val="0"/>
                    <w:jc w:val="center"/>
                    <w:rPr>
                      <w:szCs w:val="21"/>
                    </w:rPr>
                  </w:pPr>
                  <w:r>
                    <w:rPr>
                      <w:szCs w:val="21"/>
                    </w:rPr>
                    <w:t>符合</w:t>
                  </w:r>
                </w:p>
              </w:tc>
            </w:tr>
          </w:tbl>
          <w:p w14:paraId="10D57D7D">
            <w:pPr>
              <w:autoSpaceDE w:val="0"/>
              <w:autoSpaceDN w:val="0"/>
              <w:spacing w:line="360" w:lineRule="auto"/>
              <w:jc w:val="left"/>
              <w:rPr>
                <w:b/>
                <w:bCs/>
                <w:sz w:val="24"/>
              </w:rPr>
            </w:pPr>
            <w:r>
              <w:rPr>
                <w:b/>
                <w:bCs/>
                <w:sz w:val="24"/>
              </w:rPr>
              <w:t>3、与《挥发性有机物VOCs污染防治技术政策》的符合性分析</w:t>
            </w:r>
          </w:p>
          <w:p w14:paraId="0EC2A701">
            <w:pPr>
              <w:pStyle w:val="54"/>
              <w:spacing w:line="360" w:lineRule="auto"/>
              <w:ind w:firstLine="480" w:firstLineChars="200"/>
              <w:jc w:val="both"/>
              <w:rPr>
                <w:rFonts w:ascii="Times New Roman" w:hAnsi="Times New Roman" w:cs="Times New Roman"/>
                <w:bCs/>
                <w:color w:val="auto"/>
              </w:rPr>
            </w:pPr>
            <w:r>
              <w:rPr>
                <w:rFonts w:ascii="Times New Roman" w:hAnsi="Times New Roman" w:cs="Times New Roman"/>
                <w:color w:val="auto"/>
              </w:rPr>
              <w:t>根据《挥发性有机物（VOCs）污染防治技术政策》(公告2013年第31号2013-05-24实施)可知，“四、末端治理”中“十五条对于含低浓度VOCs的废气，有回收价值时可采用吸附技术、吸收技术对有机溶剂回收后达标排放；不宜回收时，可采用吸附浓缩燃烧技术、生物技术、吸收技术、等离子体技术或紫外光高级氧化技术等净化后达标排放”。项目采用“</w:t>
            </w:r>
            <w:r>
              <w:rPr>
                <w:rFonts w:ascii="Times New Roman" w:hAnsi="Times New Roman" w:cs="Times New Roman"/>
                <w:bCs/>
                <w:color w:val="auto"/>
                <w:szCs w:val="21"/>
              </w:rPr>
              <w:t>干燥+UV光解+活性炭吸附</w:t>
            </w:r>
            <w:r>
              <w:rPr>
                <w:rFonts w:ascii="Times New Roman" w:hAnsi="Times New Roman" w:cs="Times New Roman"/>
                <w:color w:val="auto"/>
              </w:rPr>
              <w:t>”综合处理工艺，属于吸附技术技术，符合要求。</w:t>
            </w:r>
          </w:p>
          <w:p w14:paraId="30985BB1">
            <w:pPr>
              <w:spacing w:line="360" w:lineRule="auto"/>
              <w:rPr>
                <w:b/>
                <w:bCs/>
                <w:sz w:val="24"/>
              </w:rPr>
            </w:pPr>
            <w:r>
              <w:rPr>
                <w:b/>
                <w:bCs/>
                <w:sz w:val="24"/>
              </w:rPr>
              <w:t>4</w:t>
            </w:r>
            <w:r>
              <w:rPr>
                <w:rFonts w:hint="eastAsia"/>
                <w:b/>
                <w:bCs/>
                <w:sz w:val="24"/>
              </w:rPr>
              <w:t>、</w:t>
            </w:r>
            <w:r>
              <w:rPr>
                <w:b/>
                <w:bCs/>
                <w:sz w:val="24"/>
              </w:rPr>
              <w:t>与《产业结构调整指导目录（2019年本）》</w:t>
            </w:r>
            <w:r>
              <w:rPr>
                <w:rFonts w:hint="eastAsia"/>
                <w:b/>
                <w:bCs/>
                <w:sz w:val="24"/>
              </w:rPr>
              <w:t>（2021年修改）</w:t>
            </w:r>
            <w:r>
              <w:rPr>
                <w:b/>
                <w:bCs/>
                <w:sz w:val="24"/>
              </w:rPr>
              <w:t>符合性分析</w:t>
            </w:r>
          </w:p>
          <w:p w14:paraId="17A080D4">
            <w:pPr>
              <w:spacing w:line="360" w:lineRule="auto"/>
              <w:ind w:firstLine="480" w:firstLineChars="200"/>
              <w:rPr>
                <w:bCs/>
                <w:sz w:val="24"/>
              </w:rPr>
            </w:pPr>
            <w:r>
              <w:rPr>
                <w:bCs/>
                <w:sz w:val="24"/>
              </w:rPr>
              <w:t>根据国家发改委《产业结构调整指导目录（2019年本）》</w:t>
            </w:r>
            <w:r>
              <w:rPr>
                <w:rFonts w:hint="eastAsia"/>
                <w:bCs/>
                <w:sz w:val="24"/>
              </w:rPr>
              <w:t>（2021年修改）</w:t>
            </w:r>
            <w:r>
              <w:rPr>
                <w:bCs/>
                <w:sz w:val="24"/>
              </w:rPr>
              <w:t>，项目属于</w:t>
            </w:r>
            <w:r>
              <w:rPr>
                <w:rFonts w:hint="eastAsia"/>
                <w:bCs/>
                <w:sz w:val="24"/>
              </w:rPr>
              <w:t>鼓励类中“第十六条-</w:t>
            </w:r>
            <w:r>
              <w:rPr>
                <w:bCs/>
                <w:sz w:val="24"/>
              </w:rPr>
              <w:t>2</w:t>
            </w:r>
            <w:r>
              <w:rPr>
                <w:rFonts w:hint="eastAsia"/>
                <w:bCs/>
                <w:sz w:val="24"/>
              </w:rPr>
              <w:t>、</w:t>
            </w:r>
            <w:r>
              <w:rPr>
                <w:bCs/>
                <w:sz w:val="24"/>
              </w:rPr>
              <w:t>轻量化材料应用：高强度钢（符合GB/T20564《汽车用高强度冷连轧钢板及钢带》标准或GB/T34566《汽车用热冲压钢板及钢带》标准）、</w:t>
            </w:r>
            <w:r>
              <w:rPr>
                <w:b/>
                <w:bCs/>
                <w:sz w:val="24"/>
              </w:rPr>
              <w:t>铝合金、</w:t>
            </w:r>
            <w:r>
              <w:rPr>
                <w:bCs/>
                <w:sz w:val="24"/>
              </w:rPr>
              <w:t>镁合金、复合塑料、粉末冶金、高强度复合纤维等；先进成形技术应用：3D打印成型、激光拼焊板的扩大应用、内高压成形、超高强度钢板（强度≥980MPa、强塑积20～50GPa%）热成形、柔性滚压成形等；环保材料应用：水性涂料、无铅焊料等</w:t>
            </w:r>
            <w:r>
              <w:rPr>
                <w:rFonts w:hint="eastAsia"/>
                <w:bCs/>
                <w:sz w:val="24"/>
              </w:rPr>
              <w:t>”</w:t>
            </w:r>
            <w:r>
              <w:rPr>
                <w:bCs/>
                <w:sz w:val="24"/>
              </w:rPr>
              <w:t>项目，同时，</w:t>
            </w:r>
            <w:r>
              <w:rPr>
                <w:sz w:val="24"/>
              </w:rPr>
              <w:t>重庆市</w:t>
            </w:r>
            <w:r>
              <w:rPr>
                <w:rFonts w:hint="eastAsia"/>
                <w:sz w:val="24"/>
              </w:rPr>
              <w:t>涪陵区发展和改革委员会</w:t>
            </w:r>
            <w:r>
              <w:rPr>
                <w:bCs/>
                <w:sz w:val="24"/>
              </w:rPr>
              <w:t>下发《重庆市企业投资项目备案证》（项目备案号：</w:t>
            </w:r>
            <w:r>
              <w:rPr>
                <w:sz w:val="24"/>
              </w:rPr>
              <w:t>2020-500102-32-03-140709</w:t>
            </w:r>
            <w:r>
              <w:rPr>
                <w:bCs/>
                <w:sz w:val="24"/>
              </w:rPr>
              <w:t>）。因此，项目符合国家</w:t>
            </w:r>
            <w:r>
              <w:rPr>
                <w:rFonts w:hint="eastAsia"/>
                <w:bCs/>
                <w:sz w:val="24"/>
              </w:rPr>
              <w:t>和地方</w:t>
            </w:r>
            <w:r>
              <w:rPr>
                <w:bCs/>
                <w:sz w:val="24"/>
              </w:rPr>
              <w:t>现行产业政策。</w:t>
            </w:r>
          </w:p>
          <w:p w14:paraId="0F24D45E">
            <w:pPr>
              <w:spacing w:line="360" w:lineRule="auto"/>
              <w:rPr>
                <w:b/>
                <w:bCs/>
                <w:sz w:val="24"/>
              </w:rPr>
            </w:pPr>
            <w:r>
              <w:rPr>
                <w:rFonts w:hint="eastAsia"/>
                <w:b/>
                <w:bCs/>
                <w:sz w:val="24"/>
              </w:rPr>
              <w:t>5、项目与《重庆市长江经济带发展负面清单实施细则（试行）》（渝推长办发[2019]40号）等文件的符合性</w:t>
            </w:r>
          </w:p>
          <w:p w14:paraId="243F9CF6">
            <w:pPr>
              <w:spacing w:line="360" w:lineRule="auto"/>
              <w:ind w:firstLine="480" w:firstLineChars="200"/>
              <w:rPr>
                <w:sz w:val="24"/>
              </w:rPr>
            </w:pPr>
            <w:r>
              <w:rPr>
                <w:rFonts w:hint="eastAsia"/>
                <w:sz w:val="24"/>
              </w:rPr>
              <w:t>项目属于工业类项目，且位于涪陵工业园李渡组团工业用地范围内，结合项目特点，项目与重庆市长江经济带发展负面清单实施细则的符合性分析见下表。</w:t>
            </w:r>
          </w:p>
          <w:p w14:paraId="1B478EAC">
            <w:pPr>
              <w:spacing w:line="360" w:lineRule="auto"/>
              <w:jc w:val="center"/>
              <w:rPr>
                <w:bCs/>
                <w:sz w:val="24"/>
              </w:rPr>
            </w:pPr>
            <w:r>
              <w:rPr>
                <w:rFonts w:hint="eastAsia"/>
                <w:sz w:val="24"/>
              </w:rPr>
              <w:t>表</w:t>
            </w:r>
            <w:r>
              <w:rPr>
                <w:sz w:val="24"/>
              </w:rPr>
              <w:t xml:space="preserve">1-6 </w:t>
            </w:r>
            <w:r>
              <w:rPr>
                <w:rFonts w:hint="eastAsia"/>
                <w:sz w:val="24"/>
              </w:rPr>
              <w:t>与</w:t>
            </w:r>
            <w:r>
              <w:rPr>
                <w:rFonts w:hint="eastAsia"/>
                <w:bCs/>
                <w:sz w:val="24"/>
              </w:rPr>
              <w:t>《重庆市长江经济带发展负面清单实施细则（试行）》</w:t>
            </w:r>
          </w:p>
          <w:p w14:paraId="08BF5BF5">
            <w:pPr>
              <w:spacing w:line="360" w:lineRule="auto"/>
              <w:jc w:val="center"/>
              <w:rPr>
                <w:sz w:val="24"/>
              </w:rPr>
            </w:pPr>
            <w:r>
              <w:rPr>
                <w:rFonts w:hint="eastAsia"/>
                <w:bCs/>
                <w:sz w:val="24"/>
              </w:rPr>
              <w:t>的</w:t>
            </w:r>
            <w:r>
              <w:rPr>
                <w:rFonts w:hint="eastAsia"/>
                <w:sz w:val="24"/>
              </w:rPr>
              <w:t>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501"/>
              <w:gridCol w:w="3135"/>
              <w:gridCol w:w="654"/>
            </w:tblGrid>
            <w:tr w14:paraId="4DAB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blHeader/>
                <w:jc w:val="center"/>
              </w:trPr>
              <w:tc>
                <w:tcPr>
                  <w:tcW w:w="2715" w:type="pct"/>
                  <w:tcBorders>
                    <w:top w:val="single" w:color="auto" w:sz="4" w:space="0"/>
                    <w:left w:val="single" w:color="auto" w:sz="4" w:space="0"/>
                    <w:bottom w:val="single" w:color="auto" w:sz="4" w:space="0"/>
                    <w:right w:val="single" w:color="auto" w:sz="4" w:space="0"/>
                  </w:tcBorders>
                  <w:vAlign w:val="center"/>
                </w:tcPr>
                <w:p w14:paraId="577EA3DC">
                  <w:pPr>
                    <w:adjustRightInd w:val="0"/>
                    <w:snapToGrid w:val="0"/>
                    <w:jc w:val="center"/>
                    <w:rPr>
                      <w:sz w:val="22"/>
                      <w:szCs w:val="22"/>
                    </w:rPr>
                  </w:pPr>
                  <w:r>
                    <w:rPr>
                      <w:rFonts w:hint="eastAsia"/>
                      <w:bCs/>
                      <w:sz w:val="22"/>
                      <w:szCs w:val="22"/>
                    </w:rPr>
                    <w:t>重庆市长江经济带发展负面清单实施细则（只摘取与项目有关的条款）</w:t>
                  </w:r>
                </w:p>
              </w:tc>
              <w:tc>
                <w:tcPr>
                  <w:tcW w:w="1891" w:type="pct"/>
                  <w:tcBorders>
                    <w:top w:val="single" w:color="auto" w:sz="4" w:space="0"/>
                    <w:left w:val="single" w:color="auto" w:sz="4" w:space="0"/>
                    <w:bottom w:val="single" w:color="auto" w:sz="4" w:space="0"/>
                    <w:right w:val="single" w:color="auto" w:sz="4" w:space="0"/>
                  </w:tcBorders>
                  <w:vAlign w:val="center"/>
                </w:tcPr>
                <w:p w14:paraId="6F9950E3">
                  <w:pPr>
                    <w:adjustRightInd w:val="0"/>
                    <w:snapToGrid w:val="0"/>
                    <w:jc w:val="center"/>
                    <w:rPr>
                      <w:sz w:val="22"/>
                      <w:szCs w:val="22"/>
                    </w:rPr>
                  </w:pPr>
                  <w:r>
                    <w:rPr>
                      <w:rFonts w:hint="eastAsia"/>
                      <w:sz w:val="22"/>
                      <w:szCs w:val="22"/>
                    </w:rPr>
                    <w:t>本项目情况</w:t>
                  </w:r>
                </w:p>
              </w:tc>
              <w:tc>
                <w:tcPr>
                  <w:tcW w:w="394" w:type="pct"/>
                  <w:tcBorders>
                    <w:top w:val="single" w:color="auto" w:sz="4" w:space="0"/>
                    <w:left w:val="single" w:color="auto" w:sz="4" w:space="0"/>
                    <w:bottom w:val="single" w:color="auto" w:sz="4" w:space="0"/>
                    <w:right w:val="single" w:color="auto" w:sz="4" w:space="0"/>
                  </w:tcBorders>
                  <w:vAlign w:val="center"/>
                </w:tcPr>
                <w:p w14:paraId="23D4DA35">
                  <w:pPr>
                    <w:adjustRightInd w:val="0"/>
                    <w:snapToGrid w:val="0"/>
                    <w:jc w:val="center"/>
                    <w:rPr>
                      <w:sz w:val="22"/>
                      <w:szCs w:val="22"/>
                    </w:rPr>
                  </w:pPr>
                  <w:r>
                    <w:rPr>
                      <w:rFonts w:hint="eastAsia"/>
                      <w:sz w:val="22"/>
                      <w:szCs w:val="22"/>
                    </w:rPr>
                    <w:t>符合性</w:t>
                  </w:r>
                </w:p>
              </w:tc>
            </w:tr>
            <w:tr w14:paraId="1B40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715" w:type="pct"/>
                  <w:tcBorders>
                    <w:top w:val="single" w:color="auto" w:sz="4" w:space="0"/>
                    <w:left w:val="single" w:color="auto" w:sz="4" w:space="0"/>
                    <w:bottom w:val="single" w:color="auto" w:sz="4" w:space="0"/>
                    <w:right w:val="single" w:color="auto" w:sz="4" w:space="0"/>
                  </w:tcBorders>
                  <w:vAlign w:val="center"/>
                </w:tcPr>
                <w:p w14:paraId="091E99F7">
                  <w:pPr>
                    <w:adjustRightInd w:val="0"/>
                    <w:snapToGrid w:val="0"/>
                    <w:jc w:val="center"/>
                    <w:rPr>
                      <w:sz w:val="22"/>
                      <w:szCs w:val="22"/>
                    </w:rPr>
                  </w:pPr>
                  <w:r>
                    <w:rPr>
                      <w:rFonts w:hint="eastAsia"/>
                      <w:sz w:val="22"/>
                      <w:szCs w:val="22"/>
                    </w:rPr>
                    <w:t>七、禁止在长江干支流</w:t>
                  </w:r>
                  <w:r>
                    <w:rPr>
                      <w:sz w:val="22"/>
                      <w:szCs w:val="22"/>
                    </w:rPr>
                    <w:t>1</w:t>
                  </w:r>
                  <w:r>
                    <w:rPr>
                      <w:rFonts w:hint="eastAsia"/>
                      <w:sz w:val="22"/>
                      <w:szCs w:val="22"/>
                    </w:rPr>
                    <w:t>公里范围内新建、扩建化工园区和化工项目。禁止在合规园区外新建、扩建钢铁、石化、化工、焦化、建材、有色等高污染项目。</w:t>
                  </w:r>
                </w:p>
              </w:tc>
              <w:tc>
                <w:tcPr>
                  <w:tcW w:w="1891" w:type="pct"/>
                  <w:tcBorders>
                    <w:top w:val="single" w:color="auto" w:sz="4" w:space="0"/>
                    <w:left w:val="single" w:color="auto" w:sz="4" w:space="0"/>
                    <w:bottom w:val="single" w:color="auto" w:sz="4" w:space="0"/>
                    <w:right w:val="single" w:color="auto" w:sz="4" w:space="0"/>
                  </w:tcBorders>
                  <w:vAlign w:val="center"/>
                </w:tcPr>
                <w:p w14:paraId="6E7E1D5F">
                  <w:pPr>
                    <w:adjustRightInd w:val="0"/>
                    <w:snapToGrid w:val="0"/>
                    <w:jc w:val="center"/>
                    <w:rPr>
                      <w:sz w:val="22"/>
                      <w:szCs w:val="22"/>
                    </w:rPr>
                  </w:pPr>
                  <w:r>
                    <w:rPr>
                      <w:rFonts w:hint="eastAsia"/>
                      <w:bCs/>
                      <w:sz w:val="22"/>
                      <w:szCs w:val="22"/>
                    </w:rPr>
                    <w:t>本项目为</w:t>
                  </w:r>
                  <w:r>
                    <w:rPr>
                      <w:rFonts w:hint="eastAsia"/>
                      <w:szCs w:val="21"/>
                    </w:rPr>
                    <w:t>铝合金汽车零部件制造项目</w:t>
                  </w:r>
                  <w:r>
                    <w:rPr>
                      <w:rFonts w:hint="eastAsia"/>
                      <w:bCs/>
                      <w:sz w:val="22"/>
                      <w:szCs w:val="22"/>
                    </w:rPr>
                    <w:t>，不属于钢铁、石化、化工、焦化、建材、有色等高污染项目</w:t>
                  </w:r>
                </w:p>
              </w:tc>
              <w:tc>
                <w:tcPr>
                  <w:tcW w:w="394" w:type="pct"/>
                  <w:tcBorders>
                    <w:top w:val="single" w:color="auto" w:sz="4" w:space="0"/>
                    <w:left w:val="single" w:color="auto" w:sz="4" w:space="0"/>
                    <w:bottom w:val="single" w:color="auto" w:sz="4" w:space="0"/>
                    <w:right w:val="single" w:color="auto" w:sz="4" w:space="0"/>
                  </w:tcBorders>
                  <w:vAlign w:val="center"/>
                </w:tcPr>
                <w:p w14:paraId="492966B6">
                  <w:pPr>
                    <w:adjustRightInd w:val="0"/>
                    <w:snapToGrid w:val="0"/>
                    <w:jc w:val="center"/>
                    <w:rPr>
                      <w:sz w:val="22"/>
                      <w:szCs w:val="22"/>
                    </w:rPr>
                  </w:pPr>
                  <w:r>
                    <w:rPr>
                      <w:rFonts w:hint="eastAsia"/>
                      <w:sz w:val="22"/>
                      <w:szCs w:val="22"/>
                    </w:rPr>
                    <w:t>符合</w:t>
                  </w:r>
                </w:p>
              </w:tc>
            </w:tr>
            <w:tr w14:paraId="54DA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715" w:type="pct"/>
                  <w:tcBorders>
                    <w:top w:val="single" w:color="auto" w:sz="4" w:space="0"/>
                    <w:left w:val="single" w:color="auto" w:sz="4" w:space="0"/>
                    <w:bottom w:val="single" w:color="auto" w:sz="4" w:space="0"/>
                    <w:right w:val="single" w:color="auto" w:sz="4" w:space="0"/>
                  </w:tcBorders>
                  <w:vAlign w:val="center"/>
                </w:tcPr>
                <w:p w14:paraId="06CF9BF5">
                  <w:pPr>
                    <w:adjustRightInd w:val="0"/>
                    <w:snapToGrid w:val="0"/>
                    <w:jc w:val="center"/>
                    <w:rPr>
                      <w:sz w:val="22"/>
                      <w:szCs w:val="22"/>
                    </w:rPr>
                  </w:pPr>
                  <w:r>
                    <w:rPr>
                      <w:rFonts w:hint="eastAsia"/>
                      <w:sz w:val="22"/>
                      <w:szCs w:val="22"/>
                    </w:rPr>
                    <w:t>八、禁止新建、扩建不符合国家石化、现代煤化工等产业布局规划的项目</w:t>
                  </w:r>
                </w:p>
              </w:tc>
              <w:tc>
                <w:tcPr>
                  <w:tcW w:w="1891" w:type="pct"/>
                  <w:tcBorders>
                    <w:top w:val="single" w:color="auto" w:sz="4" w:space="0"/>
                    <w:left w:val="single" w:color="auto" w:sz="4" w:space="0"/>
                    <w:bottom w:val="single" w:color="auto" w:sz="4" w:space="0"/>
                    <w:right w:val="single" w:color="auto" w:sz="4" w:space="0"/>
                  </w:tcBorders>
                  <w:vAlign w:val="center"/>
                </w:tcPr>
                <w:p w14:paraId="4D223B75">
                  <w:pPr>
                    <w:adjustRightInd w:val="0"/>
                    <w:snapToGrid w:val="0"/>
                    <w:jc w:val="center"/>
                    <w:rPr>
                      <w:bCs/>
                      <w:sz w:val="22"/>
                      <w:szCs w:val="22"/>
                    </w:rPr>
                  </w:pPr>
                  <w:r>
                    <w:rPr>
                      <w:rFonts w:hint="eastAsia"/>
                      <w:bCs/>
                      <w:sz w:val="22"/>
                      <w:szCs w:val="22"/>
                    </w:rPr>
                    <w:t>项目不属于</w:t>
                  </w:r>
                  <w:r>
                    <w:rPr>
                      <w:rFonts w:hint="eastAsia"/>
                      <w:sz w:val="22"/>
                      <w:szCs w:val="22"/>
                    </w:rPr>
                    <w:t>石化、现代煤化工等禁建项目</w:t>
                  </w:r>
                </w:p>
              </w:tc>
              <w:tc>
                <w:tcPr>
                  <w:tcW w:w="394" w:type="pct"/>
                  <w:tcBorders>
                    <w:top w:val="single" w:color="auto" w:sz="4" w:space="0"/>
                    <w:left w:val="single" w:color="auto" w:sz="4" w:space="0"/>
                    <w:bottom w:val="single" w:color="auto" w:sz="4" w:space="0"/>
                    <w:right w:val="single" w:color="auto" w:sz="4" w:space="0"/>
                  </w:tcBorders>
                  <w:vAlign w:val="center"/>
                </w:tcPr>
                <w:p w14:paraId="6D4745BB">
                  <w:pPr>
                    <w:adjustRightInd w:val="0"/>
                    <w:snapToGrid w:val="0"/>
                    <w:jc w:val="center"/>
                    <w:rPr>
                      <w:sz w:val="22"/>
                      <w:szCs w:val="22"/>
                    </w:rPr>
                  </w:pPr>
                  <w:r>
                    <w:rPr>
                      <w:rFonts w:hint="eastAsia"/>
                      <w:sz w:val="22"/>
                      <w:szCs w:val="22"/>
                    </w:rPr>
                    <w:t>符合</w:t>
                  </w:r>
                </w:p>
              </w:tc>
            </w:tr>
            <w:tr w14:paraId="6B5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715" w:type="pct"/>
                  <w:tcBorders>
                    <w:top w:val="single" w:color="auto" w:sz="4" w:space="0"/>
                    <w:left w:val="single" w:color="auto" w:sz="4" w:space="0"/>
                    <w:bottom w:val="single" w:color="auto" w:sz="4" w:space="0"/>
                    <w:right w:val="single" w:color="auto" w:sz="4" w:space="0"/>
                  </w:tcBorders>
                  <w:vAlign w:val="center"/>
                </w:tcPr>
                <w:p w14:paraId="3F315BAE">
                  <w:pPr>
                    <w:adjustRightInd w:val="0"/>
                    <w:snapToGrid w:val="0"/>
                    <w:jc w:val="center"/>
                    <w:rPr>
                      <w:sz w:val="22"/>
                      <w:szCs w:val="22"/>
                    </w:rPr>
                  </w:pPr>
                  <w:r>
                    <w:rPr>
                      <w:rFonts w:hint="eastAsia"/>
                      <w:sz w:val="22"/>
                      <w:szCs w:val="22"/>
                    </w:rPr>
                    <w:t>九、禁止新建、扩建法律法规和相关政策命令禁止的落后产能项目</w:t>
                  </w:r>
                </w:p>
              </w:tc>
              <w:tc>
                <w:tcPr>
                  <w:tcW w:w="1891" w:type="pct"/>
                  <w:tcBorders>
                    <w:top w:val="single" w:color="auto" w:sz="4" w:space="0"/>
                    <w:left w:val="single" w:color="auto" w:sz="4" w:space="0"/>
                    <w:bottom w:val="single" w:color="auto" w:sz="4" w:space="0"/>
                    <w:right w:val="single" w:color="auto" w:sz="4" w:space="0"/>
                  </w:tcBorders>
                  <w:vAlign w:val="center"/>
                </w:tcPr>
                <w:p w14:paraId="2818D61D">
                  <w:pPr>
                    <w:adjustRightInd w:val="0"/>
                    <w:snapToGrid w:val="0"/>
                    <w:jc w:val="center"/>
                    <w:rPr>
                      <w:bCs/>
                      <w:sz w:val="22"/>
                      <w:szCs w:val="22"/>
                    </w:rPr>
                  </w:pPr>
                  <w:r>
                    <w:rPr>
                      <w:rFonts w:hint="eastAsia"/>
                      <w:bCs/>
                      <w:sz w:val="22"/>
                      <w:szCs w:val="22"/>
                    </w:rPr>
                    <w:t>项目不属于落后产能项目</w:t>
                  </w:r>
                </w:p>
              </w:tc>
              <w:tc>
                <w:tcPr>
                  <w:tcW w:w="394" w:type="pct"/>
                  <w:tcBorders>
                    <w:top w:val="single" w:color="auto" w:sz="4" w:space="0"/>
                    <w:left w:val="single" w:color="auto" w:sz="4" w:space="0"/>
                    <w:bottom w:val="single" w:color="auto" w:sz="4" w:space="0"/>
                    <w:right w:val="single" w:color="auto" w:sz="4" w:space="0"/>
                  </w:tcBorders>
                  <w:vAlign w:val="center"/>
                </w:tcPr>
                <w:p w14:paraId="61AA3B5C">
                  <w:pPr>
                    <w:adjustRightInd w:val="0"/>
                    <w:snapToGrid w:val="0"/>
                    <w:jc w:val="center"/>
                    <w:rPr>
                      <w:sz w:val="22"/>
                      <w:szCs w:val="22"/>
                    </w:rPr>
                  </w:pPr>
                  <w:r>
                    <w:rPr>
                      <w:rFonts w:hint="eastAsia"/>
                      <w:sz w:val="22"/>
                      <w:szCs w:val="22"/>
                    </w:rPr>
                    <w:t>符合</w:t>
                  </w:r>
                </w:p>
              </w:tc>
            </w:tr>
            <w:tr w14:paraId="65DC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2715" w:type="pct"/>
                  <w:tcBorders>
                    <w:top w:val="single" w:color="auto" w:sz="4" w:space="0"/>
                    <w:left w:val="single" w:color="auto" w:sz="4" w:space="0"/>
                    <w:bottom w:val="single" w:color="auto" w:sz="4" w:space="0"/>
                    <w:right w:val="single" w:color="auto" w:sz="4" w:space="0"/>
                  </w:tcBorders>
                  <w:vAlign w:val="center"/>
                </w:tcPr>
                <w:p w14:paraId="4D9EF027">
                  <w:pPr>
                    <w:adjustRightInd w:val="0"/>
                    <w:snapToGrid w:val="0"/>
                    <w:jc w:val="center"/>
                    <w:rPr>
                      <w:sz w:val="22"/>
                      <w:szCs w:val="22"/>
                    </w:rPr>
                  </w:pPr>
                  <w:r>
                    <w:rPr>
                      <w:rFonts w:hint="eastAsia"/>
                      <w:sz w:val="22"/>
                      <w:szCs w:val="22"/>
                    </w:rPr>
                    <w:t>十、禁止新建、扩建不符合国家产能置换要求的严重过剩产能行业的项目</w:t>
                  </w:r>
                </w:p>
              </w:tc>
              <w:tc>
                <w:tcPr>
                  <w:tcW w:w="1891" w:type="pct"/>
                  <w:tcBorders>
                    <w:top w:val="single" w:color="auto" w:sz="4" w:space="0"/>
                    <w:left w:val="single" w:color="auto" w:sz="4" w:space="0"/>
                    <w:bottom w:val="single" w:color="auto" w:sz="4" w:space="0"/>
                    <w:right w:val="single" w:color="auto" w:sz="4" w:space="0"/>
                  </w:tcBorders>
                  <w:vAlign w:val="center"/>
                </w:tcPr>
                <w:p w14:paraId="2D930283">
                  <w:pPr>
                    <w:adjustRightInd w:val="0"/>
                    <w:snapToGrid w:val="0"/>
                    <w:jc w:val="center"/>
                    <w:rPr>
                      <w:bCs/>
                      <w:sz w:val="22"/>
                      <w:szCs w:val="22"/>
                    </w:rPr>
                  </w:pPr>
                  <w:r>
                    <w:rPr>
                      <w:rFonts w:hint="eastAsia"/>
                      <w:bCs/>
                      <w:sz w:val="22"/>
                      <w:szCs w:val="22"/>
                    </w:rPr>
                    <w:t>项目不属于</w:t>
                  </w:r>
                  <w:r>
                    <w:rPr>
                      <w:rFonts w:hint="eastAsia"/>
                      <w:sz w:val="22"/>
                      <w:szCs w:val="22"/>
                    </w:rPr>
                    <w:t>国家产能置换要求的严重过剩产能行业的项目</w:t>
                  </w:r>
                </w:p>
              </w:tc>
              <w:tc>
                <w:tcPr>
                  <w:tcW w:w="394" w:type="pct"/>
                  <w:tcBorders>
                    <w:top w:val="single" w:color="auto" w:sz="4" w:space="0"/>
                    <w:left w:val="single" w:color="auto" w:sz="4" w:space="0"/>
                    <w:bottom w:val="single" w:color="auto" w:sz="4" w:space="0"/>
                    <w:right w:val="single" w:color="auto" w:sz="4" w:space="0"/>
                  </w:tcBorders>
                  <w:vAlign w:val="center"/>
                </w:tcPr>
                <w:p w14:paraId="6E206B63">
                  <w:pPr>
                    <w:adjustRightInd w:val="0"/>
                    <w:snapToGrid w:val="0"/>
                    <w:jc w:val="center"/>
                    <w:rPr>
                      <w:sz w:val="22"/>
                      <w:szCs w:val="22"/>
                    </w:rPr>
                  </w:pPr>
                  <w:r>
                    <w:rPr>
                      <w:rFonts w:hint="eastAsia"/>
                      <w:sz w:val="22"/>
                      <w:szCs w:val="22"/>
                    </w:rPr>
                    <w:t>符合</w:t>
                  </w:r>
                </w:p>
              </w:tc>
            </w:tr>
          </w:tbl>
          <w:p w14:paraId="23572259">
            <w:pPr>
              <w:spacing w:line="360" w:lineRule="auto"/>
              <w:ind w:firstLine="480" w:firstLineChars="200"/>
              <w:rPr>
                <w:sz w:val="24"/>
                <w:szCs w:val="26"/>
              </w:rPr>
            </w:pPr>
            <w:r>
              <w:rPr>
                <w:rFonts w:hint="eastAsia"/>
                <w:sz w:val="24"/>
                <w:szCs w:val="26"/>
              </w:rPr>
              <w:t>综上分析，项目建设符合《重庆市长江经济带发展负面清单实施细则（试行）》（渝推长办发</w:t>
            </w:r>
            <w:r>
              <w:rPr>
                <w:sz w:val="24"/>
                <w:szCs w:val="26"/>
              </w:rPr>
              <w:t>[2019]40</w:t>
            </w:r>
            <w:r>
              <w:rPr>
                <w:rFonts w:hint="eastAsia"/>
                <w:sz w:val="24"/>
                <w:szCs w:val="26"/>
              </w:rPr>
              <w:t>号）要求。</w:t>
            </w:r>
          </w:p>
          <w:p w14:paraId="4E139656">
            <w:pPr>
              <w:spacing w:line="360" w:lineRule="auto"/>
              <w:rPr>
                <w:b/>
                <w:sz w:val="24"/>
                <w:szCs w:val="26"/>
              </w:rPr>
            </w:pPr>
            <w:r>
              <w:rPr>
                <w:rFonts w:hint="eastAsia"/>
                <w:b/>
                <w:sz w:val="24"/>
                <w:szCs w:val="26"/>
              </w:rPr>
              <w:t>6、项目与《关于印发&lt;长江经济带发展负面清单指南（试行，2022年版）的通知》(长江办[2022]7号)符合性分析</w:t>
            </w:r>
          </w:p>
          <w:p w14:paraId="756E9DBE">
            <w:pPr>
              <w:spacing w:line="360" w:lineRule="auto"/>
              <w:ind w:firstLine="480" w:firstLineChars="200"/>
              <w:rPr>
                <w:sz w:val="24"/>
              </w:rPr>
            </w:pPr>
            <w:r>
              <w:rPr>
                <w:rFonts w:hint="eastAsia"/>
                <w:sz w:val="24"/>
              </w:rPr>
              <w:t>项目与</w:t>
            </w:r>
            <w:r>
              <w:rPr>
                <w:rFonts w:hint="eastAsia"/>
                <w:sz w:val="24"/>
                <w:szCs w:val="26"/>
              </w:rPr>
              <w:t>《关于印发&lt;长江经济带发展负面清单指南（试行，2022年版）的通知》(长江办[2022]7号)</w:t>
            </w:r>
            <w:r>
              <w:rPr>
                <w:rFonts w:hint="eastAsia"/>
                <w:sz w:val="24"/>
              </w:rPr>
              <w:t>的符合性分析见下表。</w:t>
            </w:r>
          </w:p>
          <w:p w14:paraId="77E54B39">
            <w:pPr>
              <w:spacing w:line="360" w:lineRule="auto"/>
              <w:jc w:val="center"/>
              <w:rPr>
                <w:sz w:val="24"/>
                <w:szCs w:val="26"/>
              </w:rPr>
            </w:pPr>
            <w:r>
              <w:rPr>
                <w:rFonts w:hint="eastAsia"/>
                <w:sz w:val="24"/>
              </w:rPr>
              <w:t>表</w:t>
            </w:r>
            <w:r>
              <w:rPr>
                <w:sz w:val="24"/>
              </w:rPr>
              <w:t xml:space="preserve">1-7  </w:t>
            </w:r>
            <w:r>
              <w:rPr>
                <w:rFonts w:hint="eastAsia"/>
                <w:sz w:val="24"/>
              </w:rPr>
              <w:t>与</w:t>
            </w:r>
            <w:r>
              <w:rPr>
                <w:rFonts w:hint="eastAsia"/>
                <w:sz w:val="24"/>
                <w:szCs w:val="26"/>
              </w:rPr>
              <w:t>《关于印发&lt;长江经济带发展负面清单指南（试行，2022年版）</w:t>
            </w:r>
          </w:p>
          <w:p w14:paraId="3B32DE86">
            <w:pPr>
              <w:spacing w:line="360" w:lineRule="auto"/>
              <w:jc w:val="center"/>
              <w:rPr>
                <w:sz w:val="24"/>
              </w:rPr>
            </w:pPr>
            <w:r>
              <w:rPr>
                <w:rFonts w:hint="eastAsia"/>
                <w:sz w:val="24"/>
                <w:szCs w:val="26"/>
              </w:rPr>
              <w:t>的通知》的符合性分析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40"/>
              <w:gridCol w:w="4394"/>
              <w:gridCol w:w="2268"/>
              <w:gridCol w:w="788"/>
            </w:tblGrid>
            <w:tr w14:paraId="53B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BA08A1F">
                  <w:pPr>
                    <w:adjustRightInd w:val="0"/>
                    <w:snapToGrid w:val="0"/>
                    <w:jc w:val="center"/>
                    <w:rPr>
                      <w:bCs/>
                      <w:szCs w:val="21"/>
                    </w:rPr>
                  </w:pPr>
                  <w:r>
                    <w:rPr>
                      <w:rFonts w:hint="eastAsia"/>
                      <w:bCs/>
                      <w:szCs w:val="21"/>
                    </w:rPr>
                    <w:t>序号</w:t>
                  </w:r>
                </w:p>
              </w:tc>
              <w:tc>
                <w:tcPr>
                  <w:tcW w:w="2650" w:type="pct"/>
                  <w:tcBorders>
                    <w:top w:val="single" w:color="auto" w:sz="4" w:space="0"/>
                    <w:left w:val="single" w:color="auto" w:sz="4" w:space="0"/>
                    <w:bottom w:val="single" w:color="auto" w:sz="4" w:space="0"/>
                    <w:right w:val="single" w:color="auto" w:sz="4" w:space="0"/>
                  </w:tcBorders>
                  <w:vAlign w:val="center"/>
                </w:tcPr>
                <w:p w14:paraId="3DF3D003">
                  <w:pPr>
                    <w:adjustRightInd w:val="0"/>
                    <w:snapToGrid w:val="0"/>
                    <w:jc w:val="center"/>
                    <w:rPr>
                      <w:szCs w:val="21"/>
                    </w:rPr>
                  </w:pPr>
                  <w:r>
                    <w:rPr>
                      <w:rFonts w:hint="eastAsia"/>
                      <w:szCs w:val="21"/>
                    </w:rPr>
                    <w:t>《关于印发&lt;长江经济带发展负面清单指南（试行，2022年版）的通知》要求</w:t>
                  </w:r>
                </w:p>
              </w:tc>
              <w:tc>
                <w:tcPr>
                  <w:tcW w:w="1368" w:type="pct"/>
                  <w:tcBorders>
                    <w:top w:val="single" w:color="auto" w:sz="4" w:space="0"/>
                    <w:left w:val="single" w:color="auto" w:sz="4" w:space="0"/>
                    <w:bottom w:val="single" w:color="auto" w:sz="4" w:space="0"/>
                    <w:right w:val="single" w:color="auto" w:sz="4" w:space="0"/>
                  </w:tcBorders>
                  <w:vAlign w:val="center"/>
                </w:tcPr>
                <w:p w14:paraId="6D817FC7">
                  <w:pPr>
                    <w:adjustRightInd w:val="0"/>
                    <w:snapToGrid w:val="0"/>
                    <w:jc w:val="center"/>
                    <w:rPr>
                      <w:szCs w:val="21"/>
                    </w:rPr>
                  </w:pPr>
                  <w:r>
                    <w:rPr>
                      <w:rFonts w:hint="eastAsia"/>
                      <w:szCs w:val="21"/>
                    </w:rPr>
                    <w:t>本项目情况</w:t>
                  </w:r>
                </w:p>
              </w:tc>
              <w:tc>
                <w:tcPr>
                  <w:tcW w:w="475" w:type="pct"/>
                  <w:tcBorders>
                    <w:top w:val="single" w:color="auto" w:sz="4" w:space="0"/>
                    <w:left w:val="single" w:color="auto" w:sz="4" w:space="0"/>
                    <w:bottom w:val="single" w:color="auto" w:sz="4" w:space="0"/>
                    <w:right w:val="single" w:color="auto" w:sz="4" w:space="0"/>
                  </w:tcBorders>
                  <w:vAlign w:val="center"/>
                </w:tcPr>
                <w:p w14:paraId="636955ED">
                  <w:pPr>
                    <w:adjustRightInd w:val="0"/>
                    <w:snapToGrid w:val="0"/>
                    <w:jc w:val="center"/>
                    <w:rPr>
                      <w:szCs w:val="21"/>
                    </w:rPr>
                  </w:pPr>
                  <w:r>
                    <w:rPr>
                      <w:rFonts w:hint="eastAsia"/>
                      <w:szCs w:val="21"/>
                    </w:rPr>
                    <w:t>符合性</w:t>
                  </w:r>
                </w:p>
              </w:tc>
            </w:tr>
            <w:tr w14:paraId="57F4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8788030">
                  <w:pPr>
                    <w:adjustRightInd w:val="0"/>
                    <w:snapToGrid w:val="0"/>
                    <w:jc w:val="center"/>
                    <w:rPr>
                      <w:bCs/>
                      <w:szCs w:val="21"/>
                    </w:rPr>
                  </w:pPr>
                  <w:r>
                    <w:rPr>
                      <w:rFonts w:hint="eastAsia"/>
                      <w:bCs/>
                      <w:szCs w:val="21"/>
                    </w:rPr>
                    <w:t>1</w:t>
                  </w:r>
                </w:p>
              </w:tc>
              <w:tc>
                <w:tcPr>
                  <w:tcW w:w="2650" w:type="pct"/>
                  <w:tcBorders>
                    <w:top w:val="single" w:color="auto" w:sz="4" w:space="0"/>
                    <w:left w:val="single" w:color="auto" w:sz="4" w:space="0"/>
                    <w:bottom w:val="single" w:color="auto" w:sz="4" w:space="0"/>
                    <w:right w:val="single" w:color="auto" w:sz="4" w:space="0"/>
                  </w:tcBorders>
                  <w:vAlign w:val="center"/>
                </w:tcPr>
                <w:p w14:paraId="1C58F699">
                  <w:pPr>
                    <w:adjustRightInd w:val="0"/>
                    <w:snapToGrid w:val="0"/>
                    <w:jc w:val="center"/>
                    <w:rPr>
                      <w:bCs/>
                      <w:szCs w:val="21"/>
                    </w:rPr>
                  </w:pPr>
                  <w:r>
                    <w:rPr>
                      <w:rFonts w:hint="eastAsia"/>
                      <w:bCs/>
                      <w:szCs w:val="21"/>
                    </w:rPr>
                    <w:t>禁止建设不符合全国和省级港口布局规划以及港口总体规划的码头项目，禁止建设不符合《长江干线过江通道布局规划》的过长江通道项目。</w:t>
                  </w:r>
                </w:p>
              </w:tc>
              <w:tc>
                <w:tcPr>
                  <w:tcW w:w="1368" w:type="pct"/>
                  <w:tcBorders>
                    <w:top w:val="single" w:color="auto" w:sz="4" w:space="0"/>
                    <w:left w:val="single" w:color="auto" w:sz="4" w:space="0"/>
                    <w:bottom w:val="single" w:color="auto" w:sz="4" w:space="0"/>
                    <w:right w:val="single" w:color="auto" w:sz="4" w:space="0"/>
                  </w:tcBorders>
                  <w:vAlign w:val="center"/>
                </w:tcPr>
                <w:p w14:paraId="33E2A247">
                  <w:pPr>
                    <w:adjustRightInd w:val="0"/>
                    <w:snapToGrid w:val="0"/>
                    <w:jc w:val="center"/>
                    <w:rPr>
                      <w:szCs w:val="21"/>
                    </w:rPr>
                  </w:pPr>
                  <w:r>
                    <w:rPr>
                      <w:rFonts w:hint="eastAsia"/>
                      <w:szCs w:val="21"/>
                    </w:rPr>
                    <w:t>本项目不属于</w:t>
                  </w:r>
                  <w:r>
                    <w:rPr>
                      <w:rFonts w:hint="eastAsia"/>
                      <w:bCs/>
                      <w:szCs w:val="21"/>
                    </w:rPr>
                    <w:t>港口及港口规划项目，不属于长江通道项目</w:t>
                  </w:r>
                </w:p>
              </w:tc>
              <w:tc>
                <w:tcPr>
                  <w:tcW w:w="475" w:type="pct"/>
                  <w:tcBorders>
                    <w:top w:val="single" w:color="auto" w:sz="4" w:space="0"/>
                    <w:left w:val="single" w:color="auto" w:sz="4" w:space="0"/>
                    <w:bottom w:val="single" w:color="auto" w:sz="4" w:space="0"/>
                    <w:right w:val="single" w:color="auto" w:sz="4" w:space="0"/>
                  </w:tcBorders>
                  <w:vAlign w:val="center"/>
                </w:tcPr>
                <w:p w14:paraId="75B9216D">
                  <w:pPr>
                    <w:adjustRightInd w:val="0"/>
                    <w:snapToGrid w:val="0"/>
                    <w:jc w:val="center"/>
                    <w:rPr>
                      <w:szCs w:val="21"/>
                    </w:rPr>
                  </w:pPr>
                  <w:r>
                    <w:rPr>
                      <w:rFonts w:hint="eastAsia"/>
                      <w:szCs w:val="21"/>
                    </w:rPr>
                    <w:t>符合</w:t>
                  </w:r>
                </w:p>
              </w:tc>
            </w:tr>
            <w:tr w14:paraId="4978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615A18FD">
                  <w:pPr>
                    <w:adjustRightInd w:val="0"/>
                    <w:snapToGrid w:val="0"/>
                    <w:jc w:val="center"/>
                    <w:rPr>
                      <w:bCs/>
                      <w:szCs w:val="21"/>
                    </w:rPr>
                  </w:pPr>
                  <w:r>
                    <w:rPr>
                      <w:rFonts w:hint="eastAsia"/>
                      <w:bCs/>
                      <w:szCs w:val="21"/>
                    </w:rPr>
                    <w:t>2</w:t>
                  </w:r>
                </w:p>
              </w:tc>
              <w:tc>
                <w:tcPr>
                  <w:tcW w:w="2650" w:type="pct"/>
                  <w:tcBorders>
                    <w:top w:val="single" w:color="auto" w:sz="4" w:space="0"/>
                    <w:left w:val="single" w:color="auto" w:sz="4" w:space="0"/>
                    <w:bottom w:val="single" w:color="auto" w:sz="4" w:space="0"/>
                    <w:right w:val="single" w:color="auto" w:sz="4" w:space="0"/>
                  </w:tcBorders>
                  <w:vAlign w:val="center"/>
                </w:tcPr>
                <w:p w14:paraId="77A01E3F">
                  <w:pPr>
                    <w:adjustRightInd w:val="0"/>
                    <w:snapToGrid w:val="0"/>
                    <w:jc w:val="center"/>
                    <w:rPr>
                      <w:bCs/>
                      <w:szCs w:val="21"/>
                    </w:rPr>
                  </w:pPr>
                  <w:r>
                    <w:rPr>
                      <w:rFonts w:hint="eastAsia"/>
                      <w:bCs/>
                      <w:szCs w:val="21"/>
                    </w:rPr>
                    <w:t>禁止在自然保护区核心区、缓冲区的岸线和河段范围内投资建设旅游和生产经营项目。禁止在风景名胜区核心景区的岸线和河段范围内投资建设与风景名胜资源保护无关的项目。</w:t>
                  </w:r>
                </w:p>
              </w:tc>
              <w:tc>
                <w:tcPr>
                  <w:tcW w:w="1368" w:type="pct"/>
                  <w:tcBorders>
                    <w:top w:val="single" w:color="auto" w:sz="4" w:space="0"/>
                    <w:left w:val="single" w:color="auto" w:sz="4" w:space="0"/>
                    <w:bottom w:val="single" w:color="auto" w:sz="4" w:space="0"/>
                    <w:right w:val="single" w:color="auto" w:sz="4" w:space="0"/>
                  </w:tcBorders>
                  <w:vAlign w:val="center"/>
                </w:tcPr>
                <w:p w14:paraId="08565614">
                  <w:pPr>
                    <w:adjustRightInd w:val="0"/>
                    <w:snapToGrid w:val="0"/>
                    <w:jc w:val="center"/>
                    <w:rPr>
                      <w:szCs w:val="21"/>
                    </w:rPr>
                  </w:pPr>
                  <w:r>
                    <w:rPr>
                      <w:rFonts w:hint="eastAsia"/>
                      <w:szCs w:val="21"/>
                    </w:rPr>
                    <w:t>本项目位于</w:t>
                  </w:r>
                  <w:r>
                    <w:rPr>
                      <w:rFonts w:hint="eastAsia"/>
                      <w:bCs/>
                      <w:szCs w:val="21"/>
                    </w:rPr>
                    <w:t>重庆市涪陵区新城区盘龙路，项目选址不在自然保护区核心区、缓冲区的岸线和河段范围内，不在风景名胜区核心景区的岸线和河段范围内</w:t>
                  </w:r>
                </w:p>
              </w:tc>
              <w:tc>
                <w:tcPr>
                  <w:tcW w:w="475" w:type="pct"/>
                  <w:tcBorders>
                    <w:top w:val="single" w:color="auto" w:sz="4" w:space="0"/>
                    <w:left w:val="single" w:color="auto" w:sz="4" w:space="0"/>
                    <w:bottom w:val="single" w:color="auto" w:sz="4" w:space="0"/>
                    <w:right w:val="single" w:color="auto" w:sz="4" w:space="0"/>
                  </w:tcBorders>
                  <w:vAlign w:val="center"/>
                </w:tcPr>
                <w:p w14:paraId="64BA6147">
                  <w:pPr>
                    <w:adjustRightInd w:val="0"/>
                    <w:snapToGrid w:val="0"/>
                    <w:jc w:val="center"/>
                    <w:rPr>
                      <w:szCs w:val="21"/>
                    </w:rPr>
                  </w:pPr>
                  <w:r>
                    <w:rPr>
                      <w:rFonts w:hint="eastAsia"/>
                      <w:szCs w:val="21"/>
                    </w:rPr>
                    <w:t>符合</w:t>
                  </w:r>
                </w:p>
              </w:tc>
            </w:tr>
            <w:tr w14:paraId="5541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9163D69">
                  <w:pPr>
                    <w:adjustRightInd w:val="0"/>
                    <w:snapToGrid w:val="0"/>
                    <w:jc w:val="center"/>
                    <w:rPr>
                      <w:bCs/>
                      <w:szCs w:val="21"/>
                    </w:rPr>
                  </w:pPr>
                  <w:r>
                    <w:rPr>
                      <w:rFonts w:hint="eastAsia"/>
                      <w:bCs/>
                      <w:szCs w:val="21"/>
                    </w:rPr>
                    <w:t>3</w:t>
                  </w:r>
                </w:p>
              </w:tc>
              <w:tc>
                <w:tcPr>
                  <w:tcW w:w="2650" w:type="pct"/>
                  <w:tcBorders>
                    <w:top w:val="single" w:color="auto" w:sz="4" w:space="0"/>
                    <w:left w:val="single" w:color="auto" w:sz="4" w:space="0"/>
                    <w:bottom w:val="single" w:color="auto" w:sz="4" w:space="0"/>
                    <w:right w:val="single" w:color="auto" w:sz="4" w:space="0"/>
                  </w:tcBorders>
                  <w:vAlign w:val="center"/>
                </w:tcPr>
                <w:p w14:paraId="66AF1D34">
                  <w:pPr>
                    <w:adjustRightInd w:val="0"/>
                    <w:snapToGrid w:val="0"/>
                    <w:jc w:val="center"/>
                    <w:rPr>
                      <w:bCs/>
                      <w:szCs w:val="21"/>
                    </w:rPr>
                  </w:pPr>
                  <w:r>
                    <w:rPr>
                      <w:rFonts w:hint="eastAsia"/>
                      <w:bCs/>
                      <w:szCs w:val="21"/>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368" w:type="pct"/>
                  <w:tcBorders>
                    <w:top w:val="single" w:color="auto" w:sz="4" w:space="0"/>
                    <w:left w:val="single" w:color="auto" w:sz="4" w:space="0"/>
                    <w:bottom w:val="single" w:color="auto" w:sz="4" w:space="0"/>
                    <w:right w:val="single" w:color="auto" w:sz="4" w:space="0"/>
                  </w:tcBorders>
                  <w:vAlign w:val="center"/>
                </w:tcPr>
                <w:p w14:paraId="20A97C7C">
                  <w:pPr>
                    <w:adjustRightInd w:val="0"/>
                    <w:snapToGrid w:val="0"/>
                    <w:jc w:val="center"/>
                    <w:rPr>
                      <w:szCs w:val="21"/>
                    </w:rPr>
                  </w:pPr>
                  <w:r>
                    <w:rPr>
                      <w:rFonts w:hint="eastAsia"/>
                      <w:szCs w:val="21"/>
                    </w:rPr>
                    <w:t>本项目位于</w:t>
                  </w:r>
                  <w:r>
                    <w:rPr>
                      <w:rFonts w:hint="eastAsia"/>
                      <w:bCs/>
                      <w:szCs w:val="21"/>
                    </w:rPr>
                    <w:t>重庆市涪陵区新城区盘龙路，项目选址不在饮用水水源一级保护区的岸线和河段范围内，不在饮用水水源二级保护区的岸线和河段范围内</w:t>
                  </w:r>
                </w:p>
              </w:tc>
              <w:tc>
                <w:tcPr>
                  <w:tcW w:w="475" w:type="pct"/>
                  <w:tcBorders>
                    <w:top w:val="single" w:color="auto" w:sz="4" w:space="0"/>
                    <w:left w:val="single" w:color="auto" w:sz="4" w:space="0"/>
                    <w:bottom w:val="single" w:color="auto" w:sz="4" w:space="0"/>
                    <w:right w:val="single" w:color="auto" w:sz="4" w:space="0"/>
                  </w:tcBorders>
                  <w:vAlign w:val="center"/>
                </w:tcPr>
                <w:p w14:paraId="45A3E517">
                  <w:pPr>
                    <w:adjustRightInd w:val="0"/>
                    <w:snapToGrid w:val="0"/>
                    <w:jc w:val="center"/>
                    <w:rPr>
                      <w:szCs w:val="21"/>
                    </w:rPr>
                  </w:pPr>
                  <w:r>
                    <w:rPr>
                      <w:rFonts w:hint="eastAsia"/>
                      <w:szCs w:val="21"/>
                    </w:rPr>
                    <w:t>符合</w:t>
                  </w:r>
                </w:p>
              </w:tc>
            </w:tr>
            <w:tr w14:paraId="160A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676B8953">
                  <w:pPr>
                    <w:adjustRightInd w:val="0"/>
                    <w:snapToGrid w:val="0"/>
                    <w:jc w:val="center"/>
                    <w:rPr>
                      <w:bCs/>
                      <w:szCs w:val="21"/>
                    </w:rPr>
                  </w:pPr>
                  <w:r>
                    <w:rPr>
                      <w:rFonts w:hint="eastAsia"/>
                      <w:bCs/>
                      <w:szCs w:val="21"/>
                    </w:rPr>
                    <w:t>4</w:t>
                  </w:r>
                </w:p>
              </w:tc>
              <w:tc>
                <w:tcPr>
                  <w:tcW w:w="2650" w:type="pct"/>
                  <w:tcBorders>
                    <w:top w:val="single" w:color="auto" w:sz="4" w:space="0"/>
                    <w:left w:val="single" w:color="auto" w:sz="4" w:space="0"/>
                    <w:bottom w:val="single" w:color="auto" w:sz="4" w:space="0"/>
                    <w:right w:val="single" w:color="auto" w:sz="4" w:space="0"/>
                  </w:tcBorders>
                  <w:vAlign w:val="center"/>
                </w:tcPr>
                <w:p w14:paraId="62E50A02">
                  <w:pPr>
                    <w:adjustRightInd w:val="0"/>
                    <w:snapToGrid w:val="0"/>
                    <w:jc w:val="center"/>
                    <w:rPr>
                      <w:bCs/>
                      <w:szCs w:val="21"/>
                    </w:rPr>
                  </w:pPr>
                  <w:r>
                    <w:rPr>
                      <w:rFonts w:hint="eastAsia"/>
                      <w:bCs/>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368" w:type="pct"/>
                  <w:tcBorders>
                    <w:top w:val="single" w:color="auto" w:sz="4" w:space="0"/>
                    <w:left w:val="single" w:color="auto" w:sz="4" w:space="0"/>
                    <w:bottom w:val="single" w:color="auto" w:sz="4" w:space="0"/>
                    <w:right w:val="single" w:color="auto" w:sz="4" w:space="0"/>
                  </w:tcBorders>
                  <w:vAlign w:val="center"/>
                </w:tcPr>
                <w:p w14:paraId="2D89EB38">
                  <w:pPr>
                    <w:adjustRightInd w:val="0"/>
                    <w:snapToGrid w:val="0"/>
                    <w:jc w:val="center"/>
                    <w:rPr>
                      <w:szCs w:val="21"/>
                    </w:rPr>
                  </w:pPr>
                  <w:r>
                    <w:rPr>
                      <w:rFonts w:hint="eastAsia"/>
                      <w:szCs w:val="21"/>
                    </w:rPr>
                    <w:t>本项目位于</w:t>
                  </w:r>
                  <w:r>
                    <w:rPr>
                      <w:rFonts w:hint="eastAsia"/>
                      <w:bCs/>
                      <w:szCs w:val="21"/>
                    </w:rPr>
                    <w:t>重庆市涪陵区新城区盘龙路，项目选址不在水产种质资源保护区的岸线和河段范围内，不在国家湿地公园的岸线和河段范围内</w:t>
                  </w:r>
                </w:p>
              </w:tc>
              <w:tc>
                <w:tcPr>
                  <w:tcW w:w="475" w:type="pct"/>
                  <w:tcBorders>
                    <w:top w:val="single" w:color="auto" w:sz="4" w:space="0"/>
                    <w:left w:val="single" w:color="auto" w:sz="4" w:space="0"/>
                    <w:bottom w:val="single" w:color="auto" w:sz="4" w:space="0"/>
                    <w:right w:val="single" w:color="auto" w:sz="4" w:space="0"/>
                  </w:tcBorders>
                  <w:vAlign w:val="center"/>
                </w:tcPr>
                <w:p w14:paraId="134F3989">
                  <w:pPr>
                    <w:adjustRightInd w:val="0"/>
                    <w:snapToGrid w:val="0"/>
                    <w:jc w:val="center"/>
                    <w:rPr>
                      <w:szCs w:val="21"/>
                    </w:rPr>
                  </w:pPr>
                  <w:r>
                    <w:rPr>
                      <w:rFonts w:hint="eastAsia"/>
                      <w:szCs w:val="21"/>
                    </w:rPr>
                    <w:t>符合</w:t>
                  </w:r>
                </w:p>
              </w:tc>
            </w:tr>
            <w:tr w14:paraId="74CB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AE5DA8C">
                  <w:pPr>
                    <w:adjustRightInd w:val="0"/>
                    <w:snapToGrid w:val="0"/>
                    <w:jc w:val="center"/>
                    <w:rPr>
                      <w:bCs/>
                      <w:szCs w:val="21"/>
                    </w:rPr>
                  </w:pPr>
                  <w:r>
                    <w:rPr>
                      <w:rFonts w:hint="eastAsia"/>
                      <w:bCs/>
                      <w:szCs w:val="21"/>
                    </w:rPr>
                    <w:t>5</w:t>
                  </w:r>
                </w:p>
              </w:tc>
              <w:tc>
                <w:tcPr>
                  <w:tcW w:w="2650" w:type="pct"/>
                  <w:tcBorders>
                    <w:top w:val="single" w:color="auto" w:sz="4" w:space="0"/>
                    <w:left w:val="single" w:color="auto" w:sz="4" w:space="0"/>
                    <w:bottom w:val="single" w:color="auto" w:sz="4" w:space="0"/>
                    <w:right w:val="single" w:color="auto" w:sz="4" w:space="0"/>
                  </w:tcBorders>
                  <w:vAlign w:val="center"/>
                </w:tcPr>
                <w:p w14:paraId="5A590F94">
                  <w:pPr>
                    <w:adjustRightInd w:val="0"/>
                    <w:snapToGrid w:val="0"/>
                    <w:jc w:val="center"/>
                    <w:rPr>
                      <w:bCs/>
                      <w:szCs w:val="21"/>
                    </w:rPr>
                  </w:pPr>
                  <w:r>
                    <w:rPr>
                      <w:rFonts w:hint="eastAsia"/>
                      <w:bCs/>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368" w:type="pct"/>
                  <w:tcBorders>
                    <w:top w:val="single" w:color="auto" w:sz="4" w:space="0"/>
                    <w:left w:val="single" w:color="auto" w:sz="4" w:space="0"/>
                    <w:bottom w:val="single" w:color="auto" w:sz="4" w:space="0"/>
                    <w:right w:val="single" w:color="auto" w:sz="4" w:space="0"/>
                  </w:tcBorders>
                  <w:vAlign w:val="center"/>
                </w:tcPr>
                <w:p w14:paraId="79D3F5E1">
                  <w:pPr>
                    <w:adjustRightInd w:val="0"/>
                    <w:snapToGrid w:val="0"/>
                    <w:jc w:val="center"/>
                    <w:rPr>
                      <w:szCs w:val="21"/>
                    </w:rPr>
                  </w:pPr>
                  <w:r>
                    <w:rPr>
                      <w:rFonts w:hint="eastAsia"/>
                      <w:szCs w:val="21"/>
                    </w:rPr>
                    <w:t>本项目位于</w:t>
                  </w:r>
                  <w:r>
                    <w:rPr>
                      <w:rFonts w:hint="eastAsia"/>
                      <w:bCs/>
                      <w:szCs w:val="21"/>
                    </w:rPr>
                    <w:t>重庆市涪陵区新城区盘龙路，项目不占用长江流域呵护岸线，不在《长江岸线保护和开发利用总体规划》划定的岸线保护区和保留区内，不在《全国重要江河湖泊水功能区划》划定的河段及湖泊保护区、保留区内</w:t>
                  </w:r>
                </w:p>
              </w:tc>
              <w:tc>
                <w:tcPr>
                  <w:tcW w:w="475" w:type="pct"/>
                  <w:tcBorders>
                    <w:top w:val="single" w:color="auto" w:sz="4" w:space="0"/>
                    <w:left w:val="single" w:color="auto" w:sz="4" w:space="0"/>
                    <w:bottom w:val="single" w:color="auto" w:sz="4" w:space="0"/>
                    <w:right w:val="single" w:color="auto" w:sz="4" w:space="0"/>
                  </w:tcBorders>
                  <w:vAlign w:val="center"/>
                </w:tcPr>
                <w:p w14:paraId="41BB570F">
                  <w:pPr>
                    <w:adjustRightInd w:val="0"/>
                    <w:snapToGrid w:val="0"/>
                    <w:jc w:val="center"/>
                    <w:rPr>
                      <w:szCs w:val="21"/>
                    </w:rPr>
                  </w:pPr>
                  <w:r>
                    <w:rPr>
                      <w:rFonts w:hint="eastAsia"/>
                      <w:szCs w:val="21"/>
                    </w:rPr>
                    <w:t>符合</w:t>
                  </w:r>
                </w:p>
              </w:tc>
            </w:tr>
            <w:tr w14:paraId="3C68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FCB076F">
                  <w:pPr>
                    <w:adjustRightInd w:val="0"/>
                    <w:snapToGrid w:val="0"/>
                    <w:jc w:val="center"/>
                    <w:rPr>
                      <w:bCs/>
                      <w:szCs w:val="21"/>
                    </w:rPr>
                  </w:pPr>
                  <w:r>
                    <w:rPr>
                      <w:rFonts w:hint="eastAsia"/>
                      <w:bCs/>
                      <w:szCs w:val="21"/>
                    </w:rPr>
                    <w:t>6</w:t>
                  </w:r>
                </w:p>
              </w:tc>
              <w:tc>
                <w:tcPr>
                  <w:tcW w:w="2650" w:type="pct"/>
                  <w:tcBorders>
                    <w:top w:val="single" w:color="auto" w:sz="4" w:space="0"/>
                    <w:left w:val="single" w:color="auto" w:sz="4" w:space="0"/>
                    <w:bottom w:val="single" w:color="auto" w:sz="4" w:space="0"/>
                    <w:right w:val="single" w:color="auto" w:sz="4" w:space="0"/>
                  </w:tcBorders>
                  <w:vAlign w:val="center"/>
                </w:tcPr>
                <w:p w14:paraId="538AEF01">
                  <w:pPr>
                    <w:adjustRightInd w:val="0"/>
                    <w:snapToGrid w:val="0"/>
                    <w:jc w:val="center"/>
                    <w:rPr>
                      <w:bCs/>
                      <w:szCs w:val="21"/>
                    </w:rPr>
                  </w:pPr>
                  <w:r>
                    <w:rPr>
                      <w:rFonts w:hint="eastAsia"/>
                      <w:bCs/>
                      <w:szCs w:val="21"/>
                    </w:rPr>
                    <w:t>禁止未经许可在长江干支流及湖泊新设、改设或扩大排污口。</w:t>
                  </w:r>
                </w:p>
              </w:tc>
              <w:tc>
                <w:tcPr>
                  <w:tcW w:w="1368" w:type="pct"/>
                  <w:tcBorders>
                    <w:top w:val="single" w:color="auto" w:sz="4" w:space="0"/>
                    <w:left w:val="single" w:color="auto" w:sz="4" w:space="0"/>
                    <w:bottom w:val="single" w:color="auto" w:sz="4" w:space="0"/>
                    <w:right w:val="single" w:color="auto" w:sz="4" w:space="0"/>
                  </w:tcBorders>
                  <w:vAlign w:val="center"/>
                </w:tcPr>
                <w:p w14:paraId="026D8EE9">
                  <w:pPr>
                    <w:adjustRightInd w:val="0"/>
                    <w:snapToGrid w:val="0"/>
                    <w:jc w:val="center"/>
                    <w:rPr>
                      <w:szCs w:val="21"/>
                    </w:rPr>
                  </w:pPr>
                  <w:r>
                    <w:rPr>
                      <w:rFonts w:hint="eastAsia"/>
                      <w:szCs w:val="21"/>
                    </w:rPr>
                    <w:t>项目生产废水和生活污水经厂区内污水处理设施处理后依托李渡大耍坝污水处理厂处理后达标排放，不涉及</w:t>
                  </w:r>
                  <w:r>
                    <w:rPr>
                      <w:rFonts w:hint="eastAsia"/>
                      <w:bCs/>
                      <w:szCs w:val="21"/>
                    </w:rPr>
                    <w:t>新设、改设或扩大排污口</w:t>
                  </w:r>
                </w:p>
              </w:tc>
              <w:tc>
                <w:tcPr>
                  <w:tcW w:w="475" w:type="pct"/>
                  <w:tcBorders>
                    <w:top w:val="single" w:color="auto" w:sz="4" w:space="0"/>
                    <w:left w:val="single" w:color="auto" w:sz="4" w:space="0"/>
                    <w:bottom w:val="single" w:color="auto" w:sz="4" w:space="0"/>
                    <w:right w:val="single" w:color="auto" w:sz="4" w:space="0"/>
                  </w:tcBorders>
                  <w:vAlign w:val="center"/>
                </w:tcPr>
                <w:p w14:paraId="29B9981E">
                  <w:pPr>
                    <w:adjustRightInd w:val="0"/>
                    <w:snapToGrid w:val="0"/>
                    <w:jc w:val="center"/>
                    <w:rPr>
                      <w:szCs w:val="21"/>
                    </w:rPr>
                  </w:pPr>
                  <w:r>
                    <w:rPr>
                      <w:rFonts w:hint="eastAsia"/>
                      <w:szCs w:val="21"/>
                    </w:rPr>
                    <w:t>符合</w:t>
                  </w:r>
                </w:p>
              </w:tc>
            </w:tr>
            <w:tr w14:paraId="4E77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663BD408">
                  <w:pPr>
                    <w:adjustRightInd w:val="0"/>
                    <w:snapToGrid w:val="0"/>
                    <w:jc w:val="center"/>
                    <w:rPr>
                      <w:bCs/>
                      <w:szCs w:val="21"/>
                    </w:rPr>
                  </w:pPr>
                  <w:r>
                    <w:rPr>
                      <w:rFonts w:hint="eastAsia"/>
                      <w:bCs/>
                      <w:szCs w:val="21"/>
                    </w:rPr>
                    <w:t>7</w:t>
                  </w:r>
                </w:p>
              </w:tc>
              <w:tc>
                <w:tcPr>
                  <w:tcW w:w="2650" w:type="pct"/>
                  <w:tcBorders>
                    <w:top w:val="single" w:color="auto" w:sz="4" w:space="0"/>
                    <w:left w:val="single" w:color="auto" w:sz="4" w:space="0"/>
                    <w:bottom w:val="single" w:color="auto" w:sz="4" w:space="0"/>
                    <w:right w:val="single" w:color="auto" w:sz="4" w:space="0"/>
                  </w:tcBorders>
                  <w:vAlign w:val="center"/>
                </w:tcPr>
                <w:p w14:paraId="3A11AAEA">
                  <w:pPr>
                    <w:adjustRightInd w:val="0"/>
                    <w:snapToGrid w:val="0"/>
                    <w:jc w:val="center"/>
                    <w:rPr>
                      <w:bCs/>
                      <w:szCs w:val="21"/>
                    </w:rPr>
                  </w:pPr>
                  <w:r>
                    <w:rPr>
                      <w:rFonts w:hint="eastAsia"/>
                      <w:bCs/>
                      <w:szCs w:val="21"/>
                    </w:rPr>
                    <w:t>禁止在“一江一口两湖七河”和332个水生生物保护区开展生产性捕捞。</w:t>
                  </w:r>
                </w:p>
              </w:tc>
              <w:tc>
                <w:tcPr>
                  <w:tcW w:w="1368" w:type="pct"/>
                  <w:tcBorders>
                    <w:top w:val="single" w:color="auto" w:sz="4" w:space="0"/>
                    <w:left w:val="single" w:color="auto" w:sz="4" w:space="0"/>
                    <w:bottom w:val="single" w:color="auto" w:sz="4" w:space="0"/>
                    <w:right w:val="single" w:color="auto" w:sz="4" w:space="0"/>
                  </w:tcBorders>
                  <w:vAlign w:val="center"/>
                </w:tcPr>
                <w:p w14:paraId="7ED48411">
                  <w:pPr>
                    <w:adjustRightInd w:val="0"/>
                    <w:snapToGrid w:val="0"/>
                    <w:jc w:val="center"/>
                    <w:rPr>
                      <w:szCs w:val="21"/>
                    </w:rPr>
                  </w:pPr>
                  <w:r>
                    <w:rPr>
                      <w:rFonts w:hint="eastAsia"/>
                      <w:szCs w:val="21"/>
                    </w:rPr>
                    <w:t>本项目为工业项目，不涉及生产性捕捞</w:t>
                  </w:r>
                </w:p>
              </w:tc>
              <w:tc>
                <w:tcPr>
                  <w:tcW w:w="475" w:type="pct"/>
                  <w:tcBorders>
                    <w:top w:val="single" w:color="auto" w:sz="4" w:space="0"/>
                    <w:left w:val="single" w:color="auto" w:sz="4" w:space="0"/>
                    <w:bottom w:val="single" w:color="auto" w:sz="4" w:space="0"/>
                    <w:right w:val="single" w:color="auto" w:sz="4" w:space="0"/>
                  </w:tcBorders>
                  <w:vAlign w:val="center"/>
                </w:tcPr>
                <w:p w14:paraId="1106E550">
                  <w:pPr>
                    <w:adjustRightInd w:val="0"/>
                    <w:snapToGrid w:val="0"/>
                    <w:jc w:val="center"/>
                    <w:rPr>
                      <w:szCs w:val="21"/>
                    </w:rPr>
                  </w:pPr>
                  <w:r>
                    <w:rPr>
                      <w:rFonts w:hint="eastAsia"/>
                      <w:szCs w:val="21"/>
                    </w:rPr>
                    <w:t>符合</w:t>
                  </w:r>
                </w:p>
              </w:tc>
            </w:tr>
            <w:tr w14:paraId="5C9D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7B16DE8F">
                  <w:pPr>
                    <w:adjustRightInd w:val="0"/>
                    <w:snapToGrid w:val="0"/>
                    <w:jc w:val="center"/>
                    <w:rPr>
                      <w:bCs/>
                      <w:szCs w:val="21"/>
                    </w:rPr>
                  </w:pPr>
                  <w:r>
                    <w:rPr>
                      <w:rFonts w:hint="eastAsia"/>
                      <w:bCs/>
                      <w:szCs w:val="21"/>
                    </w:rPr>
                    <w:t>8</w:t>
                  </w:r>
                </w:p>
              </w:tc>
              <w:tc>
                <w:tcPr>
                  <w:tcW w:w="2650" w:type="pct"/>
                  <w:tcBorders>
                    <w:top w:val="single" w:color="auto" w:sz="4" w:space="0"/>
                    <w:left w:val="single" w:color="auto" w:sz="4" w:space="0"/>
                    <w:bottom w:val="single" w:color="auto" w:sz="4" w:space="0"/>
                    <w:right w:val="single" w:color="auto" w:sz="4" w:space="0"/>
                  </w:tcBorders>
                  <w:vAlign w:val="center"/>
                </w:tcPr>
                <w:p w14:paraId="1448F8DC">
                  <w:pPr>
                    <w:adjustRightInd w:val="0"/>
                    <w:snapToGrid w:val="0"/>
                    <w:jc w:val="center"/>
                    <w:rPr>
                      <w:bCs/>
                      <w:szCs w:val="21"/>
                    </w:rPr>
                  </w:pPr>
                  <w:r>
                    <w:rPr>
                      <w:rFonts w:hint="eastAsia"/>
                      <w:bCs/>
                      <w:szCs w:val="21"/>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368" w:type="pct"/>
                  <w:tcBorders>
                    <w:top w:val="single" w:color="auto" w:sz="4" w:space="0"/>
                    <w:left w:val="single" w:color="auto" w:sz="4" w:space="0"/>
                    <w:bottom w:val="single" w:color="auto" w:sz="4" w:space="0"/>
                    <w:right w:val="single" w:color="auto" w:sz="4" w:space="0"/>
                  </w:tcBorders>
                  <w:vAlign w:val="center"/>
                </w:tcPr>
                <w:p w14:paraId="4AE9ACD5">
                  <w:pPr>
                    <w:adjustRightInd w:val="0"/>
                    <w:snapToGrid w:val="0"/>
                    <w:jc w:val="center"/>
                    <w:rPr>
                      <w:szCs w:val="21"/>
                    </w:rPr>
                  </w:pPr>
                  <w:r>
                    <w:rPr>
                      <w:rFonts w:hint="eastAsia"/>
                      <w:szCs w:val="21"/>
                    </w:rPr>
                    <w:t>项目与长江干流最近距离为</w:t>
                  </w:r>
                  <w:r>
                    <w:rPr>
                      <w:rFonts w:hint="eastAsia"/>
                    </w:rPr>
                    <w:t>1</w:t>
                  </w:r>
                  <w:r>
                    <w:t>550m</w:t>
                  </w:r>
                  <w:r>
                    <w:rPr>
                      <w:rFonts w:hint="eastAsia"/>
                    </w:rPr>
                    <w:t>。项目属</w:t>
                  </w:r>
                  <w:r>
                    <w:rPr>
                      <w:rFonts w:hint="eastAsia"/>
                      <w:szCs w:val="21"/>
                    </w:rPr>
                    <w:t>汽车零部件制造项目，不属于化工园区及化工项目，不属于</w:t>
                  </w:r>
                  <w:r>
                    <w:rPr>
                      <w:rFonts w:hint="eastAsia"/>
                      <w:bCs/>
                      <w:szCs w:val="21"/>
                    </w:rPr>
                    <w:t>尾矿库、冶炼渣库和磷石膏库建设项目</w:t>
                  </w:r>
                </w:p>
              </w:tc>
              <w:tc>
                <w:tcPr>
                  <w:tcW w:w="475" w:type="pct"/>
                  <w:tcBorders>
                    <w:top w:val="single" w:color="auto" w:sz="4" w:space="0"/>
                    <w:left w:val="single" w:color="auto" w:sz="4" w:space="0"/>
                    <w:bottom w:val="single" w:color="auto" w:sz="4" w:space="0"/>
                    <w:right w:val="single" w:color="auto" w:sz="4" w:space="0"/>
                  </w:tcBorders>
                  <w:vAlign w:val="center"/>
                </w:tcPr>
                <w:p w14:paraId="4DA08FD5">
                  <w:pPr>
                    <w:adjustRightInd w:val="0"/>
                    <w:snapToGrid w:val="0"/>
                    <w:jc w:val="center"/>
                    <w:rPr>
                      <w:szCs w:val="21"/>
                    </w:rPr>
                  </w:pPr>
                  <w:r>
                    <w:rPr>
                      <w:rFonts w:hint="eastAsia"/>
                      <w:szCs w:val="21"/>
                    </w:rPr>
                    <w:t>符合</w:t>
                  </w:r>
                </w:p>
              </w:tc>
            </w:tr>
            <w:tr w14:paraId="059E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DF5E99C">
                  <w:pPr>
                    <w:adjustRightInd w:val="0"/>
                    <w:snapToGrid w:val="0"/>
                    <w:jc w:val="center"/>
                    <w:rPr>
                      <w:bCs/>
                      <w:szCs w:val="21"/>
                    </w:rPr>
                  </w:pPr>
                  <w:r>
                    <w:rPr>
                      <w:rFonts w:hint="eastAsia"/>
                      <w:bCs/>
                      <w:szCs w:val="21"/>
                    </w:rPr>
                    <w:t>9</w:t>
                  </w:r>
                </w:p>
              </w:tc>
              <w:tc>
                <w:tcPr>
                  <w:tcW w:w="2650" w:type="pct"/>
                  <w:tcBorders>
                    <w:top w:val="single" w:color="auto" w:sz="4" w:space="0"/>
                    <w:left w:val="single" w:color="auto" w:sz="4" w:space="0"/>
                    <w:bottom w:val="single" w:color="auto" w:sz="4" w:space="0"/>
                    <w:right w:val="single" w:color="auto" w:sz="4" w:space="0"/>
                  </w:tcBorders>
                  <w:vAlign w:val="center"/>
                </w:tcPr>
                <w:p w14:paraId="0B0AC2BD">
                  <w:pPr>
                    <w:adjustRightInd w:val="0"/>
                    <w:snapToGrid w:val="0"/>
                    <w:jc w:val="center"/>
                    <w:rPr>
                      <w:bCs/>
                      <w:szCs w:val="21"/>
                    </w:rPr>
                  </w:pPr>
                  <w:r>
                    <w:rPr>
                      <w:rFonts w:hint="eastAsia"/>
                      <w:bCs/>
                      <w:szCs w:val="21"/>
                    </w:rPr>
                    <w:t>禁止在合规园区外新建、扩建钢铁、石化、化工、焦化、建材、有色、制浆造纸等高污染项目。</w:t>
                  </w:r>
                </w:p>
              </w:tc>
              <w:tc>
                <w:tcPr>
                  <w:tcW w:w="1368" w:type="pct"/>
                  <w:tcBorders>
                    <w:top w:val="single" w:color="auto" w:sz="4" w:space="0"/>
                    <w:left w:val="single" w:color="auto" w:sz="4" w:space="0"/>
                    <w:bottom w:val="single" w:color="auto" w:sz="4" w:space="0"/>
                    <w:right w:val="single" w:color="auto" w:sz="4" w:space="0"/>
                  </w:tcBorders>
                  <w:vAlign w:val="center"/>
                </w:tcPr>
                <w:p w14:paraId="22269A26">
                  <w:pPr>
                    <w:adjustRightInd w:val="0"/>
                    <w:snapToGrid w:val="0"/>
                    <w:jc w:val="center"/>
                    <w:rPr>
                      <w:szCs w:val="21"/>
                    </w:rPr>
                  </w:pPr>
                  <w:r>
                    <w:rPr>
                      <w:rFonts w:hint="eastAsia"/>
                    </w:rPr>
                    <w:t>项目属</w:t>
                  </w:r>
                  <w:r>
                    <w:rPr>
                      <w:rFonts w:hint="eastAsia"/>
                      <w:szCs w:val="21"/>
                    </w:rPr>
                    <w:t>汽车零部件制造项目，不属于</w:t>
                  </w:r>
                  <w:r>
                    <w:rPr>
                      <w:rFonts w:hint="eastAsia"/>
                      <w:bCs/>
                      <w:szCs w:val="21"/>
                    </w:rPr>
                    <w:t>钢铁、石化、化工、焦化、建材、有色、制浆造纸等高污染项目</w:t>
                  </w:r>
                </w:p>
              </w:tc>
              <w:tc>
                <w:tcPr>
                  <w:tcW w:w="475" w:type="pct"/>
                  <w:tcBorders>
                    <w:top w:val="single" w:color="auto" w:sz="4" w:space="0"/>
                    <w:left w:val="single" w:color="auto" w:sz="4" w:space="0"/>
                    <w:bottom w:val="single" w:color="auto" w:sz="4" w:space="0"/>
                    <w:right w:val="single" w:color="auto" w:sz="4" w:space="0"/>
                  </w:tcBorders>
                  <w:vAlign w:val="center"/>
                </w:tcPr>
                <w:p w14:paraId="04C070A5">
                  <w:pPr>
                    <w:adjustRightInd w:val="0"/>
                    <w:snapToGrid w:val="0"/>
                    <w:jc w:val="center"/>
                    <w:rPr>
                      <w:szCs w:val="21"/>
                    </w:rPr>
                  </w:pPr>
                  <w:r>
                    <w:rPr>
                      <w:rFonts w:hint="eastAsia"/>
                      <w:szCs w:val="21"/>
                    </w:rPr>
                    <w:t>符合</w:t>
                  </w:r>
                </w:p>
              </w:tc>
            </w:tr>
            <w:tr w14:paraId="0BC1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61D73BD">
                  <w:pPr>
                    <w:adjustRightInd w:val="0"/>
                    <w:snapToGrid w:val="0"/>
                    <w:jc w:val="center"/>
                    <w:rPr>
                      <w:bCs/>
                      <w:szCs w:val="21"/>
                    </w:rPr>
                  </w:pPr>
                  <w:r>
                    <w:rPr>
                      <w:rFonts w:hint="eastAsia"/>
                      <w:bCs/>
                      <w:szCs w:val="21"/>
                    </w:rPr>
                    <w:t>1</w:t>
                  </w:r>
                  <w:r>
                    <w:rPr>
                      <w:bCs/>
                      <w:szCs w:val="21"/>
                    </w:rPr>
                    <w:t>0</w:t>
                  </w:r>
                </w:p>
              </w:tc>
              <w:tc>
                <w:tcPr>
                  <w:tcW w:w="2650" w:type="pct"/>
                  <w:tcBorders>
                    <w:top w:val="single" w:color="auto" w:sz="4" w:space="0"/>
                    <w:left w:val="single" w:color="auto" w:sz="4" w:space="0"/>
                    <w:bottom w:val="single" w:color="auto" w:sz="4" w:space="0"/>
                    <w:right w:val="single" w:color="auto" w:sz="4" w:space="0"/>
                  </w:tcBorders>
                  <w:vAlign w:val="center"/>
                </w:tcPr>
                <w:p w14:paraId="3ECD378C">
                  <w:pPr>
                    <w:adjustRightInd w:val="0"/>
                    <w:snapToGrid w:val="0"/>
                    <w:jc w:val="center"/>
                    <w:rPr>
                      <w:bCs/>
                      <w:szCs w:val="21"/>
                    </w:rPr>
                  </w:pPr>
                  <w:r>
                    <w:rPr>
                      <w:rFonts w:hint="eastAsia"/>
                      <w:bCs/>
                      <w:szCs w:val="21"/>
                    </w:rPr>
                    <w:t>禁止新建、扩建不符合国家石化、现代煤化工等产业布局规划的项目。</w:t>
                  </w:r>
                </w:p>
              </w:tc>
              <w:tc>
                <w:tcPr>
                  <w:tcW w:w="1368" w:type="pct"/>
                  <w:tcBorders>
                    <w:top w:val="single" w:color="auto" w:sz="4" w:space="0"/>
                    <w:left w:val="single" w:color="auto" w:sz="4" w:space="0"/>
                    <w:bottom w:val="single" w:color="auto" w:sz="4" w:space="0"/>
                    <w:right w:val="single" w:color="auto" w:sz="4" w:space="0"/>
                  </w:tcBorders>
                  <w:vAlign w:val="center"/>
                </w:tcPr>
                <w:p w14:paraId="580422DF">
                  <w:pPr>
                    <w:adjustRightInd w:val="0"/>
                    <w:snapToGrid w:val="0"/>
                    <w:jc w:val="center"/>
                    <w:rPr>
                      <w:szCs w:val="21"/>
                    </w:rPr>
                  </w:pPr>
                  <w:r>
                    <w:rPr>
                      <w:rFonts w:hint="eastAsia"/>
                    </w:rPr>
                    <w:t>项目属</w:t>
                  </w:r>
                  <w:r>
                    <w:rPr>
                      <w:rFonts w:hint="eastAsia"/>
                      <w:szCs w:val="21"/>
                    </w:rPr>
                    <w:t>汽车零部件制造项目，不属于</w:t>
                  </w:r>
                  <w:r>
                    <w:rPr>
                      <w:rFonts w:hint="eastAsia"/>
                      <w:bCs/>
                      <w:szCs w:val="21"/>
                    </w:rPr>
                    <w:t>石化、现代煤化工项目</w:t>
                  </w:r>
                </w:p>
              </w:tc>
              <w:tc>
                <w:tcPr>
                  <w:tcW w:w="475" w:type="pct"/>
                  <w:tcBorders>
                    <w:top w:val="single" w:color="auto" w:sz="4" w:space="0"/>
                    <w:left w:val="single" w:color="auto" w:sz="4" w:space="0"/>
                    <w:bottom w:val="single" w:color="auto" w:sz="4" w:space="0"/>
                    <w:right w:val="single" w:color="auto" w:sz="4" w:space="0"/>
                  </w:tcBorders>
                  <w:vAlign w:val="center"/>
                </w:tcPr>
                <w:p w14:paraId="25D932C9">
                  <w:pPr>
                    <w:adjustRightInd w:val="0"/>
                    <w:snapToGrid w:val="0"/>
                    <w:jc w:val="center"/>
                    <w:rPr>
                      <w:szCs w:val="21"/>
                    </w:rPr>
                  </w:pPr>
                  <w:r>
                    <w:rPr>
                      <w:rFonts w:hint="eastAsia"/>
                      <w:szCs w:val="21"/>
                    </w:rPr>
                    <w:t>符合</w:t>
                  </w:r>
                </w:p>
              </w:tc>
            </w:tr>
            <w:tr w14:paraId="4C2E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9F45D6B">
                  <w:pPr>
                    <w:adjustRightInd w:val="0"/>
                    <w:snapToGrid w:val="0"/>
                    <w:jc w:val="center"/>
                    <w:rPr>
                      <w:bCs/>
                      <w:szCs w:val="21"/>
                    </w:rPr>
                  </w:pPr>
                  <w:r>
                    <w:rPr>
                      <w:rFonts w:hint="eastAsia"/>
                      <w:bCs/>
                      <w:szCs w:val="21"/>
                    </w:rPr>
                    <w:t>1</w:t>
                  </w:r>
                  <w:r>
                    <w:rPr>
                      <w:bCs/>
                      <w:szCs w:val="21"/>
                    </w:rPr>
                    <w:t>1</w:t>
                  </w:r>
                </w:p>
              </w:tc>
              <w:tc>
                <w:tcPr>
                  <w:tcW w:w="2650" w:type="pct"/>
                  <w:tcBorders>
                    <w:top w:val="single" w:color="auto" w:sz="4" w:space="0"/>
                    <w:left w:val="single" w:color="auto" w:sz="4" w:space="0"/>
                    <w:bottom w:val="single" w:color="auto" w:sz="4" w:space="0"/>
                    <w:right w:val="single" w:color="auto" w:sz="4" w:space="0"/>
                  </w:tcBorders>
                  <w:vAlign w:val="center"/>
                </w:tcPr>
                <w:p w14:paraId="4E8E37B8">
                  <w:pPr>
                    <w:adjustRightInd w:val="0"/>
                    <w:snapToGrid w:val="0"/>
                    <w:jc w:val="center"/>
                    <w:rPr>
                      <w:bCs/>
                      <w:szCs w:val="21"/>
                    </w:rPr>
                  </w:pPr>
                  <w:r>
                    <w:rPr>
                      <w:rFonts w:hint="eastAsia"/>
                      <w:bCs/>
                      <w:szCs w:val="21"/>
                    </w:rPr>
                    <w:t>禁止新建、扩建法律法规和相关政策明令禁止的落后产能项目。禁止新建、扩建不符合国家产能置换要求的严重过剩产能行业的项目。禁止新建、扩建不符合要求的高耗能高排放项目。</w:t>
                  </w:r>
                </w:p>
              </w:tc>
              <w:tc>
                <w:tcPr>
                  <w:tcW w:w="1368" w:type="pct"/>
                  <w:tcBorders>
                    <w:top w:val="single" w:color="auto" w:sz="4" w:space="0"/>
                    <w:left w:val="single" w:color="auto" w:sz="4" w:space="0"/>
                    <w:bottom w:val="single" w:color="auto" w:sz="4" w:space="0"/>
                    <w:right w:val="single" w:color="auto" w:sz="4" w:space="0"/>
                  </w:tcBorders>
                  <w:vAlign w:val="center"/>
                </w:tcPr>
                <w:p w14:paraId="4F0CC34B">
                  <w:pPr>
                    <w:adjustRightInd w:val="0"/>
                    <w:snapToGrid w:val="0"/>
                    <w:jc w:val="center"/>
                    <w:rPr>
                      <w:szCs w:val="21"/>
                    </w:rPr>
                  </w:pPr>
                  <w:r>
                    <w:rPr>
                      <w:rFonts w:hint="eastAsia"/>
                    </w:rPr>
                    <w:t>项目属</w:t>
                  </w:r>
                  <w:r>
                    <w:rPr>
                      <w:rFonts w:hint="eastAsia"/>
                      <w:szCs w:val="21"/>
                    </w:rPr>
                    <w:t>汽车零部件制造项目，不属于落后产能项目，不属于</w:t>
                  </w:r>
                  <w:r>
                    <w:rPr>
                      <w:rFonts w:hint="eastAsia"/>
                      <w:bCs/>
                      <w:szCs w:val="21"/>
                    </w:rPr>
                    <w:t>严重过剩产能行业的项目，不属于高耗能高排放项目。</w:t>
                  </w:r>
                </w:p>
              </w:tc>
              <w:tc>
                <w:tcPr>
                  <w:tcW w:w="475" w:type="pct"/>
                  <w:tcBorders>
                    <w:top w:val="single" w:color="auto" w:sz="4" w:space="0"/>
                    <w:left w:val="single" w:color="auto" w:sz="4" w:space="0"/>
                    <w:bottom w:val="single" w:color="auto" w:sz="4" w:space="0"/>
                    <w:right w:val="single" w:color="auto" w:sz="4" w:space="0"/>
                  </w:tcBorders>
                  <w:vAlign w:val="center"/>
                </w:tcPr>
                <w:p w14:paraId="4ED01976">
                  <w:pPr>
                    <w:adjustRightInd w:val="0"/>
                    <w:snapToGrid w:val="0"/>
                    <w:jc w:val="center"/>
                    <w:rPr>
                      <w:szCs w:val="21"/>
                    </w:rPr>
                  </w:pPr>
                  <w:r>
                    <w:rPr>
                      <w:rFonts w:hint="eastAsia"/>
                      <w:szCs w:val="21"/>
                    </w:rPr>
                    <w:t>符合</w:t>
                  </w:r>
                </w:p>
              </w:tc>
            </w:tr>
            <w:tr w14:paraId="36AB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40C0A14">
                  <w:pPr>
                    <w:adjustRightInd w:val="0"/>
                    <w:snapToGrid w:val="0"/>
                    <w:jc w:val="center"/>
                    <w:rPr>
                      <w:bCs/>
                      <w:szCs w:val="21"/>
                    </w:rPr>
                  </w:pPr>
                  <w:r>
                    <w:rPr>
                      <w:rFonts w:hint="eastAsia"/>
                      <w:bCs/>
                      <w:szCs w:val="21"/>
                    </w:rPr>
                    <w:t>1</w:t>
                  </w:r>
                  <w:r>
                    <w:rPr>
                      <w:bCs/>
                      <w:szCs w:val="21"/>
                    </w:rPr>
                    <w:t>2</w:t>
                  </w:r>
                </w:p>
              </w:tc>
              <w:tc>
                <w:tcPr>
                  <w:tcW w:w="2650" w:type="pct"/>
                  <w:tcBorders>
                    <w:top w:val="single" w:color="auto" w:sz="4" w:space="0"/>
                    <w:left w:val="single" w:color="auto" w:sz="4" w:space="0"/>
                    <w:bottom w:val="single" w:color="auto" w:sz="4" w:space="0"/>
                    <w:right w:val="single" w:color="auto" w:sz="4" w:space="0"/>
                  </w:tcBorders>
                  <w:vAlign w:val="center"/>
                </w:tcPr>
                <w:p w14:paraId="574DDD55">
                  <w:pPr>
                    <w:adjustRightInd w:val="0"/>
                    <w:snapToGrid w:val="0"/>
                    <w:jc w:val="center"/>
                    <w:rPr>
                      <w:bCs/>
                      <w:szCs w:val="21"/>
                    </w:rPr>
                  </w:pPr>
                  <w:r>
                    <w:rPr>
                      <w:rFonts w:hint="eastAsia"/>
                      <w:bCs/>
                      <w:szCs w:val="21"/>
                    </w:rPr>
                    <w:t>法律法规及相关政策文件有更加严格规定的从其规定。</w:t>
                  </w:r>
                </w:p>
              </w:tc>
              <w:tc>
                <w:tcPr>
                  <w:tcW w:w="1368" w:type="pct"/>
                  <w:tcBorders>
                    <w:top w:val="single" w:color="auto" w:sz="4" w:space="0"/>
                    <w:left w:val="single" w:color="auto" w:sz="4" w:space="0"/>
                    <w:bottom w:val="single" w:color="auto" w:sz="4" w:space="0"/>
                    <w:right w:val="single" w:color="auto" w:sz="4" w:space="0"/>
                  </w:tcBorders>
                  <w:vAlign w:val="center"/>
                </w:tcPr>
                <w:p w14:paraId="6B53E171">
                  <w:pPr>
                    <w:adjustRightInd w:val="0"/>
                    <w:snapToGrid w:val="0"/>
                    <w:jc w:val="center"/>
                    <w:rPr>
                      <w:szCs w:val="21"/>
                    </w:rPr>
                  </w:pPr>
                  <w:r>
                    <w:rPr>
                      <w:rFonts w:hint="eastAsia"/>
                      <w:szCs w:val="21"/>
                    </w:rPr>
                    <w:t>本项目不涉及</w:t>
                  </w:r>
                </w:p>
              </w:tc>
              <w:tc>
                <w:tcPr>
                  <w:tcW w:w="475" w:type="pct"/>
                  <w:tcBorders>
                    <w:top w:val="single" w:color="auto" w:sz="4" w:space="0"/>
                    <w:left w:val="single" w:color="auto" w:sz="4" w:space="0"/>
                    <w:bottom w:val="single" w:color="auto" w:sz="4" w:space="0"/>
                    <w:right w:val="single" w:color="auto" w:sz="4" w:space="0"/>
                  </w:tcBorders>
                  <w:vAlign w:val="center"/>
                </w:tcPr>
                <w:p w14:paraId="37B5467D">
                  <w:pPr>
                    <w:adjustRightInd w:val="0"/>
                    <w:snapToGrid w:val="0"/>
                    <w:jc w:val="center"/>
                    <w:rPr>
                      <w:szCs w:val="21"/>
                    </w:rPr>
                  </w:pPr>
                  <w:r>
                    <w:rPr>
                      <w:rFonts w:hint="eastAsia"/>
                      <w:szCs w:val="21"/>
                    </w:rPr>
                    <w:t>符合</w:t>
                  </w:r>
                </w:p>
              </w:tc>
            </w:tr>
          </w:tbl>
          <w:p w14:paraId="6CBCEEA0">
            <w:pPr>
              <w:spacing w:line="360" w:lineRule="auto"/>
              <w:ind w:firstLine="480" w:firstLineChars="200"/>
              <w:rPr>
                <w:sz w:val="24"/>
                <w:szCs w:val="26"/>
              </w:rPr>
            </w:pPr>
            <w:r>
              <w:rPr>
                <w:rFonts w:hint="eastAsia"/>
                <w:sz w:val="24"/>
                <w:szCs w:val="26"/>
              </w:rPr>
              <w:t>综上，项目符合《关于印发&lt;长江经济带发展负面清单指南（试行，2022年版）的通知》(长江办[2022]7号)中相关要求。</w:t>
            </w:r>
          </w:p>
          <w:p w14:paraId="23D35292">
            <w:pPr>
              <w:spacing w:line="360" w:lineRule="auto"/>
              <w:rPr>
                <w:b/>
                <w:bCs/>
                <w:sz w:val="24"/>
              </w:rPr>
            </w:pPr>
            <w:r>
              <w:rPr>
                <w:rFonts w:hint="eastAsia"/>
                <w:b/>
                <w:bCs/>
                <w:sz w:val="24"/>
              </w:rPr>
              <w:t>6、项目与《中华人民共和国长江保护法》的符合性分析</w:t>
            </w:r>
          </w:p>
          <w:p w14:paraId="3C264F95">
            <w:pPr>
              <w:autoSpaceDE w:val="0"/>
              <w:autoSpaceDN w:val="0"/>
              <w:adjustRightInd w:val="0"/>
              <w:snapToGrid w:val="0"/>
              <w:spacing w:line="360" w:lineRule="auto"/>
              <w:ind w:firstLine="480" w:firstLineChars="200"/>
              <w:rPr>
                <w:rFonts w:ascii="宋体" w:hAnsi="宋体"/>
                <w:bCs/>
                <w:kern w:val="0"/>
                <w:sz w:val="24"/>
              </w:rPr>
            </w:pPr>
            <w:r>
              <w:rPr>
                <w:rFonts w:hint="eastAsia"/>
                <w:bCs/>
                <w:kern w:val="0"/>
                <w:sz w:val="24"/>
              </w:rPr>
              <w:t>《中华人民共和国长江保护法》要求：</w:t>
            </w:r>
            <w:r>
              <w:rPr>
                <w:rFonts w:hint="eastAsia" w:ascii="宋体" w:hAnsi="宋体"/>
                <w:bCs/>
                <w:kern w:val="0"/>
                <w:sz w:val="24"/>
              </w:rPr>
              <w:t>“</w:t>
            </w:r>
            <w:r>
              <w:rPr>
                <w:rFonts w:hint="eastAsia" w:ascii="宋体" w:hAnsi="宋体"/>
                <w:sz w:val="24"/>
              </w:rPr>
              <w:t>禁止在长江干支流岸线一公里范围内新建、扩建化工园区和化工项目…禁止在长江干流岸线三公里范围内和重要支流岸线一公里范围内新建、改建、扩建尾矿库…严格控制高耗水项目建设。</w:t>
            </w:r>
            <w:r>
              <w:rPr>
                <w:rFonts w:hint="eastAsia" w:ascii="宋体" w:hAnsi="宋体"/>
                <w:bCs/>
                <w:kern w:val="0"/>
                <w:sz w:val="24"/>
              </w:rPr>
              <w:t>”</w:t>
            </w:r>
          </w:p>
          <w:p w14:paraId="0E03FE03">
            <w:pPr>
              <w:autoSpaceDE w:val="0"/>
              <w:autoSpaceDN w:val="0"/>
              <w:adjustRightInd w:val="0"/>
              <w:snapToGrid w:val="0"/>
              <w:spacing w:line="360" w:lineRule="auto"/>
              <w:ind w:firstLine="480" w:firstLineChars="200"/>
              <w:jc w:val="left"/>
              <w:rPr>
                <w:rFonts w:eastAsia="等线"/>
                <w:sz w:val="24"/>
                <w:highlight w:val="yellow"/>
              </w:rPr>
            </w:pPr>
            <w:r>
              <w:rPr>
                <w:rFonts w:hint="eastAsia"/>
                <w:kern w:val="0"/>
                <w:sz w:val="24"/>
              </w:rPr>
              <w:t>本项目属汽车销售维修项目，不属于化工项目和化工园区，不属于</w:t>
            </w:r>
            <w:r>
              <w:rPr>
                <w:rFonts w:hint="eastAsia"/>
                <w:sz w:val="24"/>
              </w:rPr>
              <w:t>新建、改建、扩建</w:t>
            </w:r>
            <w:r>
              <w:rPr>
                <w:rFonts w:hint="eastAsia"/>
                <w:kern w:val="0"/>
                <w:sz w:val="24"/>
              </w:rPr>
              <w:t>尾矿库项目；项目距长江最近距离为约</w:t>
            </w:r>
            <w:r>
              <w:rPr>
                <w:kern w:val="0"/>
                <w:sz w:val="24"/>
              </w:rPr>
              <w:t>1550m</w:t>
            </w:r>
            <w:r>
              <w:rPr>
                <w:rFonts w:hint="eastAsia"/>
                <w:kern w:val="0"/>
                <w:sz w:val="24"/>
              </w:rPr>
              <w:t>，项目不在</w:t>
            </w:r>
            <w:r>
              <w:rPr>
                <w:rFonts w:hint="eastAsia"/>
                <w:sz w:val="24"/>
              </w:rPr>
              <w:t>长江干支流岸线一公里范围内。根据水平衡分析可知，项目最大用水量为</w:t>
            </w:r>
            <w:r>
              <w:rPr>
                <w:rFonts w:eastAsia="等线"/>
                <w:sz w:val="24"/>
              </w:rPr>
              <w:t>106.66</w:t>
            </w:r>
            <w:r>
              <w:rPr>
                <w:sz w:val="24"/>
              </w:rPr>
              <w:t>m</w:t>
            </w:r>
            <w:r>
              <w:rPr>
                <w:sz w:val="24"/>
                <w:vertAlign w:val="superscript"/>
              </w:rPr>
              <w:t>3</w:t>
            </w:r>
            <w:r>
              <w:rPr>
                <w:sz w:val="24"/>
              </w:rPr>
              <w:t>/</w:t>
            </w:r>
            <w:r>
              <w:rPr>
                <w:rFonts w:hint="eastAsia"/>
                <w:sz w:val="24"/>
              </w:rPr>
              <w:t>d，</w:t>
            </w:r>
          </w:p>
          <w:p w14:paraId="7767351F">
            <w:pPr>
              <w:spacing w:line="360" w:lineRule="auto"/>
              <w:jc w:val="left"/>
              <w:rPr>
                <w:kern w:val="0"/>
                <w:sz w:val="24"/>
              </w:rPr>
            </w:pPr>
            <w:r>
              <w:rPr>
                <w:rFonts w:eastAsia="等线"/>
                <w:sz w:val="24"/>
              </w:rPr>
              <w:t>34099.84</w:t>
            </w:r>
            <w:r>
              <w:rPr>
                <w:sz w:val="24"/>
              </w:rPr>
              <w:t>m</w:t>
            </w:r>
            <w:r>
              <w:rPr>
                <w:sz w:val="24"/>
                <w:vertAlign w:val="superscript"/>
              </w:rPr>
              <w:t>3</w:t>
            </w:r>
            <w:r>
              <w:rPr>
                <w:sz w:val="24"/>
              </w:rPr>
              <w:t>/</w:t>
            </w:r>
            <w:r>
              <w:rPr>
                <w:rFonts w:hint="eastAsia"/>
                <w:sz w:val="24"/>
              </w:rPr>
              <w:t>a，项目用水量较少，不属于高耗水项目。</w:t>
            </w:r>
          </w:p>
          <w:p w14:paraId="10440B0C">
            <w:pPr>
              <w:spacing w:line="360" w:lineRule="auto"/>
              <w:rPr>
                <w:b/>
                <w:bCs/>
                <w:sz w:val="24"/>
              </w:rPr>
            </w:pPr>
            <w:r>
              <w:rPr>
                <w:b/>
                <w:bCs/>
                <w:sz w:val="24"/>
              </w:rPr>
              <w:t>7</w:t>
            </w:r>
            <w:r>
              <w:rPr>
                <w:rFonts w:hint="eastAsia"/>
                <w:b/>
                <w:bCs/>
                <w:sz w:val="24"/>
              </w:rPr>
              <w:t>、与《重庆市工业项目环境准入规定》、《重庆市产业投资准入工作手册》、《</w:t>
            </w:r>
            <w:r>
              <w:rPr>
                <w:b/>
                <w:bCs/>
                <w:sz w:val="24"/>
              </w:rPr>
              <w:t>关于严格工业布局和准入的通知》和</w:t>
            </w:r>
            <w:r>
              <w:rPr>
                <w:rFonts w:hint="eastAsia"/>
                <w:b/>
                <w:bCs/>
                <w:sz w:val="24"/>
              </w:rPr>
              <w:t>《市场准入负面清单（2022年版）》</w:t>
            </w:r>
            <w:r>
              <w:rPr>
                <w:b/>
                <w:bCs/>
                <w:sz w:val="24"/>
              </w:rPr>
              <w:t>符合性分析</w:t>
            </w:r>
          </w:p>
          <w:p w14:paraId="20C3ADDD">
            <w:pPr>
              <w:pStyle w:val="54"/>
              <w:spacing w:line="360" w:lineRule="auto"/>
              <w:ind w:firstLine="480" w:firstLineChars="200"/>
              <w:jc w:val="both"/>
              <w:rPr>
                <w:rFonts w:ascii="Times New Roman" w:hAnsi="Times New Roman" w:cs="Times New Roman"/>
                <w:bCs/>
                <w:color w:val="auto"/>
              </w:rPr>
            </w:pPr>
            <w:r>
              <w:rPr>
                <w:rFonts w:ascii="Times New Roman" w:hAnsi="Times New Roman" w:cs="Times New Roman"/>
                <w:bCs/>
                <w:color w:val="auto"/>
              </w:rPr>
              <w:t>项目为汽车零部件及其配件制造业，符合国家现行产业政策，项目不涉及生态红线，项目所在区域环境质量满足各环境要素功能区要求，不属于</w:t>
            </w:r>
            <w:r>
              <w:rPr>
                <w:rFonts w:hint="eastAsia" w:ascii="Times New Roman" w:hAnsi="Times New Roman" w:cs="Times New Roman"/>
                <w:bCs/>
                <w:color w:val="auto"/>
              </w:rPr>
              <w:t>《市场准入负面清单（2022年版）》中规定的</w:t>
            </w:r>
            <w:r>
              <w:rPr>
                <w:rFonts w:ascii="Times New Roman" w:hAnsi="Times New Roman" w:cs="Times New Roman"/>
                <w:bCs/>
                <w:color w:val="auto"/>
              </w:rPr>
              <w:t>禁止准入类项目。故项目符合《重庆市工业项目环境准入规定》（渝办发[2012]142号）、《重庆市产业投资准入工作手册》</w:t>
            </w:r>
            <w:r>
              <w:rPr>
                <w:rFonts w:hint="eastAsia" w:ascii="Times New Roman" w:hAnsi="Times New Roman" w:cs="Times New Roman"/>
                <w:bCs/>
                <w:color w:val="auto"/>
              </w:rPr>
              <w:t>（渝发改投[2018]541号）</w:t>
            </w:r>
            <w:r>
              <w:rPr>
                <w:rFonts w:ascii="Times New Roman" w:hAnsi="Times New Roman" w:cs="Times New Roman"/>
                <w:bCs/>
                <w:color w:val="auto"/>
              </w:rPr>
              <w:t>及《关于严格工业布局和准入的通知》（渝发改工[2018]781号）文件的准入要求。</w:t>
            </w:r>
          </w:p>
          <w:p w14:paraId="7A450D0C">
            <w:pPr>
              <w:spacing w:line="360" w:lineRule="auto"/>
              <w:ind w:firstLine="480" w:firstLineChars="200"/>
              <w:rPr>
                <w:bCs/>
                <w:sz w:val="24"/>
              </w:rPr>
            </w:pPr>
          </w:p>
          <w:p w14:paraId="7DA6E166">
            <w:pPr>
              <w:spacing w:line="360" w:lineRule="auto"/>
              <w:ind w:firstLine="480" w:firstLineChars="200"/>
              <w:rPr>
                <w:bCs/>
                <w:sz w:val="24"/>
              </w:rPr>
            </w:pPr>
          </w:p>
          <w:p w14:paraId="73EB67C0">
            <w:pPr>
              <w:spacing w:line="360" w:lineRule="auto"/>
              <w:ind w:firstLine="480" w:firstLineChars="200"/>
              <w:rPr>
                <w:bCs/>
                <w:sz w:val="24"/>
              </w:rPr>
            </w:pPr>
          </w:p>
          <w:p w14:paraId="44527332">
            <w:pPr>
              <w:spacing w:line="360" w:lineRule="auto"/>
              <w:ind w:firstLine="480" w:firstLineChars="200"/>
              <w:rPr>
                <w:bCs/>
                <w:sz w:val="24"/>
              </w:rPr>
            </w:pPr>
          </w:p>
          <w:p w14:paraId="17E49137">
            <w:pPr>
              <w:spacing w:line="360" w:lineRule="auto"/>
              <w:ind w:firstLine="480" w:firstLineChars="200"/>
              <w:rPr>
                <w:bCs/>
                <w:sz w:val="24"/>
              </w:rPr>
            </w:pPr>
          </w:p>
          <w:p w14:paraId="1E7D1074">
            <w:pPr>
              <w:spacing w:line="360" w:lineRule="auto"/>
              <w:ind w:firstLine="480" w:firstLineChars="200"/>
              <w:rPr>
                <w:bCs/>
                <w:sz w:val="24"/>
              </w:rPr>
            </w:pPr>
          </w:p>
          <w:p w14:paraId="5C3C5493">
            <w:pPr>
              <w:spacing w:line="360" w:lineRule="auto"/>
              <w:ind w:firstLine="480" w:firstLineChars="200"/>
              <w:rPr>
                <w:bCs/>
                <w:sz w:val="24"/>
              </w:rPr>
            </w:pPr>
          </w:p>
          <w:p w14:paraId="01DAC5E4">
            <w:pPr>
              <w:spacing w:line="360" w:lineRule="auto"/>
              <w:ind w:firstLine="480" w:firstLineChars="200"/>
              <w:rPr>
                <w:bCs/>
                <w:sz w:val="24"/>
              </w:rPr>
            </w:pPr>
          </w:p>
          <w:p w14:paraId="063AD8D7">
            <w:pPr>
              <w:spacing w:line="360" w:lineRule="auto"/>
              <w:ind w:firstLine="480" w:firstLineChars="200"/>
              <w:rPr>
                <w:bCs/>
                <w:sz w:val="24"/>
              </w:rPr>
            </w:pPr>
          </w:p>
          <w:p w14:paraId="6AD1282C">
            <w:pPr>
              <w:spacing w:line="360" w:lineRule="auto"/>
              <w:ind w:firstLine="420" w:firstLineChars="200"/>
              <w:rPr>
                <w:kern w:val="0"/>
                <w:szCs w:val="21"/>
              </w:rPr>
            </w:pPr>
          </w:p>
        </w:tc>
      </w:tr>
    </w:tbl>
    <w:p w14:paraId="15074BC0">
      <w:pPr>
        <w:spacing w:line="360" w:lineRule="auto"/>
        <w:outlineLvl w:val="0"/>
        <w:rPr>
          <w:sz w:val="30"/>
        </w:rPr>
        <w:sectPr>
          <w:footerReference r:id="rId3" w:type="default"/>
          <w:pgSz w:w="11906" w:h="16838"/>
          <w:pgMar w:top="1701" w:right="1531" w:bottom="1701" w:left="1531" w:header="851" w:footer="1077" w:gutter="0"/>
          <w:pgNumType w:start="1"/>
          <w:cols w:space="720" w:num="1"/>
          <w:docGrid w:linePitch="312" w:charSpace="0"/>
        </w:sectPr>
      </w:pPr>
    </w:p>
    <w:p w14:paraId="3AC201D9">
      <w:pPr>
        <w:pStyle w:val="24"/>
        <w:jc w:val="center"/>
        <w:outlineLvl w:val="0"/>
        <w:rPr>
          <w:rFonts w:ascii="Times New Roman" w:hAnsi="Times New Roman"/>
          <w:snapToGrid w:val="0"/>
          <w:sz w:val="30"/>
          <w:szCs w:val="30"/>
        </w:rPr>
      </w:pPr>
      <w:r>
        <w:rPr>
          <w:rFonts w:ascii="Times New Roman" w:hAnsi="Times New Roman"/>
          <w:snapToGrid w:val="0"/>
          <w:sz w:val="30"/>
          <w:szCs w:val="30"/>
        </w:rPr>
        <w:t>二、建设项目工程分析</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637"/>
      </w:tblGrid>
      <w:tr w14:paraId="1DEE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23" w:type="dxa"/>
            <w:vAlign w:val="center"/>
          </w:tcPr>
          <w:p w14:paraId="726BCA7A">
            <w:pPr>
              <w:pStyle w:val="24"/>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8637" w:type="dxa"/>
          </w:tcPr>
          <w:p w14:paraId="1A372D23">
            <w:pPr>
              <w:adjustRightInd w:val="0"/>
              <w:snapToGrid w:val="0"/>
              <w:spacing w:line="360" w:lineRule="auto"/>
              <w:jc w:val="left"/>
              <w:rPr>
                <w:b/>
                <w:bCs/>
                <w:sz w:val="24"/>
              </w:rPr>
            </w:pPr>
            <w:r>
              <w:rPr>
                <w:b/>
                <w:bCs/>
                <w:sz w:val="24"/>
              </w:rPr>
              <w:t>1、项目由来</w:t>
            </w:r>
          </w:p>
          <w:p w14:paraId="42EFAB91">
            <w:pPr>
              <w:spacing w:line="360" w:lineRule="auto"/>
              <w:ind w:firstLine="480" w:firstLineChars="200"/>
              <w:rPr>
                <w:sz w:val="24"/>
              </w:rPr>
            </w:pPr>
            <w:r>
              <w:rPr>
                <w:rFonts w:hint="eastAsia"/>
                <w:sz w:val="24"/>
              </w:rPr>
              <w:t>重庆渝湘精密机械有限公司（以下简称“渝湘公司”）成立于2015年1月28日，位于重庆市涪陵李渡新区盘龙路36号，是一家专门生产汽车空调压缩机压铸件的企业。</w:t>
            </w:r>
            <w:r>
              <w:rPr>
                <w:rFonts w:hint="eastAsia"/>
                <w:bCs/>
                <w:sz w:val="24"/>
              </w:rPr>
              <w:t>2</w:t>
            </w:r>
            <w:r>
              <w:rPr>
                <w:bCs/>
                <w:sz w:val="24"/>
              </w:rPr>
              <w:t>019</w:t>
            </w:r>
            <w:r>
              <w:rPr>
                <w:rFonts w:hint="eastAsia"/>
                <w:bCs/>
                <w:sz w:val="24"/>
              </w:rPr>
              <w:t>年8月，</w:t>
            </w:r>
            <w:r>
              <w:rPr>
                <w:rFonts w:hint="eastAsia"/>
                <w:sz w:val="24"/>
              </w:rPr>
              <w:t>重庆渝湘精密机械有限公司</w:t>
            </w:r>
            <w:r>
              <w:rPr>
                <w:rFonts w:hint="eastAsia"/>
                <w:kern w:val="0"/>
                <w:sz w:val="24"/>
              </w:rPr>
              <w:t>租赁重庆剑涛铝业有限公司闲置厂房4540m</w:t>
            </w:r>
            <w:r>
              <w:rPr>
                <w:rFonts w:hint="eastAsia"/>
                <w:kern w:val="0"/>
                <w:sz w:val="24"/>
                <w:vertAlign w:val="superscript"/>
              </w:rPr>
              <w:t>2</w:t>
            </w:r>
            <w:r>
              <w:rPr>
                <w:rFonts w:hint="eastAsia"/>
                <w:sz w:val="24"/>
              </w:rPr>
              <w:t>建设“年产500万件铝合金汽车压铸件项目”</w:t>
            </w:r>
            <w:r>
              <w:rPr>
                <w:sz w:val="24"/>
              </w:rPr>
              <w:t>，</w:t>
            </w:r>
            <w:r>
              <w:rPr>
                <w:rFonts w:hint="eastAsia"/>
                <w:sz w:val="24"/>
              </w:rPr>
              <w:t>该项目建设压铸线、抛丸线、机加工线等生产线，年产汽车用空调压缩机缸体、前盖、后盖、机壳及支架各100万件/年。项目于</w:t>
            </w:r>
            <w:r>
              <w:rPr>
                <w:kern w:val="0"/>
                <w:sz w:val="24"/>
              </w:rPr>
              <w:t>2019</w:t>
            </w:r>
            <w:r>
              <w:rPr>
                <w:rFonts w:hint="eastAsia"/>
                <w:kern w:val="0"/>
                <w:sz w:val="24"/>
              </w:rPr>
              <w:t>年</w:t>
            </w:r>
            <w:r>
              <w:rPr>
                <w:kern w:val="0"/>
                <w:sz w:val="24"/>
              </w:rPr>
              <w:t>11</w:t>
            </w:r>
            <w:r>
              <w:rPr>
                <w:rFonts w:hint="eastAsia"/>
                <w:kern w:val="0"/>
                <w:sz w:val="24"/>
              </w:rPr>
              <w:t>月委托中煤科工重庆设计研究院（集团）有限公司编制完成了《年产500万件铝合金汽车压铸件项目环境影响报告表》，并于2</w:t>
            </w:r>
            <w:r>
              <w:rPr>
                <w:kern w:val="0"/>
                <w:sz w:val="24"/>
              </w:rPr>
              <w:t>019</w:t>
            </w:r>
            <w:r>
              <w:rPr>
                <w:rFonts w:hint="eastAsia"/>
                <w:kern w:val="0"/>
                <w:sz w:val="24"/>
              </w:rPr>
              <w:t>年1</w:t>
            </w:r>
            <w:r>
              <w:rPr>
                <w:kern w:val="0"/>
                <w:sz w:val="24"/>
              </w:rPr>
              <w:t>2</w:t>
            </w:r>
            <w:r>
              <w:rPr>
                <w:rFonts w:hint="eastAsia"/>
                <w:kern w:val="0"/>
                <w:sz w:val="24"/>
              </w:rPr>
              <w:t>月取得了涪陵区生态环境局下发的环评批复（渝（涪）环准〔201</w:t>
            </w:r>
            <w:r>
              <w:rPr>
                <w:kern w:val="0"/>
                <w:sz w:val="24"/>
              </w:rPr>
              <w:t>9</w:t>
            </w:r>
            <w:r>
              <w:rPr>
                <w:rFonts w:hint="eastAsia"/>
                <w:kern w:val="0"/>
                <w:sz w:val="24"/>
              </w:rPr>
              <w:t>〕</w:t>
            </w:r>
            <w:r>
              <w:rPr>
                <w:kern w:val="0"/>
                <w:sz w:val="24"/>
              </w:rPr>
              <w:t>120</w:t>
            </w:r>
            <w:r>
              <w:rPr>
                <w:rFonts w:hint="eastAsia"/>
                <w:kern w:val="0"/>
                <w:sz w:val="24"/>
              </w:rPr>
              <w:t>号）。</w:t>
            </w:r>
          </w:p>
          <w:p w14:paraId="2C9A9A3B">
            <w:pPr>
              <w:spacing w:line="360" w:lineRule="auto"/>
              <w:ind w:firstLine="480" w:firstLineChars="200"/>
              <w:rPr>
                <w:kern w:val="0"/>
                <w:sz w:val="24"/>
              </w:rPr>
            </w:pPr>
            <w:r>
              <w:rPr>
                <w:rFonts w:hint="eastAsia"/>
                <w:sz w:val="24"/>
              </w:rPr>
              <w:t>原项目在实际建设过程中，拟在抛丸线之后增加无铬钝化线，在机加工线之后增加浸渗生产线，属《关于印发&lt;污染影响类建设项目重大变动清单（试行）&gt;的通知》（环办环评函〔2020〕688号）中规定的重大变动。因此，项目于2021年3月委托</w:t>
            </w:r>
            <w:r>
              <w:rPr>
                <w:rFonts w:hint="eastAsia"/>
                <w:kern w:val="0"/>
                <w:sz w:val="24"/>
              </w:rPr>
              <w:t>中煤科工重庆设计研究院（集团）有限公司重新编制完成了《年产500万件铝合金汽车压铸件项目环境影响报告表》，并于</w:t>
            </w:r>
            <w:r>
              <w:rPr>
                <w:kern w:val="0"/>
                <w:sz w:val="24"/>
              </w:rPr>
              <w:t>2021</w:t>
            </w:r>
            <w:r>
              <w:rPr>
                <w:rFonts w:hint="eastAsia"/>
                <w:kern w:val="0"/>
                <w:sz w:val="24"/>
              </w:rPr>
              <w:t>年</w:t>
            </w:r>
            <w:r>
              <w:rPr>
                <w:kern w:val="0"/>
                <w:sz w:val="24"/>
              </w:rPr>
              <w:t>3</w:t>
            </w:r>
            <w:r>
              <w:rPr>
                <w:rFonts w:hint="eastAsia"/>
                <w:kern w:val="0"/>
                <w:sz w:val="24"/>
              </w:rPr>
              <w:t>月取得了涪陵区生态环境局下发的环评批复渝（涪）环准(2021) 037号。项目实际建设了浸渗生产线，未建设无铬钝化生产线，目前该项目正常生产运行。</w:t>
            </w:r>
          </w:p>
          <w:p w14:paraId="33766649">
            <w:pPr>
              <w:spacing w:line="360" w:lineRule="auto"/>
              <w:ind w:firstLine="480" w:firstLineChars="200"/>
              <w:rPr>
                <w:kern w:val="0"/>
                <w:sz w:val="24"/>
              </w:rPr>
            </w:pPr>
            <w:r>
              <w:rPr>
                <w:rFonts w:hint="eastAsia"/>
                <w:sz w:val="24"/>
              </w:rPr>
              <w:t>2</w:t>
            </w:r>
            <w:r>
              <w:rPr>
                <w:sz w:val="24"/>
              </w:rPr>
              <w:t>021</w:t>
            </w:r>
            <w:r>
              <w:rPr>
                <w:rFonts w:hint="eastAsia"/>
                <w:sz w:val="24"/>
              </w:rPr>
              <w:t>年</w:t>
            </w:r>
            <w:r>
              <w:rPr>
                <w:sz w:val="24"/>
              </w:rPr>
              <w:t>5</w:t>
            </w:r>
            <w:r>
              <w:rPr>
                <w:rFonts w:hint="eastAsia"/>
                <w:sz w:val="24"/>
              </w:rPr>
              <w:t>月1</w:t>
            </w:r>
            <w:r>
              <w:rPr>
                <w:sz w:val="24"/>
              </w:rPr>
              <w:t>9</w:t>
            </w:r>
            <w:r>
              <w:rPr>
                <w:rFonts w:hint="eastAsia"/>
                <w:sz w:val="24"/>
              </w:rPr>
              <w:t>日，原项目</w:t>
            </w:r>
            <w:r>
              <w:rPr>
                <w:sz w:val="24"/>
              </w:rPr>
              <w:t>通过</w:t>
            </w:r>
            <w:r>
              <w:rPr>
                <w:rFonts w:hint="eastAsia"/>
                <w:sz w:val="24"/>
              </w:rPr>
              <w:t>竣工环境保护自主</w:t>
            </w:r>
            <w:r>
              <w:rPr>
                <w:sz w:val="24"/>
              </w:rPr>
              <w:t>验收，取得环境保护验收意见。</w:t>
            </w:r>
          </w:p>
          <w:p w14:paraId="0C4F117D">
            <w:pPr>
              <w:spacing w:line="360" w:lineRule="auto"/>
              <w:ind w:firstLine="480" w:firstLineChars="200"/>
              <w:rPr>
                <w:sz w:val="24"/>
                <w:highlight w:val="yellow"/>
              </w:rPr>
            </w:pPr>
            <w:r>
              <w:rPr>
                <w:sz w:val="24"/>
              </w:rPr>
              <w:t>现为扩大企业规模，</w:t>
            </w:r>
            <w:r>
              <w:rPr>
                <w:rFonts w:hint="eastAsia"/>
                <w:sz w:val="24"/>
              </w:rPr>
              <w:t>渝湘公司拟在重庆市涪陵区马鞍街道盘龙社区新征地实施“涪陵新型铝合金零部件制造基地”项目，将现有工程整体搬迁至新建厂房，并新增压铸机、燃气保温炉、清理台、抛丸机、加工中心等设备，在现有工程基础上调整产品并扩大产能，最终实现年产汽车用空调压缩机机壳、后盖、静涡盘、静涡盘前盖各1</w:t>
            </w:r>
            <w:r>
              <w:rPr>
                <w:sz w:val="24"/>
              </w:rPr>
              <w:t>50</w:t>
            </w:r>
            <w:r>
              <w:rPr>
                <w:rFonts w:hint="eastAsia"/>
                <w:sz w:val="24"/>
              </w:rPr>
              <w:t>万件，电控盒和端盖各</w:t>
            </w:r>
            <w:r>
              <w:rPr>
                <w:sz w:val="24"/>
              </w:rPr>
              <w:t>100</w:t>
            </w:r>
            <w:r>
              <w:rPr>
                <w:rFonts w:hint="eastAsia"/>
                <w:sz w:val="24"/>
              </w:rPr>
              <w:t>万件，总计8</w:t>
            </w:r>
            <w:r>
              <w:rPr>
                <w:sz w:val="24"/>
              </w:rPr>
              <w:t>00</w:t>
            </w:r>
            <w:r>
              <w:rPr>
                <w:rFonts w:hint="eastAsia"/>
                <w:sz w:val="24"/>
              </w:rPr>
              <w:t>万件/a。</w:t>
            </w:r>
          </w:p>
          <w:p w14:paraId="418CFA2F">
            <w:pPr>
              <w:pStyle w:val="14"/>
              <w:spacing w:line="360" w:lineRule="auto"/>
              <w:ind w:firstLine="480" w:firstLineChars="200"/>
              <w:rPr>
                <w:rFonts w:ascii="Times New Roman" w:hAnsi="Times New Roman"/>
                <w:kern w:val="2"/>
                <w:sz w:val="24"/>
                <w:szCs w:val="24"/>
              </w:rPr>
            </w:pPr>
            <w:r>
              <w:rPr>
                <w:rFonts w:ascii="Times New Roman" w:hAnsi="Times New Roman"/>
                <w:kern w:val="2"/>
                <w:sz w:val="24"/>
                <w:szCs w:val="24"/>
              </w:rPr>
              <w:t>项目于2021年11月取得了重庆市</w:t>
            </w:r>
            <w:r>
              <w:rPr>
                <w:rFonts w:hint="eastAsia" w:ascii="Times New Roman" w:hAnsi="Times New Roman"/>
                <w:kern w:val="2"/>
                <w:sz w:val="24"/>
                <w:szCs w:val="24"/>
              </w:rPr>
              <w:t>涪陵区</w:t>
            </w:r>
            <w:r>
              <w:rPr>
                <w:rFonts w:ascii="Times New Roman" w:hAnsi="Times New Roman"/>
                <w:kern w:val="2"/>
                <w:sz w:val="24"/>
                <w:szCs w:val="24"/>
              </w:rPr>
              <w:t>发展和改革委员会核发的《建设项目投资备案证》，项目代码：2020-500102-32-03-140709。</w:t>
            </w:r>
          </w:p>
          <w:p w14:paraId="1C93BBA7">
            <w:pPr>
              <w:adjustRightInd w:val="0"/>
              <w:snapToGrid w:val="0"/>
              <w:spacing w:line="360" w:lineRule="auto"/>
              <w:jc w:val="left"/>
              <w:rPr>
                <w:b/>
                <w:bCs/>
                <w:sz w:val="24"/>
              </w:rPr>
            </w:pPr>
            <w:r>
              <w:rPr>
                <w:b/>
                <w:bCs/>
                <w:sz w:val="24"/>
              </w:rPr>
              <w:t>2、项目概况及建设规模</w:t>
            </w:r>
          </w:p>
          <w:p w14:paraId="7E03C579">
            <w:pPr>
              <w:spacing w:line="360" w:lineRule="auto"/>
              <w:ind w:firstLine="480" w:firstLineChars="200"/>
              <w:rPr>
                <w:sz w:val="24"/>
              </w:rPr>
            </w:pPr>
            <w:r>
              <w:rPr>
                <w:sz w:val="24"/>
              </w:rPr>
              <w:t>项目名称：</w:t>
            </w:r>
            <w:r>
              <w:rPr>
                <w:rFonts w:hint="eastAsia"/>
                <w:sz w:val="24"/>
              </w:rPr>
              <w:t>涪陵新型铝合金零部件制造基地</w:t>
            </w:r>
            <w:r>
              <w:rPr>
                <w:sz w:val="24"/>
              </w:rPr>
              <w:t>；</w:t>
            </w:r>
          </w:p>
          <w:p w14:paraId="363508BB">
            <w:pPr>
              <w:spacing w:line="360" w:lineRule="auto"/>
              <w:ind w:firstLine="480" w:firstLineChars="200"/>
              <w:rPr>
                <w:sz w:val="24"/>
              </w:rPr>
            </w:pPr>
            <w:r>
              <w:rPr>
                <w:sz w:val="24"/>
              </w:rPr>
              <w:t>建设单位：</w:t>
            </w:r>
            <w:r>
              <w:rPr>
                <w:rFonts w:hint="eastAsia"/>
                <w:sz w:val="24"/>
              </w:rPr>
              <w:t>重庆渝湘精密机械有限公司</w:t>
            </w:r>
            <w:r>
              <w:rPr>
                <w:sz w:val="24"/>
              </w:rPr>
              <w:t>；</w:t>
            </w:r>
          </w:p>
          <w:p w14:paraId="4B2A9148">
            <w:pPr>
              <w:spacing w:line="360" w:lineRule="auto"/>
              <w:ind w:firstLine="480" w:firstLineChars="200"/>
              <w:rPr>
                <w:sz w:val="24"/>
              </w:rPr>
            </w:pPr>
            <w:r>
              <w:rPr>
                <w:sz w:val="24"/>
              </w:rPr>
              <w:t>建设地点：</w:t>
            </w:r>
            <w:r>
              <w:rPr>
                <w:rFonts w:hint="eastAsia"/>
                <w:sz w:val="24"/>
              </w:rPr>
              <w:t>重庆市涪陵区新城区盘龙路</w:t>
            </w:r>
            <w:r>
              <w:rPr>
                <w:sz w:val="24"/>
              </w:rPr>
              <w:t>；</w:t>
            </w:r>
          </w:p>
          <w:p w14:paraId="2339BDE5">
            <w:pPr>
              <w:spacing w:line="360" w:lineRule="auto"/>
              <w:ind w:firstLine="480" w:firstLineChars="200"/>
              <w:rPr>
                <w:sz w:val="24"/>
              </w:rPr>
            </w:pPr>
            <w:r>
              <w:rPr>
                <w:sz w:val="24"/>
              </w:rPr>
              <w:t>建设性质：</w:t>
            </w:r>
            <w:r>
              <w:rPr>
                <w:rFonts w:hint="eastAsia"/>
                <w:sz w:val="24"/>
              </w:rPr>
              <w:t>迁建</w:t>
            </w:r>
            <w:r>
              <w:rPr>
                <w:sz w:val="24"/>
              </w:rPr>
              <w:t>；</w:t>
            </w:r>
          </w:p>
          <w:p w14:paraId="50B85C17">
            <w:pPr>
              <w:adjustRightInd w:val="0"/>
              <w:snapToGrid w:val="0"/>
              <w:spacing w:line="360" w:lineRule="auto"/>
              <w:ind w:firstLine="480" w:firstLineChars="200"/>
              <w:jc w:val="left"/>
              <w:rPr>
                <w:b/>
                <w:sz w:val="24"/>
              </w:rPr>
            </w:pPr>
            <w:r>
              <w:rPr>
                <w:sz w:val="24"/>
              </w:rPr>
              <w:t>项目投资：28000万元。</w:t>
            </w:r>
          </w:p>
          <w:p w14:paraId="47F56718">
            <w:pPr>
              <w:adjustRightInd w:val="0"/>
              <w:snapToGrid w:val="0"/>
              <w:spacing w:line="360" w:lineRule="auto"/>
              <w:ind w:firstLine="480" w:firstLineChars="200"/>
              <w:rPr>
                <w:sz w:val="24"/>
              </w:rPr>
            </w:pPr>
            <w:r>
              <w:rPr>
                <w:sz w:val="24"/>
              </w:rPr>
              <w:t>建设规模：</w:t>
            </w:r>
            <w:r>
              <w:rPr>
                <w:rFonts w:hint="eastAsia"/>
                <w:sz w:val="24"/>
              </w:rPr>
              <w:t>项目位于</w:t>
            </w:r>
            <w:r>
              <w:rPr>
                <w:rFonts w:hint="eastAsia"/>
                <w:kern w:val="0"/>
                <w:sz w:val="24"/>
              </w:rPr>
              <w:t>重庆涪陵工业园区李渡组团</w:t>
            </w:r>
            <w:r>
              <w:rPr>
                <w:rFonts w:hint="eastAsia"/>
                <w:sz w:val="24"/>
              </w:rPr>
              <w:t>，总占地面积</w:t>
            </w:r>
            <w:r>
              <w:rPr>
                <w:sz w:val="24"/>
              </w:rPr>
              <w:t>31598</w:t>
            </w:r>
            <w:r>
              <w:rPr>
                <w:rFonts w:hint="eastAsia"/>
                <w:sz w:val="24"/>
              </w:rPr>
              <w:t>m</w:t>
            </w:r>
            <w:r>
              <w:rPr>
                <w:rFonts w:hint="eastAsia"/>
                <w:sz w:val="24"/>
                <w:vertAlign w:val="superscript"/>
              </w:rPr>
              <w:t>2</w:t>
            </w:r>
            <w:r>
              <w:rPr>
                <w:rFonts w:hint="eastAsia"/>
                <w:sz w:val="24"/>
              </w:rPr>
              <w:t>，总建筑面积</w:t>
            </w:r>
            <w:r>
              <w:rPr>
                <w:sz w:val="24"/>
              </w:rPr>
              <w:t>22406.59</w:t>
            </w:r>
            <w:r>
              <w:rPr>
                <w:rFonts w:hint="eastAsia"/>
                <w:sz w:val="24"/>
              </w:rPr>
              <w:t>m</w:t>
            </w:r>
            <w:r>
              <w:rPr>
                <w:rFonts w:hint="eastAsia"/>
                <w:sz w:val="24"/>
                <w:vertAlign w:val="superscript"/>
              </w:rPr>
              <w:t>2</w:t>
            </w:r>
            <w:r>
              <w:rPr>
                <w:rFonts w:hint="eastAsia"/>
                <w:sz w:val="24"/>
              </w:rPr>
              <w:t>，建设</w:t>
            </w:r>
            <w:r>
              <w:rPr>
                <w:sz w:val="24"/>
              </w:rPr>
              <w:t>1</w:t>
            </w:r>
            <w:r>
              <w:rPr>
                <w:rFonts w:hint="eastAsia"/>
                <w:sz w:val="24"/>
              </w:rPr>
              <w:t>栋联合厂房、1栋倒班楼、</w:t>
            </w:r>
            <w:r>
              <w:rPr>
                <w:sz w:val="24"/>
              </w:rPr>
              <w:t>2</w:t>
            </w:r>
            <w:r>
              <w:rPr>
                <w:rFonts w:hint="eastAsia"/>
                <w:sz w:val="24"/>
              </w:rPr>
              <w:t>间门卫室等配套辅助设施。项目建成后，预计年产空调压缩机缸体、静涡盘、后盖及支架各100万，前盖及机壳各2</w:t>
            </w:r>
            <w:r>
              <w:rPr>
                <w:sz w:val="24"/>
              </w:rPr>
              <w:t>00</w:t>
            </w:r>
            <w:r>
              <w:rPr>
                <w:rFonts w:hint="eastAsia"/>
                <w:sz w:val="24"/>
              </w:rPr>
              <w:t>万件，总计8</w:t>
            </w:r>
            <w:r>
              <w:rPr>
                <w:sz w:val="24"/>
              </w:rPr>
              <w:t>00</w:t>
            </w:r>
            <w:r>
              <w:rPr>
                <w:rFonts w:hint="eastAsia"/>
                <w:sz w:val="24"/>
              </w:rPr>
              <w:t>万件。</w:t>
            </w:r>
          </w:p>
          <w:p w14:paraId="69964528">
            <w:pPr>
              <w:adjustRightInd w:val="0"/>
              <w:snapToGrid w:val="0"/>
              <w:spacing w:line="360" w:lineRule="auto"/>
              <w:jc w:val="left"/>
              <w:rPr>
                <w:b/>
                <w:sz w:val="24"/>
              </w:rPr>
            </w:pPr>
            <w:r>
              <w:rPr>
                <w:b/>
                <w:sz w:val="24"/>
              </w:rPr>
              <w:t>3、建设内容</w:t>
            </w:r>
          </w:p>
          <w:p w14:paraId="60158508">
            <w:pPr>
              <w:adjustRightInd w:val="0"/>
              <w:snapToGrid w:val="0"/>
              <w:spacing w:line="360" w:lineRule="auto"/>
              <w:ind w:firstLine="480"/>
              <w:rPr>
                <w:sz w:val="24"/>
              </w:rPr>
            </w:pPr>
            <w:r>
              <w:rPr>
                <w:rFonts w:hint="eastAsia"/>
                <w:sz w:val="24"/>
              </w:rPr>
              <w:t>项目总占地面积</w:t>
            </w:r>
            <w:r>
              <w:rPr>
                <w:sz w:val="24"/>
              </w:rPr>
              <w:t>31598</w:t>
            </w:r>
            <w:r>
              <w:rPr>
                <w:rFonts w:hint="eastAsia"/>
                <w:sz w:val="24"/>
              </w:rPr>
              <w:t>m</w:t>
            </w:r>
            <w:r>
              <w:rPr>
                <w:rFonts w:hint="eastAsia"/>
                <w:sz w:val="24"/>
                <w:vertAlign w:val="superscript"/>
              </w:rPr>
              <w:t>2</w:t>
            </w:r>
            <w:r>
              <w:rPr>
                <w:rFonts w:hint="eastAsia"/>
                <w:sz w:val="24"/>
              </w:rPr>
              <w:t>，总建筑面积</w:t>
            </w:r>
            <w:r>
              <w:rPr>
                <w:sz w:val="24"/>
              </w:rPr>
              <w:t>22606.21</w:t>
            </w:r>
            <w:r>
              <w:rPr>
                <w:rFonts w:hint="eastAsia"/>
                <w:sz w:val="24"/>
              </w:rPr>
              <w:t>m</w:t>
            </w:r>
            <w:r>
              <w:rPr>
                <w:rFonts w:hint="eastAsia"/>
                <w:sz w:val="24"/>
                <w:vertAlign w:val="superscript"/>
              </w:rPr>
              <w:t>2</w:t>
            </w:r>
            <w:r>
              <w:rPr>
                <w:rFonts w:hint="eastAsia"/>
                <w:sz w:val="24"/>
              </w:rPr>
              <w:t>，建设</w:t>
            </w:r>
            <w:r>
              <w:rPr>
                <w:sz w:val="24"/>
              </w:rPr>
              <w:t>1</w:t>
            </w:r>
            <w:r>
              <w:rPr>
                <w:rFonts w:hint="eastAsia"/>
                <w:sz w:val="24"/>
              </w:rPr>
              <w:t>栋联合厂房、1栋倒班楼、</w:t>
            </w:r>
            <w:r>
              <w:rPr>
                <w:sz w:val="24"/>
              </w:rPr>
              <w:t>2</w:t>
            </w:r>
            <w:r>
              <w:rPr>
                <w:rFonts w:hint="eastAsia"/>
                <w:sz w:val="24"/>
              </w:rPr>
              <w:t>间门卫室等配套辅助设施。项目拟在新建厂房内建设熔化工序、压铸工序、表面清理、抛丸工序、机加工工序、氦检工序、浸渗工序、检验工序、包装工序等生产工序</w:t>
            </w:r>
            <w:r>
              <w:rPr>
                <w:sz w:val="24"/>
              </w:rPr>
              <w:t>。详见表2-1。</w:t>
            </w:r>
          </w:p>
          <w:p w14:paraId="3961F0D0">
            <w:pPr>
              <w:spacing w:line="360" w:lineRule="auto"/>
              <w:jc w:val="center"/>
              <w:rPr>
                <w:sz w:val="24"/>
              </w:rPr>
            </w:pPr>
            <w:r>
              <w:rPr>
                <w:sz w:val="24"/>
              </w:rPr>
              <w:t>表2-1   项目组成一览表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444"/>
              <w:gridCol w:w="926"/>
              <w:gridCol w:w="926"/>
              <w:gridCol w:w="683"/>
              <w:gridCol w:w="685"/>
              <w:gridCol w:w="3203"/>
              <w:gridCol w:w="1548"/>
            </w:tblGrid>
            <w:tr w14:paraId="03034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tblHeader/>
                <w:jc w:val="center"/>
              </w:trPr>
              <w:tc>
                <w:tcPr>
                  <w:tcW w:w="1364" w:type="pct"/>
                  <w:gridSpan w:val="3"/>
                  <w:vAlign w:val="center"/>
                </w:tcPr>
                <w:p w14:paraId="2A069705">
                  <w:pPr>
                    <w:jc w:val="center"/>
                    <w:rPr>
                      <w:bCs/>
                      <w:szCs w:val="21"/>
                    </w:rPr>
                  </w:pPr>
                  <w:r>
                    <w:rPr>
                      <w:bCs/>
                      <w:szCs w:val="21"/>
                    </w:rPr>
                    <w:t>分类</w:t>
                  </w:r>
                </w:p>
              </w:tc>
              <w:tc>
                <w:tcPr>
                  <w:tcW w:w="2716" w:type="pct"/>
                  <w:gridSpan w:val="3"/>
                  <w:tcBorders>
                    <w:right w:val="single" w:color="auto" w:sz="4" w:space="0"/>
                  </w:tcBorders>
                  <w:vAlign w:val="center"/>
                </w:tcPr>
                <w:p w14:paraId="192C10B6">
                  <w:pPr>
                    <w:jc w:val="center"/>
                    <w:rPr>
                      <w:bCs/>
                      <w:szCs w:val="21"/>
                    </w:rPr>
                  </w:pPr>
                  <w:r>
                    <w:rPr>
                      <w:rFonts w:hint="eastAsia"/>
                      <w:bCs/>
                      <w:szCs w:val="21"/>
                    </w:rPr>
                    <w:t>项目组成内容</w:t>
                  </w:r>
                </w:p>
              </w:tc>
              <w:tc>
                <w:tcPr>
                  <w:tcW w:w="920" w:type="pct"/>
                  <w:tcBorders>
                    <w:left w:val="single" w:color="auto" w:sz="4" w:space="0"/>
                  </w:tcBorders>
                  <w:vAlign w:val="center"/>
                </w:tcPr>
                <w:p w14:paraId="2710E470">
                  <w:pPr>
                    <w:jc w:val="center"/>
                    <w:rPr>
                      <w:bCs/>
                      <w:szCs w:val="21"/>
                    </w:rPr>
                  </w:pPr>
                  <w:r>
                    <w:rPr>
                      <w:rFonts w:hint="eastAsia"/>
                      <w:bCs/>
                      <w:szCs w:val="21"/>
                    </w:rPr>
                    <w:t>备注</w:t>
                  </w:r>
                </w:p>
              </w:tc>
            </w:tr>
            <w:tr w14:paraId="2304B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restart"/>
                  <w:tcBorders>
                    <w:right w:val="single" w:color="auto" w:sz="4" w:space="0"/>
                  </w:tcBorders>
                  <w:tcMar>
                    <w:left w:w="28" w:type="dxa"/>
                    <w:right w:w="28" w:type="dxa"/>
                  </w:tcMar>
                  <w:vAlign w:val="center"/>
                </w:tcPr>
                <w:p w14:paraId="7B709D8E">
                  <w:pPr>
                    <w:jc w:val="center"/>
                    <w:rPr>
                      <w:bCs/>
                      <w:szCs w:val="21"/>
                    </w:rPr>
                  </w:pPr>
                  <w:r>
                    <w:rPr>
                      <w:bCs/>
                      <w:szCs w:val="21"/>
                    </w:rPr>
                    <w:t>主体工程</w:t>
                  </w:r>
                </w:p>
                <w:p w14:paraId="69EFCE95">
                  <w:pPr>
                    <w:jc w:val="center"/>
                    <w:rPr>
                      <w:bCs/>
                      <w:szCs w:val="21"/>
                    </w:rPr>
                  </w:pPr>
                </w:p>
              </w:tc>
              <w:tc>
                <w:tcPr>
                  <w:tcW w:w="1100" w:type="pct"/>
                  <w:gridSpan w:val="2"/>
                  <w:tcBorders>
                    <w:left w:val="single" w:color="auto" w:sz="4" w:space="0"/>
                  </w:tcBorders>
                  <w:vAlign w:val="center"/>
                </w:tcPr>
                <w:p w14:paraId="7FC34D7E">
                  <w:pPr>
                    <w:jc w:val="center"/>
                    <w:rPr>
                      <w:bCs/>
                      <w:szCs w:val="21"/>
                    </w:rPr>
                  </w:pPr>
                  <w:r>
                    <w:rPr>
                      <w:rFonts w:hint="eastAsia"/>
                      <w:bCs/>
                      <w:szCs w:val="21"/>
                    </w:rPr>
                    <w:t>联合厂房</w:t>
                  </w:r>
                </w:p>
              </w:tc>
              <w:tc>
                <w:tcPr>
                  <w:tcW w:w="2716" w:type="pct"/>
                  <w:gridSpan w:val="3"/>
                  <w:tcBorders>
                    <w:right w:val="single" w:color="auto" w:sz="4" w:space="0"/>
                  </w:tcBorders>
                  <w:vAlign w:val="center"/>
                </w:tcPr>
                <w:p w14:paraId="76E2322A">
                  <w:pPr>
                    <w:rPr>
                      <w:bCs/>
                      <w:szCs w:val="21"/>
                    </w:rPr>
                  </w:pPr>
                  <w:r>
                    <w:rPr>
                      <w:rFonts w:hint="eastAsia"/>
                      <w:bCs/>
                      <w:szCs w:val="21"/>
                    </w:rPr>
                    <w:t>1栋，1F，高</w:t>
                  </w:r>
                  <w:r>
                    <w:rPr>
                      <w:bCs/>
                      <w:szCs w:val="21"/>
                    </w:rPr>
                    <w:t>9m</w:t>
                  </w:r>
                  <w:r>
                    <w:rPr>
                      <w:rFonts w:hint="eastAsia"/>
                      <w:bCs/>
                      <w:szCs w:val="21"/>
                    </w:rPr>
                    <w:t>~1</w:t>
                  </w:r>
                  <w:r>
                    <w:rPr>
                      <w:bCs/>
                      <w:szCs w:val="21"/>
                    </w:rPr>
                    <w:t>7m</w:t>
                  </w:r>
                  <w:r>
                    <w:rPr>
                      <w:rFonts w:hint="eastAsia"/>
                      <w:bCs/>
                      <w:szCs w:val="21"/>
                    </w:rPr>
                    <w:t>，建筑面积约</w:t>
                  </w:r>
                  <w:r>
                    <w:rPr>
                      <w:bCs/>
                      <w:szCs w:val="21"/>
                    </w:rPr>
                    <w:t>17931.71m</w:t>
                  </w:r>
                  <w:r>
                    <w:rPr>
                      <w:bCs/>
                      <w:szCs w:val="21"/>
                      <w:vertAlign w:val="superscript"/>
                    </w:rPr>
                    <w:t>2</w:t>
                  </w:r>
                  <w:r>
                    <w:rPr>
                      <w:rFonts w:hint="eastAsia"/>
                      <w:bCs/>
                      <w:szCs w:val="21"/>
                    </w:rPr>
                    <w:t>，在联合厂房西侧、北侧、南侧各设置一栋辅助用房，其中西侧</w:t>
                  </w:r>
                  <w:r>
                    <w:rPr>
                      <w:bCs/>
                      <w:szCs w:val="21"/>
                    </w:rPr>
                    <w:t>辅房</w:t>
                  </w:r>
                  <w:r>
                    <w:rPr>
                      <w:rFonts w:hint="eastAsia"/>
                      <w:bCs/>
                      <w:szCs w:val="21"/>
                    </w:rPr>
                    <w:t>占地面积1</w:t>
                  </w:r>
                  <w:r>
                    <w:rPr>
                      <w:bCs/>
                      <w:szCs w:val="21"/>
                    </w:rPr>
                    <w:t>000m</w:t>
                  </w:r>
                  <w:r>
                    <w:rPr>
                      <w:bCs/>
                      <w:szCs w:val="21"/>
                      <w:vertAlign w:val="superscript"/>
                    </w:rPr>
                    <w:t>2</w:t>
                  </w:r>
                  <w:r>
                    <w:rPr>
                      <w:rFonts w:hint="eastAsia"/>
                      <w:bCs/>
                      <w:szCs w:val="21"/>
                    </w:rPr>
                    <w:t>，2F，高度</w:t>
                  </w:r>
                  <w:r>
                    <w:rPr>
                      <w:bCs/>
                      <w:szCs w:val="21"/>
                    </w:rPr>
                    <w:t>9m</w:t>
                  </w:r>
                  <w:r>
                    <w:rPr>
                      <w:rFonts w:hint="eastAsia"/>
                      <w:bCs/>
                      <w:szCs w:val="21"/>
                    </w:rPr>
                    <w:t>；北侧辅房占地面积1</w:t>
                  </w:r>
                  <w:r>
                    <w:rPr>
                      <w:bCs/>
                      <w:szCs w:val="21"/>
                    </w:rPr>
                    <w:t>700m</w:t>
                  </w:r>
                  <w:r>
                    <w:rPr>
                      <w:bCs/>
                      <w:szCs w:val="21"/>
                      <w:vertAlign w:val="superscript"/>
                    </w:rPr>
                    <w:t>2</w:t>
                  </w:r>
                  <w:r>
                    <w:rPr>
                      <w:rFonts w:hint="eastAsia"/>
                      <w:bCs/>
                      <w:szCs w:val="21"/>
                    </w:rPr>
                    <w:t>，1F，高</w:t>
                  </w:r>
                  <w:r>
                    <w:rPr>
                      <w:bCs/>
                      <w:szCs w:val="21"/>
                    </w:rPr>
                    <w:t>7.5m</w:t>
                  </w:r>
                  <w:r>
                    <w:rPr>
                      <w:rFonts w:hint="eastAsia"/>
                      <w:bCs/>
                      <w:szCs w:val="21"/>
                    </w:rPr>
                    <w:t>；</w:t>
                  </w:r>
                  <w:r>
                    <w:rPr>
                      <w:bCs/>
                      <w:szCs w:val="21"/>
                    </w:rPr>
                    <w:t>南侧辅房</w:t>
                  </w:r>
                  <w:r>
                    <w:rPr>
                      <w:rFonts w:hint="eastAsia"/>
                      <w:bCs/>
                      <w:szCs w:val="21"/>
                    </w:rPr>
                    <w:t>占</w:t>
                  </w:r>
                  <w:r>
                    <w:rPr>
                      <w:bCs/>
                      <w:szCs w:val="21"/>
                    </w:rPr>
                    <w:t>地面积</w:t>
                  </w:r>
                  <w:r>
                    <w:rPr>
                      <w:rFonts w:hint="eastAsia"/>
                      <w:bCs/>
                      <w:szCs w:val="21"/>
                    </w:rPr>
                    <w:t>8</w:t>
                  </w:r>
                  <w:r>
                    <w:rPr>
                      <w:bCs/>
                      <w:szCs w:val="21"/>
                    </w:rPr>
                    <w:t>00m</w:t>
                  </w:r>
                  <w:r>
                    <w:rPr>
                      <w:bCs/>
                      <w:szCs w:val="21"/>
                      <w:vertAlign w:val="superscript"/>
                    </w:rPr>
                    <w:t>2</w:t>
                  </w:r>
                  <w:r>
                    <w:rPr>
                      <w:rFonts w:hint="eastAsia"/>
                      <w:bCs/>
                      <w:szCs w:val="21"/>
                    </w:rPr>
                    <w:t>，</w:t>
                  </w:r>
                  <w:r>
                    <w:rPr>
                      <w:bCs/>
                      <w:szCs w:val="21"/>
                    </w:rPr>
                    <w:t>4</w:t>
                  </w:r>
                  <w:r>
                    <w:rPr>
                      <w:rFonts w:hint="eastAsia"/>
                      <w:bCs/>
                      <w:szCs w:val="21"/>
                    </w:rPr>
                    <w:t>F，高1</w:t>
                  </w:r>
                  <w:r>
                    <w:rPr>
                      <w:bCs/>
                      <w:szCs w:val="21"/>
                    </w:rPr>
                    <w:t>7.7m</w:t>
                  </w:r>
                  <w:r>
                    <w:rPr>
                      <w:rFonts w:hint="eastAsia"/>
                      <w:bCs/>
                      <w:szCs w:val="21"/>
                    </w:rPr>
                    <w:t>。厂房内拟分区建设熔化工序、压铸工序、表面清理工序、抛丸工序、机加工工序、浸渗工序、清洗工序、检验工序、包装工序、模具维修工序等。</w:t>
                  </w:r>
                </w:p>
              </w:tc>
              <w:tc>
                <w:tcPr>
                  <w:tcW w:w="920" w:type="pct"/>
                  <w:tcBorders>
                    <w:left w:val="single" w:color="auto" w:sz="4" w:space="0"/>
                  </w:tcBorders>
                  <w:vAlign w:val="center"/>
                </w:tcPr>
                <w:p w14:paraId="54C12BDA">
                  <w:pPr>
                    <w:jc w:val="center"/>
                    <w:rPr>
                      <w:bCs/>
                      <w:szCs w:val="21"/>
                    </w:rPr>
                  </w:pPr>
                  <w:r>
                    <w:rPr>
                      <w:rFonts w:hint="eastAsia"/>
                      <w:bCs/>
                      <w:szCs w:val="21"/>
                    </w:rPr>
                    <w:t>新建</w:t>
                  </w:r>
                </w:p>
              </w:tc>
            </w:tr>
            <w:tr w14:paraId="5E3DB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2138470B">
                  <w:pPr>
                    <w:jc w:val="center"/>
                    <w:rPr>
                      <w:bCs/>
                      <w:szCs w:val="21"/>
                    </w:rPr>
                  </w:pPr>
                </w:p>
              </w:tc>
              <w:tc>
                <w:tcPr>
                  <w:tcW w:w="550" w:type="pct"/>
                  <w:vMerge w:val="restart"/>
                  <w:tcBorders>
                    <w:left w:val="single" w:color="auto" w:sz="4" w:space="0"/>
                  </w:tcBorders>
                  <w:vAlign w:val="center"/>
                </w:tcPr>
                <w:p w14:paraId="30CCD891">
                  <w:pPr>
                    <w:jc w:val="center"/>
                    <w:rPr>
                      <w:bCs/>
                      <w:szCs w:val="21"/>
                    </w:rPr>
                  </w:pPr>
                  <w:r>
                    <w:rPr>
                      <w:rFonts w:hint="eastAsia"/>
                      <w:bCs/>
                      <w:szCs w:val="21"/>
                    </w:rPr>
                    <w:t>其中</w:t>
                  </w:r>
                </w:p>
              </w:tc>
              <w:tc>
                <w:tcPr>
                  <w:tcW w:w="550" w:type="pct"/>
                  <w:tcBorders>
                    <w:left w:val="single" w:color="auto" w:sz="4" w:space="0"/>
                  </w:tcBorders>
                  <w:vAlign w:val="center"/>
                </w:tcPr>
                <w:p w14:paraId="020E1179">
                  <w:pPr>
                    <w:jc w:val="center"/>
                    <w:rPr>
                      <w:bCs/>
                      <w:szCs w:val="21"/>
                    </w:rPr>
                  </w:pPr>
                  <w:r>
                    <w:rPr>
                      <w:rFonts w:hint="eastAsia"/>
                      <w:bCs/>
                      <w:szCs w:val="21"/>
                    </w:rPr>
                    <w:t>熔化区</w:t>
                  </w:r>
                </w:p>
              </w:tc>
              <w:tc>
                <w:tcPr>
                  <w:tcW w:w="2716" w:type="pct"/>
                  <w:gridSpan w:val="3"/>
                  <w:tcBorders>
                    <w:right w:val="single" w:color="auto" w:sz="4" w:space="0"/>
                  </w:tcBorders>
                  <w:vAlign w:val="center"/>
                </w:tcPr>
                <w:p w14:paraId="78AC971E">
                  <w:pPr>
                    <w:rPr>
                      <w:bCs/>
                      <w:szCs w:val="21"/>
                    </w:rPr>
                  </w:pPr>
                  <w:r>
                    <w:rPr>
                      <w:bCs/>
                      <w:szCs w:val="21"/>
                    </w:rPr>
                    <w:t>900</w:t>
                  </w:r>
                  <w:r>
                    <w:rPr>
                      <w:rFonts w:hint="eastAsia"/>
                      <w:bCs/>
                      <w:szCs w:val="21"/>
                    </w:rPr>
                    <w:t>m</w:t>
                  </w:r>
                  <w:r>
                    <w:rPr>
                      <w:bCs/>
                      <w:szCs w:val="21"/>
                      <w:vertAlign w:val="superscript"/>
                    </w:rPr>
                    <w:t>2</w:t>
                  </w:r>
                  <w:r>
                    <w:rPr>
                      <w:rFonts w:hint="eastAsia"/>
                      <w:bCs/>
                      <w:szCs w:val="21"/>
                    </w:rPr>
                    <w:t>，位于联合厂房内东北角，布置2台燃气熔化炉和1台燃气保温炉；</w:t>
                  </w:r>
                </w:p>
              </w:tc>
              <w:tc>
                <w:tcPr>
                  <w:tcW w:w="920" w:type="pct"/>
                  <w:tcBorders>
                    <w:left w:val="single" w:color="auto" w:sz="4" w:space="0"/>
                  </w:tcBorders>
                  <w:vAlign w:val="center"/>
                </w:tcPr>
                <w:p w14:paraId="4487437D">
                  <w:pPr>
                    <w:jc w:val="center"/>
                    <w:rPr>
                      <w:bCs/>
                      <w:szCs w:val="21"/>
                    </w:rPr>
                  </w:pPr>
                  <w:r>
                    <w:rPr>
                      <w:rFonts w:hint="eastAsia"/>
                      <w:bCs/>
                      <w:szCs w:val="21"/>
                    </w:rPr>
                    <w:t>新建</w:t>
                  </w:r>
                </w:p>
              </w:tc>
            </w:tr>
            <w:tr w14:paraId="56B48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560A0D34">
                  <w:pPr>
                    <w:jc w:val="center"/>
                    <w:rPr>
                      <w:bCs/>
                      <w:szCs w:val="21"/>
                    </w:rPr>
                  </w:pPr>
                </w:p>
              </w:tc>
              <w:tc>
                <w:tcPr>
                  <w:tcW w:w="550" w:type="pct"/>
                  <w:vMerge w:val="continue"/>
                  <w:tcBorders>
                    <w:left w:val="single" w:color="auto" w:sz="4" w:space="0"/>
                  </w:tcBorders>
                  <w:vAlign w:val="center"/>
                </w:tcPr>
                <w:p w14:paraId="01A6FC33">
                  <w:pPr>
                    <w:jc w:val="center"/>
                    <w:rPr>
                      <w:bCs/>
                      <w:szCs w:val="21"/>
                    </w:rPr>
                  </w:pPr>
                </w:p>
              </w:tc>
              <w:tc>
                <w:tcPr>
                  <w:tcW w:w="550" w:type="pct"/>
                  <w:tcBorders>
                    <w:left w:val="single" w:color="auto" w:sz="4" w:space="0"/>
                  </w:tcBorders>
                  <w:vAlign w:val="center"/>
                </w:tcPr>
                <w:p w14:paraId="2C67290E">
                  <w:pPr>
                    <w:jc w:val="center"/>
                    <w:rPr>
                      <w:bCs/>
                      <w:szCs w:val="21"/>
                    </w:rPr>
                  </w:pPr>
                  <w:r>
                    <w:rPr>
                      <w:rFonts w:hint="eastAsia"/>
                      <w:bCs/>
                      <w:szCs w:val="21"/>
                    </w:rPr>
                    <w:t>压铸区</w:t>
                  </w:r>
                </w:p>
              </w:tc>
              <w:tc>
                <w:tcPr>
                  <w:tcW w:w="2716" w:type="pct"/>
                  <w:gridSpan w:val="3"/>
                  <w:tcBorders>
                    <w:right w:val="single" w:color="auto" w:sz="4" w:space="0"/>
                  </w:tcBorders>
                  <w:vAlign w:val="center"/>
                </w:tcPr>
                <w:p w14:paraId="26E28C04">
                  <w:pPr>
                    <w:rPr>
                      <w:bCs/>
                      <w:szCs w:val="21"/>
                    </w:rPr>
                  </w:pPr>
                  <w:r>
                    <w:rPr>
                      <w:bCs/>
                      <w:szCs w:val="21"/>
                    </w:rPr>
                    <w:t>1800</w:t>
                  </w:r>
                  <w:r>
                    <w:rPr>
                      <w:rFonts w:hint="eastAsia"/>
                      <w:bCs/>
                      <w:szCs w:val="21"/>
                    </w:rPr>
                    <w:t>m</w:t>
                  </w:r>
                  <w:r>
                    <w:rPr>
                      <w:bCs/>
                      <w:szCs w:val="21"/>
                      <w:vertAlign w:val="superscript"/>
                    </w:rPr>
                    <w:t>2</w:t>
                  </w:r>
                  <w:r>
                    <w:rPr>
                      <w:rFonts w:hint="eastAsia"/>
                      <w:bCs/>
                      <w:szCs w:val="21"/>
                    </w:rPr>
                    <w:t>，位于联合厂房内北侧；布置</w:t>
                  </w:r>
                  <w:r>
                    <w:rPr>
                      <w:bCs/>
                      <w:szCs w:val="21"/>
                    </w:rPr>
                    <w:t>12</w:t>
                  </w:r>
                  <w:r>
                    <w:rPr>
                      <w:rFonts w:hint="eastAsia"/>
                      <w:bCs/>
                      <w:szCs w:val="21"/>
                    </w:rPr>
                    <w:t>台压铸机及控制系统、1</w:t>
                  </w:r>
                  <w:r>
                    <w:rPr>
                      <w:bCs/>
                      <w:szCs w:val="21"/>
                    </w:rPr>
                    <w:t>2</w:t>
                  </w:r>
                  <w:r>
                    <w:rPr>
                      <w:rFonts w:hint="eastAsia"/>
                      <w:bCs/>
                      <w:szCs w:val="21"/>
                    </w:rPr>
                    <w:t>台燃气保温炉，配套传送带及取件机器人、喷雾机器人各1</w:t>
                  </w:r>
                  <w:r>
                    <w:rPr>
                      <w:bCs/>
                      <w:szCs w:val="21"/>
                    </w:rPr>
                    <w:t>2</w:t>
                  </w:r>
                  <w:r>
                    <w:rPr>
                      <w:rFonts w:hint="eastAsia"/>
                      <w:bCs/>
                      <w:szCs w:val="21"/>
                    </w:rPr>
                    <w:t>台；</w:t>
                  </w:r>
                </w:p>
              </w:tc>
              <w:tc>
                <w:tcPr>
                  <w:tcW w:w="920" w:type="pct"/>
                  <w:tcBorders>
                    <w:left w:val="single" w:color="auto" w:sz="4" w:space="0"/>
                  </w:tcBorders>
                  <w:vAlign w:val="center"/>
                </w:tcPr>
                <w:p w14:paraId="1617380D">
                  <w:pPr>
                    <w:jc w:val="center"/>
                    <w:rPr>
                      <w:bCs/>
                      <w:szCs w:val="21"/>
                    </w:rPr>
                  </w:pPr>
                  <w:r>
                    <w:rPr>
                      <w:rFonts w:hint="eastAsia"/>
                      <w:bCs/>
                      <w:szCs w:val="21"/>
                    </w:rPr>
                    <w:t>新建，设备利旧6台，新增</w:t>
                  </w:r>
                  <w:r>
                    <w:rPr>
                      <w:bCs/>
                      <w:szCs w:val="21"/>
                    </w:rPr>
                    <w:t>6</w:t>
                  </w:r>
                  <w:r>
                    <w:rPr>
                      <w:rFonts w:hint="eastAsia"/>
                      <w:bCs/>
                      <w:szCs w:val="21"/>
                    </w:rPr>
                    <w:t>台</w:t>
                  </w:r>
                </w:p>
              </w:tc>
            </w:tr>
            <w:tr w14:paraId="2AE88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83110D9">
                  <w:pPr>
                    <w:jc w:val="center"/>
                    <w:rPr>
                      <w:bCs/>
                      <w:szCs w:val="21"/>
                    </w:rPr>
                  </w:pPr>
                </w:p>
              </w:tc>
              <w:tc>
                <w:tcPr>
                  <w:tcW w:w="550" w:type="pct"/>
                  <w:vMerge w:val="continue"/>
                  <w:tcBorders>
                    <w:left w:val="single" w:color="auto" w:sz="4" w:space="0"/>
                  </w:tcBorders>
                  <w:vAlign w:val="center"/>
                </w:tcPr>
                <w:p w14:paraId="44EB8C5C">
                  <w:pPr>
                    <w:jc w:val="center"/>
                    <w:rPr>
                      <w:bCs/>
                      <w:szCs w:val="21"/>
                    </w:rPr>
                  </w:pPr>
                </w:p>
              </w:tc>
              <w:tc>
                <w:tcPr>
                  <w:tcW w:w="550" w:type="pct"/>
                  <w:tcBorders>
                    <w:left w:val="single" w:color="auto" w:sz="4" w:space="0"/>
                  </w:tcBorders>
                  <w:vAlign w:val="center"/>
                </w:tcPr>
                <w:p w14:paraId="3730B7D6">
                  <w:pPr>
                    <w:jc w:val="center"/>
                    <w:rPr>
                      <w:bCs/>
                      <w:szCs w:val="21"/>
                    </w:rPr>
                  </w:pPr>
                  <w:r>
                    <w:rPr>
                      <w:rFonts w:hint="eastAsia"/>
                      <w:bCs/>
                      <w:szCs w:val="21"/>
                    </w:rPr>
                    <w:t>表面清理区</w:t>
                  </w:r>
                </w:p>
              </w:tc>
              <w:tc>
                <w:tcPr>
                  <w:tcW w:w="2716" w:type="pct"/>
                  <w:gridSpan w:val="3"/>
                  <w:tcBorders>
                    <w:right w:val="single" w:color="auto" w:sz="4" w:space="0"/>
                  </w:tcBorders>
                  <w:vAlign w:val="center"/>
                </w:tcPr>
                <w:p w14:paraId="4144AFE4">
                  <w:pPr>
                    <w:rPr>
                      <w:bCs/>
                      <w:szCs w:val="21"/>
                    </w:rPr>
                  </w:pPr>
                  <w:r>
                    <w:rPr>
                      <w:bCs/>
                      <w:szCs w:val="21"/>
                    </w:rPr>
                    <w:t>480</w:t>
                  </w:r>
                  <w:r>
                    <w:rPr>
                      <w:rFonts w:hint="eastAsia"/>
                      <w:bCs/>
                      <w:szCs w:val="21"/>
                    </w:rPr>
                    <w:t>m</w:t>
                  </w:r>
                  <w:r>
                    <w:rPr>
                      <w:bCs/>
                      <w:szCs w:val="21"/>
                      <w:vertAlign w:val="superscript"/>
                    </w:rPr>
                    <w:t>2</w:t>
                  </w:r>
                  <w:r>
                    <w:rPr>
                      <w:rFonts w:hint="eastAsia"/>
                      <w:bCs/>
                      <w:szCs w:val="21"/>
                    </w:rPr>
                    <w:t>，位于联合厂房内中部，布置人工清理台</w:t>
                  </w:r>
                  <w:r>
                    <w:rPr>
                      <w:bCs/>
                      <w:szCs w:val="21"/>
                    </w:rPr>
                    <w:t>18</w:t>
                  </w:r>
                  <w:r>
                    <w:rPr>
                      <w:rFonts w:hint="eastAsia"/>
                      <w:bCs/>
                      <w:szCs w:val="21"/>
                    </w:rPr>
                    <w:t>台；</w:t>
                  </w:r>
                </w:p>
              </w:tc>
              <w:tc>
                <w:tcPr>
                  <w:tcW w:w="920" w:type="pct"/>
                  <w:tcBorders>
                    <w:left w:val="single" w:color="auto" w:sz="4" w:space="0"/>
                  </w:tcBorders>
                  <w:vAlign w:val="center"/>
                </w:tcPr>
                <w:p w14:paraId="1D78872B">
                  <w:pPr>
                    <w:jc w:val="center"/>
                    <w:rPr>
                      <w:bCs/>
                      <w:szCs w:val="21"/>
                    </w:rPr>
                  </w:pPr>
                  <w:r>
                    <w:rPr>
                      <w:rFonts w:hint="eastAsia"/>
                      <w:bCs/>
                      <w:szCs w:val="21"/>
                    </w:rPr>
                    <w:t>新建</w:t>
                  </w:r>
                </w:p>
              </w:tc>
            </w:tr>
            <w:tr w14:paraId="0D022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6B213B7">
                  <w:pPr>
                    <w:jc w:val="center"/>
                    <w:rPr>
                      <w:bCs/>
                      <w:szCs w:val="21"/>
                    </w:rPr>
                  </w:pPr>
                </w:p>
              </w:tc>
              <w:tc>
                <w:tcPr>
                  <w:tcW w:w="550" w:type="pct"/>
                  <w:vMerge w:val="continue"/>
                  <w:tcBorders>
                    <w:left w:val="single" w:color="auto" w:sz="4" w:space="0"/>
                  </w:tcBorders>
                  <w:vAlign w:val="center"/>
                </w:tcPr>
                <w:p w14:paraId="50202DEB">
                  <w:pPr>
                    <w:jc w:val="center"/>
                    <w:rPr>
                      <w:bCs/>
                      <w:szCs w:val="21"/>
                    </w:rPr>
                  </w:pPr>
                </w:p>
              </w:tc>
              <w:tc>
                <w:tcPr>
                  <w:tcW w:w="550" w:type="pct"/>
                  <w:tcBorders>
                    <w:left w:val="single" w:color="auto" w:sz="4" w:space="0"/>
                  </w:tcBorders>
                  <w:vAlign w:val="center"/>
                </w:tcPr>
                <w:p w14:paraId="07BF44E6">
                  <w:pPr>
                    <w:jc w:val="center"/>
                    <w:rPr>
                      <w:bCs/>
                      <w:szCs w:val="21"/>
                    </w:rPr>
                  </w:pPr>
                  <w:r>
                    <w:rPr>
                      <w:rFonts w:hint="eastAsia"/>
                      <w:bCs/>
                      <w:szCs w:val="21"/>
                    </w:rPr>
                    <w:t>机加工区</w:t>
                  </w:r>
                </w:p>
              </w:tc>
              <w:tc>
                <w:tcPr>
                  <w:tcW w:w="2716" w:type="pct"/>
                  <w:gridSpan w:val="3"/>
                  <w:tcBorders>
                    <w:right w:val="single" w:color="auto" w:sz="4" w:space="0"/>
                  </w:tcBorders>
                  <w:vAlign w:val="center"/>
                </w:tcPr>
                <w:p w14:paraId="3B95325C">
                  <w:pPr>
                    <w:rPr>
                      <w:bCs/>
                      <w:szCs w:val="21"/>
                    </w:rPr>
                  </w:pPr>
                  <w:r>
                    <w:rPr>
                      <w:bCs/>
                      <w:szCs w:val="21"/>
                    </w:rPr>
                    <w:t>2500</w:t>
                  </w:r>
                  <w:r>
                    <w:rPr>
                      <w:rFonts w:hint="eastAsia"/>
                      <w:bCs/>
                      <w:szCs w:val="21"/>
                    </w:rPr>
                    <w:t>m</w:t>
                  </w:r>
                  <w:r>
                    <w:rPr>
                      <w:bCs/>
                      <w:szCs w:val="21"/>
                      <w:vertAlign w:val="superscript"/>
                    </w:rPr>
                    <w:t>2</w:t>
                  </w:r>
                  <w:r>
                    <w:rPr>
                      <w:rFonts w:hint="eastAsia"/>
                      <w:bCs/>
                      <w:szCs w:val="21"/>
                    </w:rPr>
                    <w:t>，位于联合厂房内中南侧，布置车铣复合中心</w:t>
                  </w:r>
                  <w:r>
                    <w:rPr>
                      <w:bCs/>
                      <w:szCs w:val="21"/>
                    </w:rPr>
                    <w:t>12</w:t>
                  </w:r>
                  <w:r>
                    <w:rPr>
                      <w:rFonts w:hint="eastAsia"/>
                      <w:bCs/>
                      <w:szCs w:val="21"/>
                    </w:rPr>
                    <w:t>台、加工中心</w:t>
                  </w:r>
                  <w:r>
                    <w:rPr>
                      <w:bCs/>
                      <w:szCs w:val="21"/>
                    </w:rPr>
                    <w:t>32</w:t>
                  </w:r>
                  <w:r>
                    <w:rPr>
                      <w:rFonts w:hint="eastAsia"/>
                      <w:bCs/>
                      <w:szCs w:val="21"/>
                    </w:rPr>
                    <w:t>台、立车</w:t>
                  </w:r>
                  <w:r>
                    <w:rPr>
                      <w:bCs/>
                      <w:szCs w:val="21"/>
                    </w:rPr>
                    <w:t>12</w:t>
                  </w:r>
                  <w:r>
                    <w:rPr>
                      <w:rFonts w:hint="eastAsia"/>
                      <w:bCs/>
                      <w:szCs w:val="21"/>
                    </w:rPr>
                    <w:t>台、卧式车床</w:t>
                  </w:r>
                  <w:r>
                    <w:rPr>
                      <w:bCs/>
                      <w:szCs w:val="21"/>
                    </w:rPr>
                    <w:t>16</w:t>
                  </w:r>
                  <w:r>
                    <w:rPr>
                      <w:rFonts w:hint="eastAsia"/>
                      <w:bCs/>
                      <w:szCs w:val="21"/>
                    </w:rPr>
                    <w:t>台、钻攻中心</w:t>
                  </w:r>
                  <w:r>
                    <w:rPr>
                      <w:bCs/>
                      <w:szCs w:val="21"/>
                    </w:rPr>
                    <w:t>68</w:t>
                  </w:r>
                  <w:r>
                    <w:rPr>
                      <w:rFonts w:hint="eastAsia"/>
                      <w:bCs/>
                      <w:szCs w:val="21"/>
                    </w:rPr>
                    <w:t>台；</w:t>
                  </w:r>
                </w:p>
              </w:tc>
              <w:tc>
                <w:tcPr>
                  <w:tcW w:w="920" w:type="pct"/>
                  <w:tcBorders>
                    <w:left w:val="single" w:color="auto" w:sz="4" w:space="0"/>
                  </w:tcBorders>
                  <w:vAlign w:val="center"/>
                </w:tcPr>
                <w:p w14:paraId="5B9F04B6">
                  <w:pPr>
                    <w:jc w:val="center"/>
                    <w:rPr>
                      <w:bCs/>
                      <w:szCs w:val="21"/>
                    </w:rPr>
                  </w:pPr>
                  <w:r>
                    <w:rPr>
                      <w:rFonts w:hint="eastAsia"/>
                      <w:bCs/>
                      <w:szCs w:val="21"/>
                    </w:rPr>
                    <w:t>新建，设备利旧71台，新增69台</w:t>
                  </w:r>
                </w:p>
              </w:tc>
            </w:tr>
            <w:tr w14:paraId="6FE1A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18EC1A89">
                  <w:pPr>
                    <w:jc w:val="center"/>
                    <w:rPr>
                      <w:bCs/>
                      <w:szCs w:val="21"/>
                    </w:rPr>
                  </w:pPr>
                </w:p>
              </w:tc>
              <w:tc>
                <w:tcPr>
                  <w:tcW w:w="550" w:type="pct"/>
                  <w:vMerge w:val="continue"/>
                  <w:tcBorders>
                    <w:left w:val="single" w:color="auto" w:sz="4" w:space="0"/>
                  </w:tcBorders>
                  <w:vAlign w:val="center"/>
                </w:tcPr>
                <w:p w14:paraId="36A0D3F4">
                  <w:pPr>
                    <w:jc w:val="center"/>
                    <w:rPr>
                      <w:bCs/>
                      <w:szCs w:val="21"/>
                    </w:rPr>
                  </w:pPr>
                </w:p>
              </w:tc>
              <w:tc>
                <w:tcPr>
                  <w:tcW w:w="550" w:type="pct"/>
                  <w:tcBorders>
                    <w:left w:val="single" w:color="auto" w:sz="4" w:space="0"/>
                  </w:tcBorders>
                  <w:vAlign w:val="center"/>
                </w:tcPr>
                <w:p w14:paraId="6D845CA8">
                  <w:pPr>
                    <w:jc w:val="center"/>
                    <w:rPr>
                      <w:bCs/>
                      <w:szCs w:val="21"/>
                    </w:rPr>
                  </w:pPr>
                  <w:r>
                    <w:rPr>
                      <w:rFonts w:hint="eastAsia"/>
                      <w:bCs/>
                      <w:szCs w:val="21"/>
                    </w:rPr>
                    <w:t>浸渗区</w:t>
                  </w:r>
                </w:p>
              </w:tc>
              <w:tc>
                <w:tcPr>
                  <w:tcW w:w="2716" w:type="pct"/>
                  <w:gridSpan w:val="3"/>
                  <w:tcBorders>
                    <w:right w:val="single" w:color="auto" w:sz="4" w:space="0"/>
                  </w:tcBorders>
                  <w:vAlign w:val="center"/>
                </w:tcPr>
                <w:p w14:paraId="337EE72D">
                  <w:pPr>
                    <w:rPr>
                      <w:bCs/>
                      <w:szCs w:val="21"/>
                    </w:rPr>
                  </w:pPr>
                  <w:r>
                    <w:rPr>
                      <w:bCs/>
                      <w:szCs w:val="21"/>
                    </w:rPr>
                    <w:t>150</w:t>
                  </w:r>
                  <w:r>
                    <w:rPr>
                      <w:rFonts w:hint="eastAsia"/>
                      <w:bCs/>
                      <w:szCs w:val="21"/>
                    </w:rPr>
                    <w:t>m</w:t>
                  </w:r>
                  <w:r>
                    <w:rPr>
                      <w:bCs/>
                      <w:szCs w:val="21"/>
                      <w:vertAlign w:val="superscript"/>
                    </w:rPr>
                    <w:t>2</w:t>
                  </w:r>
                  <w:r>
                    <w:rPr>
                      <w:rFonts w:hint="eastAsia"/>
                      <w:bCs/>
                      <w:szCs w:val="21"/>
                    </w:rPr>
                    <w:t>，位于联合厂房内南侧，布置浸渗系统</w:t>
                  </w:r>
                  <w:r>
                    <w:rPr>
                      <w:bCs/>
                      <w:szCs w:val="21"/>
                    </w:rPr>
                    <w:t>2</w:t>
                  </w:r>
                  <w:r>
                    <w:rPr>
                      <w:rFonts w:hint="eastAsia"/>
                      <w:bCs/>
                      <w:szCs w:val="21"/>
                    </w:rPr>
                    <w:t>套；</w:t>
                  </w:r>
                </w:p>
              </w:tc>
              <w:tc>
                <w:tcPr>
                  <w:tcW w:w="920" w:type="pct"/>
                  <w:tcBorders>
                    <w:left w:val="single" w:color="auto" w:sz="4" w:space="0"/>
                  </w:tcBorders>
                  <w:vAlign w:val="center"/>
                </w:tcPr>
                <w:p w14:paraId="6CC656E7">
                  <w:pPr>
                    <w:jc w:val="center"/>
                    <w:rPr>
                      <w:bCs/>
                      <w:szCs w:val="21"/>
                    </w:rPr>
                  </w:pPr>
                  <w:r>
                    <w:rPr>
                      <w:rFonts w:hint="eastAsia"/>
                      <w:bCs/>
                      <w:szCs w:val="21"/>
                    </w:rPr>
                    <w:t>新建，设备利旧</w:t>
                  </w:r>
                  <w:r>
                    <w:rPr>
                      <w:bCs/>
                      <w:szCs w:val="21"/>
                    </w:rPr>
                    <w:t>1</w:t>
                  </w:r>
                  <w:r>
                    <w:rPr>
                      <w:rFonts w:hint="eastAsia"/>
                      <w:bCs/>
                      <w:szCs w:val="21"/>
                    </w:rPr>
                    <w:t>套，新增</w:t>
                  </w:r>
                  <w:r>
                    <w:rPr>
                      <w:bCs/>
                      <w:szCs w:val="21"/>
                    </w:rPr>
                    <w:t>1</w:t>
                  </w:r>
                  <w:r>
                    <w:rPr>
                      <w:rFonts w:hint="eastAsia"/>
                      <w:bCs/>
                      <w:szCs w:val="21"/>
                    </w:rPr>
                    <w:t>套</w:t>
                  </w:r>
                </w:p>
              </w:tc>
            </w:tr>
            <w:tr w14:paraId="50B81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3A25E721">
                  <w:pPr>
                    <w:jc w:val="center"/>
                    <w:rPr>
                      <w:bCs/>
                      <w:szCs w:val="21"/>
                    </w:rPr>
                  </w:pPr>
                </w:p>
              </w:tc>
              <w:tc>
                <w:tcPr>
                  <w:tcW w:w="550" w:type="pct"/>
                  <w:vMerge w:val="continue"/>
                  <w:tcBorders>
                    <w:left w:val="single" w:color="auto" w:sz="4" w:space="0"/>
                  </w:tcBorders>
                  <w:vAlign w:val="center"/>
                </w:tcPr>
                <w:p w14:paraId="3307FCBE">
                  <w:pPr>
                    <w:jc w:val="center"/>
                    <w:rPr>
                      <w:bCs/>
                      <w:szCs w:val="21"/>
                    </w:rPr>
                  </w:pPr>
                </w:p>
              </w:tc>
              <w:tc>
                <w:tcPr>
                  <w:tcW w:w="550" w:type="pct"/>
                  <w:tcBorders>
                    <w:left w:val="single" w:color="auto" w:sz="4" w:space="0"/>
                  </w:tcBorders>
                  <w:vAlign w:val="center"/>
                </w:tcPr>
                <w:p w14:paraId="70DE5FD6">
                  <w:pPr>
                    <w:jc w:val="center"/>
                    <w:rPr>
                      <w:bCs/>
                      <w:szCs w:val="21"/>
                    </w:rPr>
                  </w:pPr>
                  <w:r>
                    <w:rPr>
                      <w:rFonts w:hint="eastAsia"/>
                      <w:bCs/>
                      <w:szCs w:val="21"/>
                    </w:rPr>
                    <w:t>氦检区</w:t>
                  </w:r>
                </w:p>
              </w:tc>
              <w:tc>
                <w:tcPr>
                  <w:tcW w:w="2716" w:type="pct"/>
                  <w:gridSpan w:val="3"/>
                  <w:tcBorders>
                    <w:right w:val="single" w:color="auto" w:sz="4" w:space="0"/>
                  </w:tcBorders>
                  <w:vAlign w:val="center"/>
                </w:tcPr>
                <w:p w14:paraId="2E050C7F">
                  <w:pPr>
                    <w:rPr>
                      <w:bCs/>
                      <w:szCs w:val="21"/>
                    </w:rPr>
                  </w:pPr>
                  <w:r>
                    <w:rPr>
                      <w:bCs/>
                      <w:szCs w:val="21"/>
                    </w:rPr>
                    <w:t>150</w:t>
                  </w:r>
                  <w:r>
                    <w:rPr>
                      <w:rFonts w:hint="eastAsia"/>
                      <w:bCs/>
                      <w:szCs w:val="21"/>
                    </w:rPr>
                    <w:t>m</w:t>
                  </w:r>
                  <w:r>
                    <w:rPr>
                      <w:bCs/>
                      <w:szCs w:val="21"/>
                      <w:vertAlign w:val="superscript"/>
                    </w:rPr>
                    <w:t>2</w:t>
                  </w:r>
                  <w:r>
                    <w:rPr>
                      <w:rFonts w:hint="eastAsia"/>
                      <w:bCs/>
                      <w:szCs w:val="21"/>
                    </w:rPr>
                    <w:t>，位于联合厂房内西南侧，设置氦检机2台。</w:t>
                  </w:r>
                </w:p>
              </w:tc>
              <w:tc>
                <w:tcPr>
                  <w:tcW w:w="920" w:type="pct"/>
                  <w:tcBorders>
                    <w:left w:val="single" w:color="auto" w:sz="4" w:space="0"/>
                  </w:tcBorders>
                  <w:vAlign w:val="center"/>
                </w:tcPr>
                <w:p w14:paraId="44F8036E">
                  <w:pPr>
                    <w:jc w:val="center"/>
                    <w:rPr>
                      <w:bCs/>
                      <w:szCs w:val="21"/>
                    </w:rPr>
                  </w:pPr>
                  <w:r>
                    <w:rPr>
                      <w:rFonts w:hint="eastAsia"/>
                      <w:bCs/>
                      <w:szCs w:val="21"/>
                    </w:rPr>
                    <w:t>新建，设备利旧</w:t>
                  </w:r>
                  <w:r>
                    <w:rPr>
                      <w:bCs/>
                      <w:szCs w:val="21"/>
                    </w:rPr>
                    <w:t>1</w:t>
                  </w:r>
                  <w:r>
                    <w:rPr>
                      <w:rFonts w:hint="eastAsia"/>
                      <w:bCs/>
                      <w:szCs w:val="21"/>
                    </w:rPr>
                    <w:t>台，新增</w:t>
                  </w:r>
                  <w:r>
                    <w:rPr>
                      <w:bCs/>
                      <w:szCs w:val="21"/>
                    </w:rPr>
                    <w:t>1</w:t>
                  </w:r>
                  <w:r>
                    <w:rPr>
                      <w:rFonts w:hint="eastAsia"/>
                      <w:bCs/>
                      <w:szCs w:val="21"/>
                    </w:rPr>
                    <w:t>台</w:t>
                  </w:r>
                </w:p>
              </w:tc>
            </w:tr>
            <w:tr w14:paraId="79395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19BA3C00">
                  <w:pPr>
                    <w:jc w:val="center"/>
                    <w:rPr>
                      <w:bCs/>
                      <w:szCs w:val="21"/>
                    </w:rPr>
                  </w:pPr>
                </w:p>
              </w:tc>
              <w:tc>
                <w:tcPr>
                  <w:tcW w:w="550" w:type="pct"/>
                  <w:vMerge w:val="continue"/>
                  <w:tcBorders>
                    <w:left w:val="single" w:color="auto" w:sz="4" w:space="0"/>
                  </w:tcBorders>
                  <w:vAlign w:val="center"/>
                </w:tcPr>
                <w:p w14:paraId="56DA020F">
                  <w:pPr>
                    <w:jc w:val="center"/>
                    <w:rPr>
                      <w:bCs/>
                      <w:szCs w:val="21"/>
                    </w:rPr>
                  </w:pPr>
                </w:p>
              </w:tc>
              <w:tc>
                <w:tcPr>
                  <w:tcW w:w="550" w:type="pct"/>
                  <w:tcBorders>
                    <w:left w:val="single" w:color="auto" w:sz="4" w:space="0"/>
                  </w:tcBorders>
                  <w:vAlign w:val="center"/>
                </w:tcPr>
                <w:p w14:paraId="3AF02165">
                  <w:pPr>
                    <w:jc w:val="center"/>
                    <w:rPr>
                      <w:bCs/>
                      <w:szCs w:val="21"/>
                    </w:rPr>
                  </w:pPr>
                  <w:r>
                    <w:rPr>
                      <w:rFonts w:hint="eastAsia"/>
                      <w:bCs/>
                      <w:szCs w:val="21"/>
                    </w:rPr>
                    <w:t>清洗区</w:t>
                  </w:r>
                </w:p>
              </w:tc>
              <w:tc>
                <w:tcPr>
                  <w:tcW w:w="2716" w:type="pct"/>
                  <w:gridSpan w:val="3"/>
                  <w:tcBorders>
                    <w:right w:val="single" w:color="auto" w:sz="4" w:space="0"/>
                  </w:tcBorders>
                  <w:vAlign w:val="center"/>
                </w:tcPr>
                <w:p w14:paraId="7F29BB24">
                  <w:pPr>
                    <w:rPr>
                      <w:bCs/>
                      <w:szCs w:val="21"/>
                    </w:rPr>
                  </w:pPr>
                  <w:r>
                    <w:rPr>
                      <w:bCs/>
                      <w:szCs w:val="21"/>
                    </w:rPr>
                    <w:t>240</w:t>
                  </w:r>
                  <w:r>
                    <w:rPr>
                      <w:rFonts w:hint="eastAsia"/>
                      <w:bCs/>
                      <w:szCs w:val="21"/>
                    </w:rPr>
                    <w:t>m</w:t>
                  </w:r>
                  <w:r>
                    <w:rPr>
                      <w:bCs/>
                      <w:szCs w:val="21"/>
                      <w:vertAlign w:val="superscript"/>
                    </w:rPr>
                    <w:t>2</w:t>
                  </w:r>
                  <w:r>
                    <w:rPr>
                      <w:rFonts w:hint="eastAsia"/>
                      <w:bCs/>
                      <w:szCs w:val="21"/>
                    </w:rPr>
                    <w:t>，位于联合厂房内南侧，布置超声波清洗机2台；</w:t>
                  </w:r>
                </w:p>
              </w:tc>
              <w:tc>
                <w:tcPr>
                  <w:tcW w:w="920" w:type="pct"/>
                  <w:tcBorders>
                    <w:left w:val="single" w:color="auto" w:sz="4" w:space="0"/>
                  </w:tcBorders>
                  <w:vAlign w:val="center"/>
                </w:tcPr>
                <w:p w14:paraId="3807B9D3">
                  <w:pPr>
                    <w:jc w:val="center"/>
                    <w:rPr>
                      <w:bCs/>
                      <w:szCs w:val="21"/>
                    </w:rPr>
                  </w:pPr>
                  <w:r>
                    <w:rPr>
                      <w:rFonts w:hint="eastAsia"/>
                      <w:bCs/>
                      <w:szCs w:val="21"/>
                    </w:rPr>
                    <w:t>新建，设备利旧1台，新增1台</w:t>
                  </w:r>
                </w:p>
              </w:tc>
            </w:tr>
            <w:tr w14:paraId="7C6ED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255C586C">
                  <w:pPr>
                    <w:jc w:val="center"/>
                    <w:rPr>
                      <w:bCs/>
                      <w:szCs w:val="21"/>
                    </w:rPr>
                  </w:pPr>
                </w:p>
              </w:tc>
              <w:tc>
                <w:tcPr>
                  <w:tcW w:w="550" w:type="pct"/>
                  <w:vMerge w:val="continue"/>
                  <w:tcBorders>
                    <w:left w:val="single" w:color="auto" w:sz="4" w:space="0"/>
                  </w:tcBorders>
                  <w:vAlign w:val="center"/>
                </w:tcPr>
                <w:p w14:paraId="325BA2AE">
                  <w:pPr>
                    <w:jc w:val="center"/>
                    <w:rPr>
                      <w:bCs/>
                      <w:szCs w:val="21"/>
                    </w:rPr>
                  </w:pPr>
                </w:p>
              </w:tc>
              <w:tc>
                <w:tcPr>
                  <w:tcW w:w="550" w:type="pct"/>
                  <w:tcBorders>
                    <w:left w:val="single" w:color="auto" w:sz="4" w:space="0"/>
                  </w:tcBorders>
                  <w:vAlign w:val="center"/>
                </w:tcPr>
                <w:p w14:paraId="3C410C2B">
                  <w:pPr>
                    <w:jc w:val="center"/>
                    <w:rPr>
                      <w:bCs/>
                      <w:szCs w:val="21"/>
                    </w:rPr>
                  </w:pPr>
                  <w:r>
                    <w:rPr>
                      <w:rFonts w:hint="eastAsia"/>
                      <w:bCs/>
                      <w:szCs w:val="21"/>
                    </w:rPr>
                    <w:t>包装区</w:t>
                  </w:r>
                </w:p>
              </w:tc>
              <w:tc>
                <w:tcPr>
                  <w:tcW w:w="2716" w:type="pct"/>
                  <w:gridSpan w:val="3"/>
                  <w:tcBorders>
                    <w:right w:val="single" w:color="auto" w:sz="4" w:space="0"/>
                  </w:tcBorders>
                  <w:vAlign w:val="center"/>
                </w:tcPr>
                <w:p w14:paraId="7A6C0E29">
                  <w:pPr>
                    <w:rPr>
                      <w:bCs/>
                      <w:szCs w:val="21"/>
                    </w:rPr>
                  </w:pPr>
                  <w:r>
                    <w:rPr>
                      <w:bCs/>
                      <w:szCs w:val="21"/>
                    </w:rPr>
                    <w:t>200</w:t>
                  </w:r>
                  <w:r>
                    <w:rPr>
                      <w:rFonts w:hint="eastAsia"/>
                      <w:bCs/>
                      <w:szCs w:val="21"/>
                    </w:rPr>
                    <w:t>m</w:t>
                  </w:r>
                  <w:r>
                    <w:rPr>
                      <w:bCs/>
                      <w:szCs w:val="21"/>
                      <w:vertAlign w:val="superscript"/>
                    </w:rPr>
                    <w:t>2</w:t>
                  </w:r>
                  <w:r>
                    <w:rPr>
                      <w:rFonts w:hint="eastAsia"/>
                      <w:bCs/>
                      <w:szCs w:val="21"/>
                    </w:rPr>
                    <w:t>，位于联合厂房内南侧，布置</w:t>
                  </w:r>
                  <w:r>
                    <w:rPr>
                      <w:rFonts w:hint="eastAsia"/>
                      <w:kern w:val="0"/>
                      <w:szCs w:val="21"/>
                    </w:rPr>
                    <w:t>打包机、</w:t>
                  </w:r>
                  <w:r>
                    <w:rPr>
                      <w:rFonts w:hint="eastAsia"/>
                      <w:bCs/>
                      <w:szCs w:val="21"/>
                    </w:rPr>
                    <w:t>叉车等设备；</w:t>
                  </w:r>
                </w:p>
              </w:tc>
              <w:tc>
                <w:tcPr>
                  <w:tcW w:w="920" w:type="pct"/>
                  <w:tcBorders>
                    <w:left w:val="single" w:color="auto" w:sz="4" w:space="0"/>
                  </w:tcBorders>
                  <w:vAlign w:val="center"/>
                </w:tcPr>
                <w:p w14:paraId="5D9F9943">
                  <w:pPr>
                    <w:jc w:val="center"/>
                    <w:rPr>
                      <w:bCs/>
                      <w:szCs w:val="21"/>
                    </w:rPr>
                  </w:pPr>
                  <w:r>
                    <w:rPr>
                      <w:rFonts w:hint="eastAsia"/>
                      <w:bCs/>
                      <w:szCs w:val="21"/>
                    </w:rPr>
                    <w:t>新建，叉车均利旧</w:t>
                  </w:r>
                </w:p>
              </w:tc>
            </w:tr>
            <w:tr w14:paraId="642D3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4AFDE62E">
                  <w:pPr>
                    <w:jc w:val="center"/>
                    <w:rPr>
                      <w:bCs/>
                      <w:szCs w:val="21"/>
                    </w:rPr>
                  </w:pPr>
                </w:p>
              </w:tc>
              <w:tc>
                <w:tcPr>
                  <w:tcW w:w="550" w:type="pct"/>
                  <w:vMerge w:val="continue"/>
                  <w:tcBorders>
                    <w:left w:val="single" w:color="auto" w:sz="4" w:space="0"/>
                  </w:tcBorders>
                  <w:vAlign w:val="center"/>
                </w:tcPr>
                <w:p w14:paraId="4910E6E2">
                  <w:pPr>
                    <w:jc w:val="center"/>
                    <w:rPr>
                      <w:bCs/>
                      <w:szCs w:val="21"/>
                    </w:rPr>
                  </w:pPr>
                </w:p>
              </w:tc>
              <w:tc>
                <w:tcPr>
                  <w:tcW w:w="550" w:type="pct"/>
                  <w:tcBorders>
                    <w:left w:val="single" w:color="auto" w:sz="4" w:space="0"/>
                  </w:tcBorders>
                  <w:vAlign w:val="center"/>
                </w:tcPr>
                <w:p w14:paraId="575876D9">
                  <w:pPr>
                    <w:jc w:val="center"/>
                    <w:rPr>
                      <w:bCs/>
                      <w:szCs w:val="21"/>
                    </w:rPr>
                  </w:pPr>
                  <w:r>
                    <w:rPr>
                      <w:rFonts w:hint="eastAsia"/>
                      <w:bCs/>
                      <w:szCs w:val="21"/>
                    </w:rPr>
                    <w:t>模具维修区</w:t>
                  </w:r>
                </w:p>
              </w:tc>
              <w:tc>
                <w:tcPr>
                  <w:tcW w:w="2716" w:type="pct"/>
                  <w:gridSpan w:val="3"/>
                  <w:tcBorders>
                    <w:right w:val="single" w:color="auto" w:sz="4" w:space="0"/>
                  </w:tcBorders>
                  <w:vAlign w:val="center"/>
                </w:tcPr>
                <w:p w14:paraId="754E853F">
                  <w:pPr>
                    <w:rPr>
                      <w:bCs/>
                      <w:szCs w:val="21"/>
                    </w:rPr>
                  </w:pPr>
                  <w:r>
                    <w:rPr>
                      <w:bCs/>
                      <w:szCs w:val="21"/>
                    </w:rPr>
                    <w:t>250</w:t>
                  </w:r>
                  <w:r>
                    <w:rPr>
                      <w:rFonts w:hint="eastAsia"/>
                      <w:bCs/>
                      <w:szCs w:val="21"/>
                    </w:rPr>
                    <w:t>m</w:t>
                  </w:r>
                  <w:r>
                    <w:rPr>
                      <w:bCs/>
                      <w:szCs w:val="21"/>
                      <w:vertAlign w:val="superscript"/>
                    </w:rPr>
                    <w:t>2</w:t>
                  </w:r>
                  <w:r>
                    <w:rPr>
                      <w:rFonts w:hint="eastAsia"/>
                      <w:bCs/>
                      <w:szCs w:val="21"/>
                    </w:rPr>
                    <w:t>，位于联合厂房内西北侧，布置立式锯床、高温电阻炉、二机车床、电焊机、被覆机等设备；</w:t>
                  </w:r>
                </w:p>
              </w:tc>
              <w:tc>
                <w:tcPr>
                  <w:tcW w:w="920" w:type="pct"/>
                  <w:tcBorders>
                    <w:left w:val="single" w:color="auto" w:sz="4" w:space="0"/>
                  </w:tcBorders>
                  <w:vAlign w:val="center"/>
                </w:tcPr>
                <w:p w14:paraId="6C951A57">
                  <w:pPr>
                    <w:jc w:val="center"/>
                    <w:rPr>
                      <w:bCs/>
                      <w:szCs w:val="21"/>
                    </w:rPr>
                  </w:pPr>
                  <w:r>
                    <w:rPr>
                      <w:rFonts w:hint="eastAsia"/>
                      <w:bCs/>
                      <w:szCs w:val="21"/>
                    </w:rPr>
                    <w:t>新建，设备利旧</w:t>
                  </w:r>
                </w:p>
              </w:tc>
            </w:tr>
            <w:tr w14:paraId="49E49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15B5DD65">
                  <w:pPr>
                    <w:jc w:val="center"/>
                    <w:rPr>
                      <w:bCs/>
                      <w:szCs w:val="21"/>
                    </w:rPr>
                  </w:pPr>
                </w:p>
              </w:tc>
              <w:tc>
                <w:tcPr>
                  <w:tcW w:w="550" w:type="pct"/>
                  <w:vMerge w:val="continue"/>
                  <w:tcBorders>
                    <w:left w:val="single" w:color="auto" w:sz="4" w:space="0"/>
                  </w:tcBorders>
                  <w:vAlign w:val="center"/>
                </w:tcPr>
                <w:p w14:paraId="457E0A70">
                  <w:pPr>
                    <w:jc w:val="center"/>
                    <w:rPr>
                      <w:bCs/>
                      <w:szCs w:val="21"/>
                    </w:rPr>
                  </w:pPr>
                </w:p>
              </w:tc>
              <w:tc>
                <w:tcPr>
                  <w:tcW w:w="550" w:type="pct"/>
                  <w:tcBorders>
                    <w:left w:val="single" w:color="auto" w:sz="4" w:space="0"/>
                  </w:tcBorders>
                  <w:vAlign w:val="center"/>
                </w:tcPr>
                <w:p w14:paraId="5E891B74">
                  <w:pPr>
                    <w:jc w:val="center"/>
                    <w:rPr>
                      <w:bCs/>
                      <w:szCs w:val="21"/>
                    </w:rPr>
                  </w:pPr>
                  <w:r>
                    <w:rPr>
                      <w:rFonts w:hint="eastAsia"/>
                      <w:bCs/>
                      <w:szCs w:val="21"/>
                    </w:rPr>
                    <w:t>抛丸区</w:t>
                  </w:r>
                </w:p>
              </w:tc>
              <w:tc>
                <w:tcPr>
                  <w:tcW w:w="2716" w:type="pct"/>
                  <w:gridSpan w:val="3"/>
                  <w:tcBorders>
                    <w:right w:val="single" w:color="auto" w:sz="4" w:space="0"/>
                  </w:tcBorders>
                  <w:vAlign w:val="center"/>
                </w:tcPr>
                <w:p w14:paraId="40D0A131">
                  <w:pPr>
                    <w:rPr>
                      <w:bCs/>
                      <w:szCs w:val="21"/>
                    </w:rPr>
                  </w:pPr>
                  <w:r>
                    <w:rPr>
                      <w:bCs/>
                      <w:szCs w:val="21"/>
                    </w:rPr>
                    <w:t>220</w:t>
                  </w:r>
                  <w:r>
                    <w:rPr>
                      <w:rFonts w:hint="eastAsia"/>
                      <w:bCs/>
                      <w:szCs w:val="21"/>
                    </w:rPr>
                    <w:t>m</w:t>
                  </w:r>
                  <w:r>
                    <w:rPr>
                      <w:bCs/>
                      <w:szCs w:val="21"/>
                      <w:vertAlign w:val="superscript"/>
                    </w:rPr>
                    <w:t>2</w:t>
                  </w:r>
                  <w:r>
                    <w:rPr>
                      <w:rFonts w:hint="eastAsia"/>
                      <w:bCs/>
                      <w:szCs w:val="21"/>
                    </w:rPr>
                    <w:t>，位于联合厂房西侧辅房1层中部，布置抛丸机</w:t>
                  </w:r>
                  <w:r>
                    <w:rPr>
                      <w:bCs/>
                      <w:szCs w:val="21"/>
                    </w:rPr>
                    <w:t>4</w:t>
                  </w:r>
                  <w:r>
                    <w:rPr>
                      <w:rFonts w:hint="eastAsia"/>
                      <w:bCs/>
                      <w:szCs w:val="21"/>
                    </w:rPr>
                    <w:t>台；</w:t>
                  </w:r>
                </w:p>
              </w:tc>
              <w:tc>
                <w:tcPr>
                  <w:tcW w:w="920" w:type="pct"/>
                  <w:tcBorders>
                    <w:left w:val="single" w:color="auto" w:sz="4" w:space="0"/>
                  </w:tcBorders>
                  <w:vAlign w:val="center"/>
                </w:tcPr>
                <w:p w14:paraId="5A82CCBD">
                  <w:pPr>
                    <w:jc w:val="center"/>
                    <w:rPr>
                      <w:bCs/>
                      <w:szCs w:val="21"/>
                    </w:rPr>
                  </w:pPr>
                  <w:r>
                    <w:rPr>
                      <w:rFonts w:hint="eastAsia"/>
                      <w:bCs/>
                      <w:szCs w:val="21"/>
                    </w:rPr>
                    <w:t>新建，设备利旧</w:t>
                  </w:r>
                  <w:r>
                    <w:rPr>
                      <w:bCs/>
                      <w:szCs w:val="21"/>
                    </w:rPr>
                    <w:t>3</w:t>
                  </w:r>
                  <w:r>
                    <w:rPr>
                      <w:rFonts w:hint="eastAsia"/>
                      <w:bCs/>
                      <w:szCs w:val="21"/>
                    </w:rPr>
                    <w:t>台，新增</w:t>
                  </w:r>
                  <w:r>
                    <w:rPr>
                      <w:bCs/>
                      <w:szCs w:val="21"/>
                    </w:rPr>
                    <w:t>1</w:t>
                  </w:r>
                  <w:r>
                    <w:rPr>
                      <w:rFonts w:hint="eastAsia"/>
                      <w:bCs/>
                      <w:szCs w:val="21"/>
                    </w:rPr>
                    <w:t>台</w:t>
                  </w:r>
                </w:p>
              </w:tc>
            </w:tr>
            <w:tr w14:paraId="4BD88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702E637">
                  <w:pPr>
                    <w:jc w:val="center"/>
                    <w:rPr>
                      <w:bCs/>
                      <w:szCs w:val="21"/>
                    </w:rPr>
                  </w:pPr>
                </w:p>
              </w:tc>
              <w:tc>
                <w:tcPr>
                  <w:tcW w:w="550" w:type="pct"/>
                  <w:vMerge w:val="continue"/>
                  <w:tcBorders>
                    <w:left w:val="single" w:color="auto" w:sz="4" w:space="0"/>
                  </w:tcBorders>
                  <w:vAlign w:val="center"/>
                </w:tcPr>
                <w:p w14:paraId="727C527D">
                  <w:pPr>
                    <w:jc w:val="center"/>
                    <w:rPr>
                      <w:bCs/>
                      <w:szCs w:val="21"/>
                    </w:rPr>
                  </w:pPr>
                </w:p>
              </w:tc>
              <w:tc>
                <w:tcPr>
                  <w:tcW w:w="550" w:type="pct"/>
                  <w:tcBorders>
                    <w:left w:val="single" w:color="auto" w:sz="4" w:space="0"/>
                  </w:tcBorders>
                  <w:vAlign w:val="center"/>
                </w:tcPr>
                <w:p w14:paraId="04BBF29C">
                  <w:pPr>
                    <w:jc w:val="center"/>
                    <w:rPr>
                      <w:bCs/>
                      <w:szCs w:val="21"/>
                    </w:rPr>
                  </w:pPr>
                  <w:r>
                    <w:rPr>
                      <w:rFonts w:hint="eastAsia"/>
                      <w:bCs/>
                      <w:szCs w:val="21"/>
                    </w:rPr>
                    <w:t>检验区</w:t>
                  </w:r>
                </w:p>
              </w:tc>
              <w:tc>
                <w:tcPr>
                  <w:tcW w:w="2716" w:type="pct"/>
                  <w:gridSpan w:val="3"/>
                  <w:tcBorders>
                    <w:right w:val="single" w:color="auto" w:sz="4" w:space="0"/>
                  </w:tcBorders>
                  <w:vAlign w:val="center"/>
                </w:tcPr>
                <w:p w14:paraId="0A31A881">
                  <w:pPr>
                    <w:rPr>
                      <w:bCs/>
                      <w:szCs w:val="21"/>
                    </w:rPr>
                  </w:pPr>
                  <w:r>
                    <w:rPr>
                      <w:bCs/>
                      <w:szCs w:val="21"/>
                    </w:rPr>
                    <w:t>800m</w:t>
                  </w:r>
                  <w:r>
                    <w:rPr>
                      <w:bCs/>
                      <w:szCs w:val="21"/>
                      <w:vertAlign w:val="superscript"/>
                    </w:rPr>
                    <w:t>2</w:t>
                  </w:r>
                  <w:r>
                    <w:rPr>
                      <w:rFonts w:hint="eastAsia"/>
                      <w:bCs/>
                      <w:szCs w:val="21"/>
                    </w:rPr>
                    <w:t>，位于南侧辅房</w:t>
                  </w:r>
                  <w:r>
                    <w:rPr>
                      <w:bCs/>
                      <w:szCs w:val="21"/>
                    </w:rPr>
                    <w:t>1</w:t>
                  </w:r>
                  <w:r>
                    <w:rPr>
                      <w:rFonts w:hint="eastAsia"/>
                      <w:bCs/>
                      <w:szCs w:val="21"/>
                    </w:rPr>
                    <w:t>层，布置水检机、探伤仪、三坐标机、硬度检测仪、轮廓仪、粗糙度仪、手动圆柱台、电子式气动量仪、光谱仪、万能试验机等设备；</w:t>
                  </w:r>
                </w:p>
              </w:tc>
              <w:tc>
                <w:tcPr>
                  <w:tcW w:w="920" w:type="pct"/>
                  <w:tcBorders>
                    <w:left w:val="single" w:color="auto" w:sz="4" w:space="0"/>
                  </w:tcBorders>
                  <w:vAlign w:val="center"/>
                </w:tcPr>
                <w:p w14:paraId="7BC6E4F7">
                  <w:pPr>
                    <w:jc w:val="center"/>
                    <w:rPr>
                      <w:bCs/>
                      <w:szCs w:val="21"/>
                    </w:rPr>
                  </w:pPr>
                  <w:r>
                    <w:rPr>
                      <w:rFonts w:hint="eastAsia"/>
                      <w:bCs/>
                      <w:szCs w:val="21"/>
                    </w:rPr>
                    <w:t>新建，光谱仪、万能试验机为新增设备，其他利旧</w:t>
                  </w:r>
                </w:p>
              </w:tc>
            </w:tr>
            <w:tr w14:paraId="28B90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restart"/>
                  <w:tcBorders>
                    <w:right w:val="single" w:color="auto" w:sz="4" w:space="0"/>
                  </w:tcBorders>
                  <w:tcMar>
                    <w:left w:w="28" w:type="dxa"/>
                    <w:right w:w="28" w:type="dxa"/>
                  </w:tcMar>
                  <w:vAlign w:val="center"/>
                </w:tcPr>
                <w:p w14:paraId="0F122A9A">
                  <w:pPr>
                    <w:jc w:val="center"/>
                    <w:rPr>
                      <w:bCs/>
                      <w:szCs w:val="21"/>
                    </w:rPr>
                  </w:pPr>
                  <w:r>
                    <w:rPr>
                      <w:rFonts w:hint="eastAsia"/>
                      <w:bCs/>
                      <w:szCs w:val="21"/>
                    </w:rPr>
                    <w:t>辅助工程</w:t>
                  </w:r>
                </w:p>
              </w:tc>
              <w:tc>
                <w:tcPr>
                  <w:tcW w:w="1100" w:type="pct"/>
                  <w:gridSpan w:val="2"/>
                  <w:tcBorders>
                    <w:left w:val="single" w:color="auto" w:sz="4" w:space="0"/>
                  </w:tcBorders>
                  <w:vAlign w:val="center"/>
                </w:tcPr>
                <w:p w14:paraId="7D2B5569">
                  <w:pPr>
                    <w:jc w:val="center"/>
                    <w:rPr>
                      <w:bCs/>
                      <w:szCs w:val="21"/>
                    </w:rPr>
                  </w:pPr>
                  <w:r>
                    <w:rPr>
                      <w:rFonts w:hint="eastAsia"/>
                      <w:bCs/>
                      <w:szCs w:val="21"/>
                    </w:rPr>
                    <w:t>办公室</w:t>
                  </w:r>
                </w:p>
              </w:tc>
              <w:tc>
                <w:tcPr>
                  <w:tcW w:w="2716" w:type="pct"/>
                  <w:gridSpan w:val="3"/>
                  <w:tcBorders>
                    <w:right w:val="single" w:color="auto" w:sz="4" w:space="0"/>
                  </w:tcBorders>
                  <w:vAlign w:val="center"/>
                </w:tcPr>
                <w:p w14:paraId="43C27F92">
                  <w:pPr>
                    <w:rPr>
                      <w:bCs/>
                      <w:szCs w:val="21"/>
                    </w:rPr>
                  </w:pPr>
                  <w:r>
                    <w:rPr>
                      <w:rFonts w:hint="eastAsia"/>
                      <w:bCs/>
                      <w:szCs w:val="21"/>
                    </w:rPr>
                    <w:t>分布于联合厂房南侧辅房2F~</w:t>
                  </w:r>
                  <w:r>
                    <w:rPr>
                      <w:bCs/>
                      <w:szCs w:val="21"/>
                    </w:rPr>
                    <w:t>4</w:t>
                  </w:r>
                  <w:r>
                    <w:rPr>
                      <w:rFonts w:hint="eastAsia"/>
                      <w:bCs/>
                      <w:szCs w:val="21"/>
                    </w:rPr>
                    <w:t>F，建筑面积约2</w:t>
                  </w:r>
                  <w:r>
                    <w:rPr>
                      <w:bCs/>
                      <w:szCs w:val="21"/>
                    </w:rPr>
                    <w:t>400m</w:t>
                  </w:r>
                  <w:r>
                    <w:rPr>
                      <w:bCs/>
                      <w:szCs w:val="21"/>
                      <w:vertAlign w:val="superscript"/>
                    </w:rPr>
                    <w:t>2</w:t>
                  </w:r>
                  <w:r>
                    <w:rPr>
                      <w:rFonts w:hint="eastAsia"/>
                      <w:bCs/>
                      <w:szCs w:val="21"/>
                    </w:rPr>
                    <w:t>，共建设</w:t>
                  </w:r>
                  <w:r>
                    <w:rPr>
                      <w:bCs/>
                      <w:szCs w:val="21"/>
                    </w:rPr>
                    <w:t>9</w:t>
                  </w:r>
                  <w:r>
                    <w:rPr>
                      <w:rFonts w:hint="eastAsia"/>
                      <w:bCs/>
                      <w:szCs w:val="21"/>
                    </w:rPr>
                    <w:t>间办公室。</w:t>
                  </w:r>
                </w:p>
              </w:tc>
              <w:tc>
                <w:tcPr>
                  <w:tcW w:w="920" w:type="pct"/>
                  <w:tcBorders>
                    <w:left w:val="single" w:color="auto" w:sz="4" w:space="0"/>
                  </w:tcBorders>
                  <w:vAlign w:val="center"/>
                </w:tcPr>
                <w:p w14:paraId="11365E81">
                  <w:pPr>
                    <w:jc w:val="center"/>
                    <w:rPr>
                      <w:bCs/>
                      <w:szCs w:val="21"/>
                    </w:rPr>
                  </w:pPr>
                  <w:r>
                    <w:rPr>
                      <w:rFonts w:hint="eastAsia"/>
                      <w:bCs/>
                      <w:szCs w:val="21"/>
                    </w:rPr>
                    <w:t>新建</w:t>
                  </w:r>
                </w:p>
              </w:tc>
            </w:tr>
            <w:tr w14:paraId="2AF9F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01B979B">
                  <w:pPr>
                    <w:jc w:val="center"/>
                    <w:rPr>
                      <w:bCs/>
                      <w:szCs w:val="21"/>
                    </w:rPr>
                  </w:pPr>
                </w:p>
              </w:tc>
              <w:tc>
                <w:tcPr>
                  <w:tcW w:w="1100" w:type="pct"/>
                  <w:gridSpan w:val="2"/>
                  <w:tcBorders>
                    <w:left w:val="single" w:color="auto" w:sz="4" w:space="0"/>
                  </w:tcBorders>
                  <w:vAlign w:val="center"/>
                </w:tcPr>
                <w:p w14:paraId="2A93146A">
                  <w:pPr>
                    <w:jc w:val="center"/>
                    <w:rPr>
                      <w:bCs/>
                      <w:szCs w:val="21"/>
                    </w:rPr>
                  </w:pPr>
                  <w:r>
                    <w:rPr>
                      <w:bCs/>
                      <w:szCs w:val="21"/>
                    </w:rPr>
                    <w:t>倒班楼</w:t>
                  </w:r>
                </w:p>
              </w:tc>
              <w:tc>
                <w:tcPr>
                  <w:tcW w:w="2716" w:type="pct"/>
                  <w:gridSpan w:val="3"/>
                  <w:tcBorders>
                    <w:right w:val="single" w:color="auto" w:sz="4" w:space="0"/>
                  </w:tcBorders>
                  <w:vAlign w:val="center"/>
                </w:tcPr>
                <w:p w14:paraId="3C448270">
                  <w:pPr>
                    <w:rPr>
                      <w:bCs/>
                      <w:szCs w:val="21"/>
                    </w:rPr>
                  </w:pPr>
                  <w:r>
                    <w:rPr>
                      <w:bCs/>
                      <w:szCs w:val="21"/>
                    </w:rPr>
                    <w:t>位于厂区西南角</w:t>
                  </w:r>
                  <w:r>
                    <w:rPr>
                      <w:rFonts w:hint="eastAsia"/>
                      <w:bCs/>
                      <w:szCs w:val="21"/>
                    </w:rPr>
                    <w:t>，</w:t>
                  </w:r>
                  <w:r>
                    <w:rPr>
                      <w:bCs/>
                      <w:szCs w:val="21"/>
                    </w:rPr>
                    <w:t>占地面积约</w:t>
                  </w:r>
                  <w:r>
                    <w:rPr>
                      <w:rFonts w:hint="eastAsia"/>
                      <w:bCs/>
                      <w:szCs w:val="21"/>
                    </w:rPr>
                    <w:t>5</w:t>
                  </w:r>
                  <w:r>
                    <w:rPr>
                      <w:bCs/>
                      <w:szCs w:val="21"/>
                    </w:rPr>
                    <w:t>40m</w:t>
                  </w:r>
                  <w:r>
                    <w:rPr>
                      <w:bCs/>
                      <w:szCs w:val="21"/>
                      <w:vertAlign w:val="superscript"/>
                    </w:rPr>
                    <w:t>2</w:t>
                  </w:r>
                  <w:r>
                    <w:rPr>
                      <w:rFonts w:hint="eastAsia"/>
                      <w:bCs/>
                      <w:szCs w:val="21"/>
                    </w:rPr>
                    <w:t>，</w:t>
                  </w:r>
                  <w:r>
                    <w:rPr>
                      <w:bCs/>
                      <w:szCs w:val="21"/>
                    </w:rPr>
                    <w:t>共</w:t>
                  </w:r>
                  <w:r>
                    <w:rPr>
                      <w:rFonts w:hint="eastAsia"/>
                      <w:bCs/>
                      <w:szCs w:val="21"/>
                    </w:rPr>
                    <w:t>3层。</w:t>
                  </w:r>
                </w:p>
                <w:p w14:paraId="21DBF4A5">
                  <w:pPr>
                    <w:rPr>
                      <w:bCs/>
                      <w:szCs w:val="21"/>
                    </w:rPr>
                  </w:pPr>
                  <w:r>
                    <w:rPr>
                      <w:rFonts w:hint="eastAsia"/>
                      <w:bCs/>
                      <w:szCs w:val="21"/>
                    </w:rPr>
                    <w:t>1层建设食堂</w:t>
                  </w:r>
                  <w:r>
                    <w:rPr>
                      <w:bCs/>
                      <w:szCs w:val="21"/>
                    </w:rPr>
                    <w:t>1间</w:t>
                  </w:r>
                  <w:r>
                    <w:rPr>
                      <w:rFonts w:hint="eastAsia"/>
                      <w:bCs/>
                      <w:szCs w:val="21"/>
                    </w:rPr>
                    <w:t>，</w:t>
                  </w:r>
                  <w:r>
                    <w:rPr>
                      <w:bCs/>
                      <w:szCs w:val="21"/>
                    </w:rPr>
                    <w:t>共员工就餐</w:t>
                  </w:r>
                  <w:r>
                    <w:rPr>
                      <w:rFonts w:hint="eastAsia"/>
                      <w:bCs/>
                      <w:szCs w:val="21"/>
                    </w:rPr>
                    <w:t>。</w:t>
                  </w:r>
                  <w:r>
                    <w:rPr>
                      <w:bCs/>
                      <w:szCs w:val="21"/>
                    </w:rPr>
                    <w:t>2层建设员工宿舍</w:t>
                  </w:r>
                  <w:r>
                    <w:rPr>
                      <w:rFonts w:hint="eastAsia"/>
                      <w:bCs/>
                      <w:szCs w:val="21"/>
                    </w:rPr>
                    <w:t>1</w:t>
                  </w:r>
                  <w:r>
                    <w:rPr>
                      <w:bCs/>
                      <w:szCs w:val="21"/>
                    </w:rPr>
                    <w:t>3间</w:t>
                  </w:r>
                  <w:r>
                    <w:rPr>
                      <w:rFonts w:hint="eastAsia"/>
                      <w:bCs/>
                      <w:szCs w:val="21"/>
                    </w:rPr>
                    <w:t>，</w:t>
                  </w:r>
                  <w:r>
                    <w:rPr>
                      <w:bCs/>
                      <w:szCs w:val="21"/>
                    </w:rPr>
                    <w:t>洗衣房</w:t>
                  </w:r>
                  <w:r>
                    <w:rPr>
                      <w:rFonts w:hint="eastAsia"/>
                      <w:bCs/>
                      <w:szCs w:val="21"/>
                    </w:rPr>
                    <w:t>1间。3层建设</w:t>
                  </w:r>
                  <w:r>
                    <w:rPr>
                      <w:bCs/>
                      <w:szCs w:val="21"/>
                    </w:rPr>
                    <w:t>员工宿舍14间</w:t>
                  </w:r>
                  <w:r>
                    <w:rPr>
                      <w:rFonts w:hint="eastAsia"/>
                      <w:bCs/>
                      <w:szCs w:val="21"/>
                    </w:rPr>
                    <w:t>。</w:t>
                  </w:r>
                </w:p>
              </w:tc>
              <w:tc>
                <w:tcPr>
                  <w:tcW w:w="920" w:type="pct"/>
                  <w:tcBorders>
                    <w:left w:val="single" w:color="auto" w:sz="4" w:space="0"/>
                  </w:tcBorders>
                  <w:vAlign w:val="center"/>
                </w:tcPr>
                <w:p w14:paraId="11A1A8A4">
                  <w:pPr>
                    <w:jc w:val="center"/>
                    <w:rPr>
                      <w:bCs/>
                      <w:szCs w:val="21"/>
                    </w:rPr>
                  </w:pPr>
                  <w:r>
                    <w:rPr>
                      <w:rFonts w:hint="eastAsia"/>
                      <w:bCs/>
                      <w:szCs w:val="21"/>
                    </w:rPr>
                    <w:t>新建</w:t>
                  </w:r>
                </w:p>
              </w:tc>
            </w:tr>
            <w:tr w14:paraId="544DA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4865B6D4">
                  <w:pPr>
                    <w:jc w:val="center"/>
                    <w:rPr>
                      <w:bCs/>
                      <w:szCs w:val="21"/>
                    </w:rPr>
                  </w:pPr>
                </w:p>
              </w:tc>
              <w:tc>
                <w:tcPr>
                  <w:tcW w:w="1100" w:type="pct"/>
                  <w:gridSpan w:val="2"/>
                  <w:tcBorders>
                    <w:left w:val="single" w:color="auto" w:sz="4" w:space="0"/>
                  </w:tcBorders>
                  <w:vAlign w:val="center"/>
                </w:tcPr>
                <w:p w14:paraId="3003D206">
                  <w:pPr>
                    <w:jc w:val="center"/>
                    <w:rPr>
                      <w:bCs/>
                      <w:szCs w:val="21"/>
                    </w:rPr>
                  </w:pPr>
                  <w:r>
                    <w:rPr>
                      <w:rFonts w:hint="eastAsia"/>
                      <w:bCs/>
                      <w:szCs w:val="21"/>
                    </w:rPr>
                    <w:t>门卫室</w:t>
                  </w:r>
                </w:p>
              </w:tc>
              <w:tc>
                <w:tcPr>
                  <w:tcW w:w="2716" w:type="pct"/>
                  <w:gridSpan w:val="3"/>
                  <w:tcBorders>
                    <w:right w:val="single" w:color="auto" w:sz="4" w:space="0"/>
                  </w:tcBorders>
                  <w:vAlign w:val="center"/>
                </w:tcPr>
                <w:p w14:paraId="2C656196">
                  <w:pPr>
                    <w:rPr>
                      <w:bCs/>
                      <w:szCs w:val="21"/>
                    </w:rPr>
                  </w:pPr>
                  <w:r>
                    <w:rPr>
                      <w:bCs/>
                      <w:szCs w:val="21"/>
                    </w:rPr>
                    <w:t>2间</w:t>
                  </w:r>
                  <w:r>
                    <w:rPr>
                      <w:rFonts w:hint="eastAsia"/>
                      <w:bCs/>
                      <w:szCs w:val="21"/>
                    </w:rPr>
                    <w:t>，</w:t>
                  </w:r>
                  <w:r>
                    <w:rPr>
                      <w:bCs/>
                      <w:szCs w:val="21"/>
                    </w:rPr>
                    <w:t>位于</w:t>
                  </w:r>
                  <w:r>
                    <w:rPr>
                      <w:rFonts w:hint="eastAsia"/>
                      <w:bCs/>
                      <w:szCs w:val="21"/>
                    </w:rPr>
                    <w:t>厂</w:t>
                  </w:r>
                  <w:r>
                    <w:rPr>
                      <w:bCs/>
                      <w:szCs w:val="21"/>
                    </w:rPr>
                    <w:t>区东南侧</w:t>
                  </w:r>
                  <w:r>
                    <w:rPr>
                      <w:rFonts w:hint="eastAsia"/>
                      <w:bCs/>
                      <w:szCs w:val="21"/>
                    </w:rPr>
                    <w:t>，占地面积均为2</w:t>
                  </w:r>
                  <w:r>
                    <w:rPr>
                      <w:bCs/>
                      <w:szCs w:val="21"/>
                    </w:rPr>
                    <w:t>5</w:t>
                  </w:r>
                  <w:r>
                    <w:rPr>
                      <w:rFonts w:hint="eastAsia"/>
                      <w:bCs/>
                      <w:szCs w:val="21"/>
                    </w:rPr>
                    <w:t>m</w:t>
                  </w:r>
                  <w:r>
                    <w:rPr>
                      <w:bCs/>
                      <w:szCs w:val="21"/>
                      <w:vertAlign w:val="superscript"/>
                    </w:rPr>
                    <w:t>2</w:t>
                  </w:r>
                  <w:r>
                    <w:rPr>
                      <w:rFonts w:hint="eastAsia"/>
                      <w:bCs/>
                      <w:szCs w:val="21"/>
                    </w:rPr>
                    <w:t>。</w:t>
                  </w:r>
                </w:p>
              </w:tc>
              <w:tc>
                <w:tcPr>
                  <w:tcW w:w="920" w:type="pct"/>
                  <w:tcBorders>
                    <w:left w:val="single" w:color="auto" w:sz="4" w:space="0"/>
                  </w:tcBorders>
                  <w:vAlign w:val="center"/>
                </w:tcPr>
                <w:p w14:paraId="14F3C1FB">
                  <w:pPr>
                    <w:jc w:val="center"/>
                    <w:rPr>
                      <w:szCs w:val="21"/>
                    </w:rPr>
                  </w:pPr>
                  <w:r>
                    <w:rPr>
                      <w:rFonts w:hint="eastAsia"/>
                      <w:bCs/>
                      <w:szCs w:val="21"/>
                    </w:rPr>
                    <w:t>新建</w:t>
                  </w:r>
                </w:p>
              </w:tc>
            </w:tr>
            <w:tr w14:paraId="18E66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2C0A63F5">
                  <w:pPr>
                    <w:jc w:val="center"/>
                    <w:rPr>
                      <w:bCs/>
                      <w:szCs w:val="21"/>
                    </w:rPr>
                  </w:pPr>
                </w:p>
              </w:tc>
              <w:tc>
                <w:tcPr>
                  <w:tcW w:w="1100" w:type="pct"/>
                  <w:gridSpan w:val="2"/>
                  <w:tcBorders>
                    <w:left w:val="single" w:color="auto" w:sz="4" w:space="0"/>
                  </w:tcBorders>
                  <w:vAlign w:val="center"/>
                </w:tcPr>
                <w:p w14:paraId="54150274">
                  <w:pPr>
                    <w:jc w:val="center"/>
                    <w:rPr>
                      <w:bCs/>
                      <w:szCs w:val="21"/>
                    </w:rPr>
                  </w:pPr>
                  <w:r>
                    <w:rPr>
                      <w:rFonts w:hint="eastAsia"/>
                      <w:bCs/>
                      <w:szCs w:val="21"/>
                    </w:rPr>
                    <w:t>更衣室</w:t>
                  </w:r>
                </w:p>
              </w:tc>
              <w:tc>
                <w:tcPr>
                  <w:tcW w:w="2716" w:type="pct"/>
                  <w:gridSpan w:val="3"/>
                  <w:tcBorders>
                    <w:right w:val="single" w:color="auto" w:sz="4" w:space="0"/>
                  </w:tcBorders>
                  <w:vAlign w:val="center"/>
                </w:tcPr>
                <w:p w14:paraId="6CCCC48D">
                  <w:pPr>
                    <w:rPr>
                      <w:bCs/>
                      <w:szCs w:val="21"/>
                    </w:rPr>
                  </w:pPr>
                  <w:r>
                    <w:rPr>
                      <w:rFonts w:hint="eastAsia"/>
                      <w:bCs/>
                      <w:szCs w:val="21"/>
                    </w:rPr>
                    <w:t>位于联合厂房西侧辅房2层，分设男更衣室1间，30m</w:t>
                  </w:r>
                  <w:r>
                    <w:rPr>
                      <w:bCs/>
                      <w:szCs w:val="21"/>
                      <w:vertAlign w:val="superscript"/>
                    </w:rPr>
                    <w:t>2</w:t>
                  </w:r>
                  <w:r>
                    <w:rPr>
                      <w:rFonts w:hint="eastAsia"/>
                      <w:bCs/>
                      <w:szCs w:val="21"/>
                    </w:rPr>
                    <w:t>，</w:t>
                  </w:r>
                  <w:r>
                    <w:rPr>
                      <w:bCs/>
                      <w:szCs w:val="21"/>
                    </w:rPr>
                    <w:t>女更衣室</w:t>
                  </w:r>
                  <w:r>
                    <w:rPr>
                      <w:rFonts w:hint="eastAsia"/>
                      <w:bCs/>
                      <w:szCs w:val="21"/>
                    </w:rPr>
                    <w:t>1间，1</w:t>
                  </w:r>
                  <w:r>
                    <w:rPr>
                      <w:bCs/>
                      <w:szCs w:val="21"/>
                    </w:rPr>
                    <w:t>5m</w:t>
                  </w:r>
                  <w:r>
                    <w:rPr>
                      <w:bCs/>
                      <w:szCs w:val="21"/>
                      <w:vertAlign w:val="superscript"/>
                    </w:rPr>
                    <w:t>2</w:t>
                  </w:r>
                  <w:r>
                    <w:rPr>
                      <w:rFonts w:hint="eastAsia"/>
                      <w:bCs/>
                      <w:szCs w:val="21"/>
                    </w:rPr>
                    <w:t>。</w:t>
                  </w:r>
                </w:p>
              </w:tc>
              <w:tc>
                <w:tcPr>
                  <w:tcW w:w="920" w:type="pct"/>
                  <w:tcBorders>
                    <w:left w:val="single" w:color="auto" w:sz="4" w:space="0"/>
                  </w:tcBorders>
                  <w:vAlign w:val="center"/>
                </w:tcPr>
                <w:p w14:paraId="008CC5FA">
                  <w:pPr>
                    <w:jc w:val="center"/>
                    <w:rPr>
                      <w:bCs/>
                      <w:szCs w:val="21"/>
                    </w:rPr>
                  </w:pPr>
                  <w:r>
                    <w:rPr>
                      <w:rFonts w:hint="eastAsia"/>
                      <w:bCs/>
                      <w:szCs w:val="21"/>
                    </w:rPr>
                    <w:t>新建</w:t>
                  </w:r>
                </w:p>
              </w:tc>
            </w:tr>
            <w:tr w14:paraId="35A45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73E52BAA">
                  <w:pPr>
                    <w:jc w:val="center"/>
                    <w:rPr>
                      <w:bCs/>
                      <w:szCs w:val="21"/>
                    </w:rPr>
                  </w:pPr>
                </w:p>
              </w:tc>
              <w:tc>
                <w:tcPr>
                  <w:tcW w:w="1100" w:type="pct"/>
                  <w:gridSpan w:val="2"/>
                  <w:tcBorders>
                    <w:left w:val="single" w:color="auto" w:sz="4" w:space="0"/>
                  </w:tcBorders>
                  <w:vAlign w:val="center"/>
                </w:tcPr>
                <w:p w14:paraId="1295AF35">
                  <w:pPr>
                    <w:jc w:val="center"/>
                    <w:rPr>
                      <w:bCs/>
                      <w:szCs w:val="21"/>
                    </w:rPr>
                  </w:pPr>
                  <w:r>
                    <w:rPr>
                      <w:rFonts w:hint="eastAsia"/>
                      <w:bCs/>
                      <w:szCs w:val="21"/>
                    </w:rPr>
                    <w:t>机修间</w:t>
                  </w:r>
                </w:p>
              </w:tc>
              <w:tc>
                <w:tcPr>
                  <w:tcW w:w="2716" w:type="pct"/>
                  <w:gridSpan w:val="3"/>
                  <w:tcBorders>
                    <w:right w:val="single" w:color="auto" w:sz="4" w:space="0"/>
                  </w:tcBorders>
                  <w:vAlign w:val="center"/>
                </w:tcPr>
                <w:p w14:paraId="1B41EF7F">
                  <w:pPr>
                    <w:rPr>
                      <w:bCs/>
                      <w:szCs w:val="21"/>
                    </w:rPr>
                  </w:pPr>
                  <w:r>
                    <w:rPr>
                      <w:rFonts w:hint="eastAsia"/>
                      <w:bCs/>
                      <w:szCs w:val="21"/>
                    </w:rPr>
                    <w:t>1间，占地面积8</w:t>
                  </w:r>
                  <w:r>
                    <w:rPr>
                      <w:bCs/>
                      <w:szCs w:val="21"/>
                    </w:rPr>
                    <w:t>0m</w:t>
                  </w:r>
                  <w:r>
                    <w:rPr>
                      <w:bCs/>
                      <w:szCs w:val="21"/>
                      <w:vertAlign w:val="superscript"/>
                    </w:rPr>
                    <w:t>2</w:t>
                  </w:r>
                  <w:r>
                    <w:rPr>
                      <w:rFonts w:hint="eastAsia"/>
                      <w:bCs/>
                      <w:szCs w:val="21"/>
                    </w:rPr>
                    <w:t>，</w:t>
                  </w:r>
                  <w:r>
                    <w:rPr>
                      <w:bCs/>
                      <w:szCs w:val="21"/>
                    </w:rPr>
                    <w:t>用于设备</w:t>
                  </w:r>
                  <w:r>
                    <w:rPr>
                      <w:rFonts w:hint="eastAsia"/>
                      <w:bCs/>
                      <w:szCs w:val="21"/>
                    </w:rPr>
                    <w:t>保养及简单维修。</w:t>
                  </w:r>
                </w:p>
              </w:tc>
              <w:tc>
                <w:tcPr>
                  <w:tcW w:w="920" w:type="pct"/>
                  <w:tcBorders>
                    <w:left w:val="single" w:color="auto" w:sz="4" w:space="0"/>
                  </w:tcBorders>
                  <w:vAlign w:val="center"/>
                </w:tcPr>
                <w:p w14:paraId="7C49FF05">
                  <w:pPr>
                    <w:jc w:val="center"/>
                    <w:rPr>
                      <w:szCs w:val="21"/>
                    </w:rPr>
                  </w:pPr>
                  <w:r>
                    <w:rPr>
                      <w:rFonts w:hint="eastAsia"/>
                      <w:bCs/>
                      <w:szCs w:val="21"/>
                    </w:rPr>
                    <w:t>新建</w:t>
                  </w:r>
                </w:p>
              </w:tc>
            </w:tr>
            <w:tr w14:paraId="011F0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restart"/>
                  <w:tcBorders>
                    <w:right w:val="single" w:color="auto" w:sz="4" w:space="0"/>
                  </w:tcBorders>
                  <w:tcMar>
                    <w:left w:w="28" w:type="dxa"/>
                    <w:right w:w="28" w:type="dxa"/>
                  </w:tcMar>
                  <w:vAlign w:val="center"/>
                </w:tcPr>
                <w:p w14:paraId="7D102602">
                  <w:pPr>
                    <w:jc w:val="center"/>
                    <w:rPr>
                      <w:bCs/>
                      <w:szCs w:val="21"/>
                    </w:rPr>
                  </w:pPr>
                  <w:r>
                    <w:rPr>
                      <w:rFonts w:hint="eastAsia"/>
                      <w:bCs/>
                      <w:szCs w:val="21"/>
                    </w:rPr>
                    <w:t>储运工程</w:t>
                  </w:r>
                </w:p>
              </w:tc>
              <w:tc>
                <w:tcPr>
                  <w:tcW w:w="1100" w:type="pct"/>
                  <w:gridSpan w:val="2"/>
                  <w:tcBorders>
                    <w:left w:val="single" w:color="auto" w:sz="4" w:space="0"/>
                  </w:tcBorders>
                  <w:vAlign w:val="center"/>
                </w:tcPr>
                <w:p w14:paraId="58304A19">
                  <w:pPr>
                    <w:jc w:val="center"/>
                    <w:rPr>
                      <w:bCs/>
                      <w:szCs w:val="21"/>
                    </w:rPr>
                  </w:pPr>
                  <w:r>
                    <w:rPr>
                      <w:rFonts w:hint="eastAsia"/>
                      <w:bCs/>
                      <w:szCs w:val="21"/>
                    </w:rPr>
                    <w:t>铝锭存放区</w:t>
                  </w:r>
                </w:p>
              </w:tc>
              <w:tc>
                <w:tcPr>
                  <w:tcW w:w="2716" w:type="pct"/>
                  <w:gridSpan w:val="3"/>
                  <w:tcBorders>
                    <w:right w:val="single" w:color="auto" w:sz="4" w:space="0"/>
                  </w:tcBorders>
                  <w:vAlign w:val="center"/>
                </w:tcPr>
                <w:p w14:paraId="5FFC9799">
                  <w:pPr>
                    <w:rPr>
                      <w:bCs/>
                      <w:szCs w:val="21"/>
                    </w:rPr>
                  </w:pPr>
                  <w:r>
                    <w:rPr>
                      <w:bCs/>
                      <w:szCs w:val="21"/>
                    </w:rPr>
                    <w:t>330</w:t>
                  </w:r>
                  <w:r>
                    <w:rPr>
                      <w:rFonts w:hint="eastAsia"/>
                      <w:bCs/>
                      <w:szCs w:val="21"/>
                    </w:rPr>
                    <w:t>m</w:t>
                  </w:r>
                  <w:r>
                    <w:rPr>
                      <w:bCs/>
                      <w:szCs w:val="21"/>
                      <w:vertAlign w:val="superscript"/>
                    </w:rPr>
                    <w:t>2</w:t>
                  </w:r>
                  <w:r>
                    <w:rPr>
                      <w:rFonts w:hint="eastAsia"/>
                      <w:bCs/>
                      <w:szCs w:val="21"/>
                    </w:rPr>
                    <w:t>，位于联合厂房北侧辅房东面，用于储存铝锭</w:t>
                  </w:r>
                </w:p>
              </w:tc>
              <w:tc>
                <w:tcPr>
                  <w:tcW w:w="920" w:type="pct"/>
                  <w:tcBorders>
                    <w:left w:val="single" w:color="auto" w:sz="4" w:space="0"/>
                  </w:tcBorders>
                  <w:vAlign w:val="center"/>
                </w:tcPr>
                <w:p w14:paraId="45B4E6C3">
                  <w:pPr>
                    <w:jc w:val="center"/>
                    <w:rPr>
                      <w:bCs/>
                      <w:szCs w:val="21"/>
                    </w:rPr>
                  </w:pPr>
                  <w:r>
                    <w:rPr>
                      <w:rFonts w:hint="eastAsia"/>
                      <w:bCs/>
                      <w:szCs w:val="21"/>
                    </w:rPr>
                    <w:t>新建</w:t>
                  </w:r>
                </w:p>
              </w:tc>
            </w:tr>
            <w:tr w14:paraId="7D1BB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5988360D">
                  <w:pPr>
                    <w:jc w:val="center"/>
                    <w:rPr>
                      <w:bCs/>
                      <w:szCs w:val="21"/>
                    </w:rPr>
                  </w:pPr>
                </w:p>
              </w:tc>
              <w:tc>
                <w:tcPr>
                  <w:tcW w:w="1100" w:type="pct"/>
                  <w:gridSpan w:val="2"/>
                  <w:tcBorders>
                    <w:left w:val="single" w:color="auto" w:sz="4" w:space="0"/>
                  </w:tcBorders>
                  <w:vAlign w:val="center"/>
                </w:tcPr>
                <w:p w14:paraId="4B7BCF6C">
                  <w:pPr>
                    <w:jc w:val="center"/>
                    <w:rPr>
                      <w:bCs/>
                      <w:szCs w:val="21"/>
                    </w:rPr>
                  </w:pPr>
                  <w:r>
                    <w:rPr>
                      <w:rFonts w:hint="eastAsia"/>
                      <w:bCs/>
                      <w:szCs w:val="21"/>
                    </w:rPr>
                    <w:t>模具存放区</w:t>
                  </w:r>
                </w:p>
              </w:tc>
              <w:tc>
                <w:tcPr>
                  <w:tcW w:w="2716" w:type="pct"/>
                  <w:gridSpan w:val="3"/>
                  <w:tcBorders>
                    <w:right w:val="single" w:color="auto" w:sz="4" w:space="0"/>
                  </w:tcBorders>
                  <w:vAlign w:val="center"/>
                </w:tcPr>
                <w:p w14:paraId="7ECC7DE5">
                  <w:pPr>
                    <w:rPr>
                      <w:bCs/>
                      <w:szCs w:val="21"/>
                    </w:rPr>
                  </w:pPr>
                  <w:r>
                    <w:rPr>
                      <w:bCs/>
                      <w:szCs w:val="21"/>
                    </w:rPr>
                    <w:t>250</w:t>
                  </w:r>
                  <w:r>
                    <w:rPr>
                      <w:rFonts w:hint="eastAsia"/>
                      <w:bCs/>
                      <w:szCs w:val="21"/>
                    </w:rPr>
                    <w:t>m</w:t>
                  </w:r>
                  <w:r>
                    <w:rPr>
                      <w:bCs/>
                      <w:szCs w:val="21"/>
                      <w:vertAlign w:val="superscript"/>
                    </w:rPr>
                    <w:t>2</w:t>
                  </w:r>
                  <w:r>
                    <w:rPr>
                      <w:rFonts w:hint="eastAsia"/>
                      <w:bCs/>
                      <w:szCs w:val="21"/>
                    </w:rPr>
                    <w:t>，位于联合厂房内西北侧，用于储存压铸模具。</w:t>
                  </w:r>
                </w:p>
              </w:tc>
              <w:tc>
                <w:tcPr>
                  <w:tcW w:w="920" w:type="pct"/>
                  <w:tcBorders>
                    <w:left w:val="single" w:color="auto" w:sz="4" w:space="0"/>
                  </w:tcBorders>
                  <w:vAlign w:val="center"/>
                </w:tcPr>
                <w:p w14:paraId="2F4B671A">
                  <w:pPr>
                    <w:jc w:val="center"/>
                    <w:rPr>
                      <w:szCs w:val="21"/>
                    </w:rPr>
                  </w:pPr>
                  <w:r>
                    <w:rPr>
                      <w:rFonts w:hint="eastAsia"/>
                      <w:bCs/>
                      <w:szCs w:val="21"/>
                    </w:rPr>
                    <w:t>新建</w:t>
                  </w:r>
                </w:p>
              </w:tc>
            </w:tr>
            <w:tr w14:paraId="2B233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7647766">
                  <w:pPr>
                    <w:jc w:val="center"/>
                    <w:rPr>
                      <w:bCs/>
                      <w:szCs w:val="21"/>
                    </w:rPr>
                  </w:pPr>
                </w:p>
              </w:tc>
              <w:tc>
                <w:tcPr>
                  <w:tcW w:w="1100" w:type="pct"/>
                  <w:gridSpan w:val="2"/>
                  <w:tcBorders>
                    <w:left w:val="single" w:color="auto" w:sz="4" w:space="0"/>
                  </w:tcBorders>
                  <w:vAlign w:val="center"/>
                </w:tcPr>
                <w:p w14:paraId="519EE5E2">
                  <w:pPr>
                    <w:jc w:val="center"/>
                    <w:rPr>
                      <w:bCs/>
                      <w:szCs w:val="21"/>
                    </w:rPr>
                  </w:pPr>
                  <w:r>
                    <w:rPr>
                      <w:rFonts w:hint="eastAsia"/>
                      <w:bCs/>
                      <w:szCs w:val="21"/>
                    </w:rPr>
                    <w:t>压铸毛坯半成品存放区</w:t>
                  </w:r>
                </w:p>
              </w:tc>
              <w:tc>
                <w:tcPr>
                  <w:tcW w:w="2716" w:type="pct"/>
                  <w:gridSpan w:val="3"/>
                  <w:tcBorders>
                    <w:right w:val="single" w:color="auto" w:sz="4" w:space="0"/>
                  </w:tcBorders>
                  <w:vAlign w:val="center"/>
                </w:tcPr>
                <w:p w14:paraId="71E81D47">
                  <w:pPr>
                    <w:rPr>
                      <w:bCs/>
                      <w:szCs w:val="21"/>
                    </w:rPr>
                  </w:pPr>
                  <w:r>
                    <w:rPr>
                      <w:bCs/>
                      <w:szCs w:val="21"/>
                    </w:rPr>
                    <w:t>640</w:t>
                  </w:r>
                  <w:r>
                    <w:rPr>
                      <w:rFonts w:hint="eastAsia"/>
                      <w:bCs/>
                      <w:szCs w:val="21"/>
                    </w:rPr>
                    <w:t>m</w:t>
                  </w:r>
                  <w:r>
                    <w:rPr>
                      <w:bCs/>
                      <w:szCs w:val="21"/>
                      <w:vertAlign w:val="superscript"/>
                    </w:rPr>
                    <w:t>2</w:t>
                  </w:r>
                  <w:r>
                    <w:rPr>
                      <w:rFonts w:hint="eastAsia"/>
                      <w:bCs/>
                      <w:szCs w:val="21"/>
                    </w:rPr>
                    <w:t>，位于联合厂房内中部，用于暂存压铸后的半成品。</w:t>
                  </w:r>
                </w:p>
              </w:tc>
              <w:tc>
                <w:tcPr>
                  <w:tcW w:w="920" w:type="pct"/>
                  <w:tcBorders>
                    <w:left w:val="single" w:color="auto" w:sz="4" w:space="0"/>
                  </w:tcBorders>
                  <w:vAlign w:val="center"/>
                </w:tcPr>
                <w:p w14:paraId="116582FE">
                  <w:pPr>
                    <w:jc w:val="center"/>
                    <w:rPr>
                      <w:bCs/>
                      <w:szCs w:val="21"/>
                    </w:rPr>
                  </w:pPr>
                  <w:r>
                    <w:rPr>
                      <w:rFonts w:hint="eastAsia"/>
                      <w:bCs/>
                      <w:szCs w:val="21"/>
                    </w:rPr>
                    <w:t>新建</w:t>
                  </w:r>
                </w:p>
              </w:tc>
            </w:tr>
            <w:tr w14:paraId="2ED8A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5B7BDBF1">
                  <w:pPr>
                    <w:jc w:val="center"/>
                    <w:rPr>
                      <w:bCs/>
                      <w:szCs w:val="21"/>
                    </w:rPr>
                  </w:pPr>
                </w:p>
              </w:tc>
              <w:tc>
                <w:tcPr>
                  <w:tcW w:w="1100" w:type="pct"/>
                  <w:gridSpan w:val="2"/>
                  <w:tcBorders>
                    <w:left w:val="single" w:color="auto" w:sz="4" w:space="0"/>
                  </w:tcBorders>
                  <w:vAlign w:val="center"/>
                </w:tcPr>
                <w:p w14:paraId="7FCD645C">
                  <w:pPr>
                    <w:jc w:val="center"/>
                    <w:rPr>
                      <w:bCs/>
                      <w:szCs w:val="21"/>
                    </w:rPr>
                  </w:pPr>
                  <w:r>
                    <w:rPr>
                      <w:rFonts w:hint="eastAsia"/>
                      <w:bCs/>
                      <w:szCs w:val="21"/>
                    </w:rPr>
                    <w:t>产品存放区</w:t>
                  </w:r>
                </w:p>
              </w:tc>
              <w:tc>
                <w:tcPr>
                  <w:tcW w:w="2716" w:type="pct"/>
                  <w:gridSpan w:val="3"/>
                  <w:tcBorders>
                    <w:right w:val="single" w:color="auto" w:sz="4" w:space="0"/>
                  </w:tcBorders>
                  <w:vAlign w:val="center"/>
                </w:tcPr>
                <w:p w14:paraId="3C630300">
                  <w:pPr>
                    <w:rPr>
                      <w:bCs/>
                      <w:szCs w:val="21"/>
                    </w:rPr>
                  </w:pPr>
                  <w:r>
                    <w:rPr>
                      <w:bCs/>
                      <w:szCs w:val="21"/>
                    </w:rPr>
                    <w:t>1000</w:t>
                  </w:r>
                  <w:r>
                    <w:rPr>
                      <w:rFonts w:hint="eastAsia"/>
                      <w:bCs/>
                      <w:szCs w:val="21"/>
                    </w:rPr>
                    <w:t>m</w:t>
                  </w:r>
                  <w:r>
                    <w:rPr>
                      <w:bCs/>
                      <w:szCs w:val="21"/>
                      <w:vertAlign w:val="superscript"/>
                    </w:rPr>
                    <w:t>2</w:t>
                  </w:r>
                  <w:r>
                    <w:rPr>
                      <w:rFonts w:hint="eastAsia"/>
                      <w:bCs/>
                      <w:szCs w:val="21"/>
                    </w:rPr>
                    <w:t>，位于联合厂房南侧及东南侧，用于存放产品。</w:t>
                  </w:r>
                </w:p>
              </w:tc>
              <w:tc>
                <w:tcPr>
                  <w:tcW w:w="920" w:type="pct"/>
                  <w:tcBorders>
                    <w:left w:val="single" w:color="auto" w:sz="4" w:space="0"/>
                  </w:tcBorders>
                  <w:vAlign w:val="center"/>
                </w:tcPr>
                <w:p w14:paraId="66B03D1C">
                  <w:pPr>
                    <w:jc w:val="center"/>
                    <w:rPr>
                      <w:bCs/>
                      <w:szCs w:val="21"/>
                    </w:rPr>
                  </w:pPr>
                  <w:r>
                    <w:rPr>
                      <w:rFonts w:hint="eastAsia"/>
                      <w:bCs/>
                      <w:szCs w:val="21"/>
                    </w:rPr>
                    <w:t>新建</w:t>
                  </w:r>
                </w:p>
              </w:tc>
            </w:tr>
            <w:tr w14:paraId="6A120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7AFB2924">
                  <w:pPr>
                    <w:jc w:val="center"/>
                    <w:rPr>
                      <w:bCs/>
                      <w:szCs w:val="21"/>
                    </w:rPr>
                  </w:pPr>
                </w:p>
              </w:tc>
              <w:tc>
                <w:tcPr>
                  <w:tcW w:w="1100" w:type="pct"/>
                  <w:gridSpan w:val="2"/>
                  <w:tcBorders>
                    <w:left w:val="single" w:color="auto" w:sz="4" w:space="0"/>
                  </w:tcBorders>
                  <w:vAlign w:val="center"/>
                </w:tcPr>
                <w:p w14:paraId="2CB1F388">
                  <w:pPr>
                    <w:jc w:val="center"/>
                    <w:rPr>
                      <w:bCs/>
                      <w:szCs w:val="21"/>
                    </w:rPr>
                  </w:pPr>
                  <w:r>
                    <w:rPr>
                      <w:rFonts w:hint="eastAsia"/>
                      <w:bCs/>
                      <w:szCs w:val="21"/>
                    </w:rPr>
                    <w:t>油品库</w:t>
                  </w:r>
                </w:p>
              </w:tc>
              <w:tc>
                <w:tcPr>
                  <w:tcW w:w="2716" w:type="pct"/>
                  <w:gridSpan w:val="3"/>
                  <w:tcBorders>
                    <w:right w:val="single" w:color="auto" w:sz="4" w:space="0"/>
                  </w:tcBorders>
                  <w:vAlign w:val="center"/>
                </w:tcPr>
                <w:p w14:paraId="28933214">
                  <w:pPr>
                    <w:rPr>
                      <w:bCs/>
                      <w:szCs w:val="21"/>
                    </w:rPr>
                  </w:pPr>
                  <w:r>
                    <w:rPr>
                      <w:bCs/>
                      <w:szCs w:val="21"/>
                    </w:rPr>
                    <w:t>200</w:t>
                  </w:r>
                  <w:r>
                    <w:rPr>
                      <w:rFonts w:hint="eastAsia"/>
                      <w:bCs/>
                      <w:szCs w:val="21"/>
                    </w:rPr>
                    <w:t>m</w:t>
                  </w:r>
                  <w:r>
                    <w:rPr>
                      <w:bCs/>
                      <w:szCs w:val="21"/>
                      <w:vertAlign w:val="superscript"/>
                    </w:rPr>
                    <w:t>2</w:t>
                  </w:r>
                  <w:r>
                    <w:rPr>
                      <w:rFonts w:hint="eastAsia"/>
                      <w:bCs/>
                      <w:szCs w:val="21"/>
                    </w:rPr>
                    <w:t>，位于北侧辅房西面，用于切削液、脱模剂、抗燃液压油、清洗剂、浸渗辅料等物料存放。</w:t>
                  </w:r>
                </w:p>
              </w:tc>
              <w:tc>
                <w:tcPr>
                  <w:tcW w:w="920" w:type="pct"/>
                  <w:tcBorders>
                    <w:left w:val="single" w:color="auto" w:sz="4" w:space="0"/>
                  </w:tcBorders>
                  <w:vAlign w:val="center"/>
                </w:tcPr>
                <w:p w14:paraId="281DB7CD">
                  <w:pPr>
                    <w:jc w:val="center"/>
                    <w:rPr>
                      <w:bCs/>
                      <w:szCs w:val="21"/>
                    </w:rPr>
                  </w:pPr>
                  <w:r>
                    <w:rPr>
                      <w:rFonts w:hint="eastAsia"/>
                      <w:bCs/>
                      <w:szCs w:val="21"/>
                    </w:rPr>
                    <w:t>新建</w:t>
                  </w:r>
                </w:p>
              </w:tc>
            </w:tr>
            <w:tr w14:paraId="0FA49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4BA899CA">
                  <w:pPr>
                    <w:jc w:val="center"/>
                    <w:rPr>
                      <w:bCs/>
                      <w:szCs w:val="21"/>
                    </w:rPr>
                  </w:pPr>
                </w:p>
              </w:tc>
              <w:tc>
                <w:tcPr>
                  <w:tcW w:w="1100" w:type="pct"/>
                  <w:gridSpan w:val="2"/>
                  <w:tcBorders>
                    <w:left w:val="single" w:color="auto" w:sz="4" w:space="0"/>
                  </w:tcBorders>
                  <w:vAlign w:val="center"/>
                </w:tcPr>
                <w:p w14:paraId="0CBF9B31">
                  <w:pPr>
                    <w:jc w:val="center"/>
                    <w:rPr>
                      <w:bCs/>
                      <w:szCs w:val="21"/>
                    </w:rPr>
                  </w:pPr>
                  <w:r>
                    <w:rPr>
                      <w:bCs/>
                      <w:szCs w:val="21"/>
                    </w:rPr>
                    <w:t>乙炔储存间</w:t>
                  </w:r>
                </w:p>
              </w:tc>
              <w:tc>
                <w:tcPr>
                  <w:tcW w:w="2716" w:type="pct"/>
                  <w:gridSpan w:val="3"/>
                  <w:tcBorders>
                    <w:right w:val="single" w:color="auto" w:sz="4" w:space="0"/>
                  </w:tcBorders>
                  <w:vAlign w:val="center"/>
                </w:tcPr>
                <w:p w14:paraId="11BC6226">
                  <w:pPr>
                    <w:rPr>
                      <w:bCs/>
                      <w:szCs w:val="21"/>
                    </w:rPr>
                  </w:pPr>
                  <w:r>
                    <w:rPr>
                      <w:bCs/>
                      <w:szCs w:val="21"/>
                    </w:rPr>
                    <w:t>15</w:t>
                  </w:r>
                  <w:r>
                    <w:rPr>
                      <w:rFonts w:hint="eastAsia"/>
                      <w:bCs/>
                      <w:szCs w:val="21"/>
                    </w:rPr>
                    <w:t>m</w:t>
                  </w:r>
                  <w:r>
                    <w:rPr>
                      <w:bCs/>
                      <w:szCs w:val="21"/>
                      <w:vertAlign w:val="superscript"/>
                    </w:rPr>
                    <w:t>2</w:t>
                  </w:r>
                  <w:r>
                    <w:rPr>
                      <w:rFonts w:hint="eastAsia"/>
                      <w:bCs/>
                      <w:szCs w:val="21"/>
                    </w:rPr>
                    <w:t>，位于北侧辅房西面，用于储存乙炔。</w:t>
                  </w:r>
                </w:p>
              </w:tc>
              <w:tc>
                <w:tcPr>
                  <w:tcW w:w="920" w:type="pct"/>
                  <w:tcBorders>
                    <w:left w:val="single" w:color="auto" w:sz="4" w:space="0"/>
                  </w:tcBorders>
                  <w:vAlign w:val="center"/>
                </w:tcPr>
                <w:p w14:paraId="3C317312">
                  <w:pPr>
                    <w:jc w:val="center"/>
                    <w:rPr>
                      <w:bCs/>
                      <w:szCs w:val="21"/>
                    </w:rPr>
                  </w:pPr>
                  <w:r>
                    <w:rPr>
                      <w:rFonts w:hint="eastAsia"/>
                      <w:bCs/>
                      <w:szCs w:val="21"/>
                    </w:rPr>
                    <w:t>新建</w:t>
                  </w:r>
                </w:p>
              </w:tc>
            </w:tr>
            <w:tr w14:paraId="44AA6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5C93D88">
                  <w:pPr>
                    <w:jc w:val="center"/>
                    <w:rPr>
                      <w:bCs/>
                      <w:szCs w:val="21"/>
                    </w:rPr>
                  </w:pPr>
                </w:p>
              </w:tc>
              <w:tc>
                <w:tcPr>
                  <w:tcW w:w="1100" w:type="pct"/>
                  <w:gridSpan w:val="2"/>
                  <w:tcBorders>
                    <w:left w:val="single" w:color="auto" w:sz="4" w:space="0"/>
                  </w:tcBorders>
                  <w:vAlign w:val="center"/>
                </w:tcPr>
                <w:p w14:paraId="61821AA3">
                  <w:pPr>
                    <w:jc w:val="center"/>
                    <w:rPr>
                      <w:bCs/>
                      <w:szCs w:val="21"/>
                    </w:rPr>
                  </w:pPr>
                  <w:r>
                    <w:rPr>
                      <w:rFonts w:hint="eastAsia"/>
                      <w:bCs/>
                      <w:szCs w:val="21"/>
                    </w:rPr>
                    <w:t>氮气、氦气、氧气储存间</w:t>
                  </w:r>
                </w:p>
              </w:tc>
              <w:tc>
                <w:tcPr>
                  <w:tcW w:w="2716" w:type="pct"/>
                  <w:gridSpan w:val="3"/>
                  <w:tcBorders>
                    <w:right w:val="single" w:color="auto" w:sz="4" w:space="0"/>
                  </w:tcBorders>
                  <w:vAlign w:val="center"/>
                </w:tcPr>
                <w:p w14:paraId="1E1855EE">
                  <w:pPr>
                    <w:rPr>
                      <w:bCs/>
                      <w:szCs w:val="21"/>
                    </w:rPr>
                  </w:pPr>
                  <w:r>
                    <w:rPr>
                      <w:bCs/>
                      <w:szCs w:val="21"/>
                    </w:rPr>
                    <w:t>30</w:t>
                  </w:r>
                  <w:r>
                    <w:rPr>
                      <w:rFonts w:hint="eastAsia"/>
                      <w:bCs/>
                      <w:szCs w:val="21"/>
                    </w:rPr>
                    <w:t>m</w:t>
                  </w:r>
                  <w:r>
                    <w:rPr>
                      <w:bCs/>
                      <w:szCs w:val="21"/>
                      <w:vertAlign w:val="superscript"/>
                    </w:rPr>
                    <w:t>2</w:t>
                  </w:r>
                  <w:r>
                    <w:rPr>
                      <w:rFonts w:hint="eastAsia"/>
                      <w:bCs/>
                      <w:szCs w:val="21"/>
                    </w:rPr>
                    <w:t>，位于北侧辅房西面，用于储存氮气、氦气、氧气储存间。</w:t>
                  </w:r>
                </w:p>
              </w:tc>
              <w:tc>
                <w:tcPr>
                  <w:tcW w:w="920" w:type="pct"/>
                  <w:tcBorders>
                    <w:left w:val="single" w:color="auto" w:sz="4" w:space="0"/>
                  </w:tcBorders>
                  <w:vAlign w:val="center"/>
                </w:tcPr>
                <w:p w14:paraId="411B734B">
                  <w:pPr>
                    <w:jc w:val="center"/>
                    <w:rPr>
                      <w:bCs/>
                      <w:szCs w:val="21"/>
                    </w:rPr>
                  </w:pPr>
                  <w:r>
                    <w:rPr>
                      <w:rFonts w:hint="eastAsia"/>
                      <w:bCs/>
                      <w:szCs w:val="21"/>
                    </w:rPr>
                    <w:t>新建</w:t>
                  </w:r>
                </w:p>
              </w:tc>
            </w:tr>
            <w:tr w14:paraId="43C80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78D5D64A">
                  <w:pPr>
                    <w:jc w:val="center"/>
                    <w:rPr>
                      <w:bCs/>
                      <w:szCs w:val="21"/>
                    </w:rPr>
                  </w:pPr>
                </w:p>
              </w:tc>
              <w:tc>
                <w:tcPr>
                  <w:tcW w:w="1100" w:type="pct"/>
                  <w:gridSpan w:val="2"/>
                  <w:tcBorders>
                    <w:left w:val="single" w:color="auto" w:sz="4" w:space="0"/>
                  </w:tcBorders>
                  <w:vAlign w:val="center"/>
                </w:tcPr>
                <w:p w14:paraId="22028849">
                  <w:pPr>
                    <w:jc w:val="center"/>
                    <w:rPr>
                      <w:bCs/>
                      <w:szCs w:val="21"/>
                    </w:rPr>
                  </w:pPr>
                  <w:r>
                    <w:rPr>
                      <w:rFonts w:hint="eastAsia"/>
                      <w:bCs/>
                      <w:szCs w:val="21"/>
                    </w:rPr>
                    <w:t>刀具、五金库房</w:t>
                  </w:r>
                </w:p>
              </w:tc>
              <w:tc>
                <w:tcPr>
                  <w:tcW w:w="2716" w:type="pct"/>
                  <w:gridSpan w:val="3"/>
                  <w:tcBorders>
                    <w:right w:val="single" w:color="auto" w:sz="4" w:space="0"/>
                  </w:tcBorders>
                  <w:vAlign w:val="center"/>
                </w:tcPr>
                <w:p w14:paraId="79CA3542">
                  <w:pPr>
                    <w:rPr>
                      <w:bCs/>
                      <w:szCs w:val="21"/>
                    </w:rPr>
                  </w:pPr>
                  <w:r>
                    <w:rPr>
                      <w:bCs/>
                      <w:szCs w:val="21"/>
                    </w:rPr>
                    <w:t>170</w:t>
                  </w:r>
                  <w:r>
                    <w:rPr>
                      <w:rFonts w:hint="eastAsia"/>
                      <w:bCs/>
                      <w:szCs w:val="21"/>
                    </w:rPr>
                    <w:t>m</w:t>
                  </w:r>
                  <w:r>
                    <w:rPr>
                      <w:bCs/>
                      <w:szCs w:val="21"/>
                      <w:vertAlign w:val="superscript"/>
                    </w:rPr>
                    <w:t>2</w:t>
                  </w:r>
                  <w:r>
                    <w:rPr>
                      <w:rFonts w:hint="eastAsia"/>
                      <w:bCs/>
                      <w:szCs w:val="21"/>
                    </w:rPr>
                    <w:t>，位于西侧辅房1层中部，用于储存刀具、五金物品。</w:t>
                  </w:r>
                </w:p>
              </w:tc>
              <w:tc>
                <w:tcPr>
                  <w:tcW w:w="920" w:type="pct"/>
                  <w:tcBorders>
                    <w:left w:val="single" w:color="auto" w:sz="4" w:space="0"/>
                  </w:tcBorders>
                  <w:vAlign w:val="center"/>
                </w:tcPr>
                <w:p w14:paraId="7DA0F591">
                  <w:pPr>
                    <w:jc w:val="center"/>
                    <w:rPr>
                      <w:bCs/>
                      <w:szCs w:val="21"/>
                    </w:rPr>
                  </w:pPr>
                  <w:r>
                    <w:rPr>
                      <w:rFonts w:hint="eastAsia"/>
                      <w:bCs/>
                      <w:szCs w:val="21"/>
                    </w:rPr>
                    <w:t>新建</w:t>
                  </w:r>
                </w:p>
              </w:tc>
            </w:tr>
            <w:tr w14:paraId="127A5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0F31CDA4">
                  <w:pPr>
                    <w:jc w:val="center"/>
                    <w:rPr>
                      <w:bCs/>
                      <w:szCs w:val="21"/>
                    </w:rPr>
                  </w:pPr>
                </w:p>
              </w:tc>
              <w:tc>
                <w:tcPr>
                  <w:tcW w:w="1100" w:type="pct"/>
                  <w:gridSpan w:val="2"/>
                  <w:tcBorders>
                    <w:left w:val="single" w:color="auto" w:sz="4" w:space="0"/>
                  </w:tcBorders>
                  <w:vAlign w:val="center"/>
                </w:tcPr>
                <w:p w14:paraId="53FC0266">
                  <w:pPr>
                    <w:jc w:val="center"/>
                    <w:rPr>
                      <w:bCs/>
                      <w:szCs w:val="21"/>
                    </w:rPr>
                  </w:pPr>
                  <w:r>
                    <w:rPr>
                      <w:rFonts w:hint="eastAsia"/>
                      <w:bCs/>
                      <w:szCs w:val="21"/>
                    </w:rPr>
                    <w:t>辅料库</w:t>
                  </w:r>
                </w:p>
              </w:tc>
              <w:tc>
                <w:tcPr>
                  <w:tcW w:w="2716" w:type="pct"/>
                  <w:gridSpan w:val="3"/>
                  <w:tcBorders>
                    <w:right w:val="single" w:color="auto" w:sz="4" w:space="0"/>
                  </w:tcBorders>
                  <w:vAlign w:val="center"/>
                </w:tcPr>
                <w:p w14:paraId="32E062B8">
                  <w:pPr>
                    <w:rPr>
                      <w:bCs/>
                      <w:szCs w:val="21"/>
                    </w:rPr>
                  </w:pPr>
                  <w:r>
                    <w:rPr>
                      <w:bCs/>
                      <w:szCs w:val="21"/>
                    </w:rPr>
                    <w:t>70</w:t>
                  </w:r>
                  <w:r>
                    <w:rPr>
                      <w:rFonts w:hint="eastAsia"/>
                      <w:bCs/>
                      <w:szCs w:val="21"/>
                    </w:rPr>
                    <w:t>m</w:t>
                  </w:r>
                  <w:r>
                    <w:rPr>
                      <w:bCs/>
                      <w:szCs w:val="21"/>
                      <w:vertAlign w:val="superscript"/>
                    </w:rPr>
                    <w:t>2</w:t>
                  </w:r>
                  <w:r>
                    <w:rPr>
                      <w:rFonts w:hint="eastAsia"/>
                      <w:bCs/>
                      <w:szCs w:val="21"/>
                    </w:rPr>
                    <w:t>，位于西南侧辅房1层南侧，用于存放精炼剂、打渣剂等辅料。</w:t>
                  </w:r>
                </w:p>
              </w:tc>
              <w:tc>
                <w:tcPr>
                  <w:tcW w:w="920" w:type="pct"/>
                  <w:tcBorders>
                    <w:left w:val="single" w:color="auto" w:sz="4" w:space="0"/>
                  </w:tcBorders>
                  <w:vAlign w:val="center"/>
                </w:tcPr>
                <w:p w14:paraId="71810DC2">
                  <w:pPr>
                    <w:jc w:val="center"/>
                    <w:rPr>
                      <w:bCs/>
                      <w:szCs w:val="21"/>
                    </w:rPr>
                  </w:pPr>
                  <w:r>
                    <w:rPr>
                      <w:rFonts w:hint="eastAsia"/>
                      <w:bCs/>
                      <w:szCs w:val="21"/>
                    </w:rPr>
                    <w:t>新建</w:t>
                  </w:r>
                </w:p>
              </w:tc>
            </w:tr>
            <w:tr w14:paraId="54259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67E0C360">
                  <w:pPr>
                    <w:jc w:val="center"/>
                    <w:rPr>
                      <w:bCs/>
                      <w:szCs w:val="21"/>
                    </w:rPr>
                  </w:pPr>
                </w:p>
              </w:tc>
              <w:tc>
                <w:tcPr>
                  <w:tcW w:w="1100" w:type="pct"/>
                  <w:gridSpan w:val="2"/>
                  <w:tcBorders>
                    <w:left w:val="single" w:color="auto" w:sz="4" w:space="0"/>
                  </w:tcBorders>
                  <w:vAlign w:val="center"/>
                </w:tcPr>
                <w:p w14:paraId="0A58DBBD">
                  <w:pPr>
                    <w:jc w:val="center"/>
                    <w:rPr>
                      <w:bCs/>
                      <w:szCs w:val="21"/>
                    </w:rPr>
                  </w:pPr>
                  <w:r>
                    <w:rPr>
                      <w:rFonts w:hint="eastAsia"/>
                      <w:bCs/>
                      <w:szCs w:val="21"/>
                    </w:rPr>
                    <w:t>仓笼储存区</w:t>
                  </w:r>
                </w:p>
              </w:tc>
              <w:tc>
                <w:tcPr>
                  <w:tcW w:w="2716" w:type="pct"/>
                  <w:gridSpan w:val="3"/>
                  <w:tcBorders>
                    <w:right w:val="single" w:color="auto" w:sz="4" w:space="0"/>
                  </w:tcBorders>
                  <w:vAlign w:val="center"/>
                </w:tcPr>
                <w:p w14:paraId="1330FDF1">
                  <w:pPr>
                    <w:rPr>
                      <w:bCs/>
                      <w:szCs w:val="21"/>
                    </w:rPr>
                  </w:pPr>
                  <w:r>
                    <w:rPr>
                      <w:bCs/>
                      <w:szCs w:val="21"/>
                    </w:rPr>
                    <w:t>500</w:t>
                  </w:r>
                  <w:r>
                    <w:rPr>
                      <w:rFonts w:hint="eastAsia"/>
                      <w:bCs/>
                      <w:szCs w:val="21"/>
                    </w:rPr>
                    <w:t>m</w:t>
                  </w:r>
                  <w:r>
                    <w:rPr>
                      <w:bCs/>
                      <w:szCs w:val="21"/>
                      <w:vertAlign w:val="superscript"/>
                    </w:rPr>
                    <w:t>2</w:t>
                  </w:r>
                  <w:r>
                    <w:rPr>
                      <w:rFonts w:hint="eastAsia"/>
                      <w:bCs/>
                      <w:szCs w:val="21"/>
                    </w:rPr>
                    <w:t>，位于联合厂房内东侧，用于暂存产品包装仓笼。</w:t>
                  </w:r>
                </w:p>
              </w:tc>
              <w:tc>
                <w:tcPr>
                  <w:tcW w:w="920" w:type="pct"/>
                  <w:tcBorders>
                    <w:left w:val="single" w:color="auto" w:sz="4" w:space="0"/>
                  </w:tcBorders>
                  <w:vAlign w:val="center"/>
                </w:tcPr>
                <w:p w14:paraId="0D4916E1">
                  <w:pPr>
                    <w:jc w:val="center"/>
                    <w:rPr>
                      <w:bCs/>
                      <w:szCs w:val="21"/>
                    </w:rPr>
                  </w:pPr>
                  <w:r>
                    <w:rPr>
                      <w:rFonts w:hint="eastAsia"/>
                      <w:bCs/>
                      <w:szCs w:val="21"/>
                    </w:rPr>
                    <w:t>新建</w:t>
                  </w:r>
                </w:p>
              </w:tc>
            </w:tr>
            <w:tr w14:paraId="5AAA5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260225EF">
                  <w:pPr>
                    <w:jc w:val="center"/>
                    <w:rPr>
                      <w:bCs/>
                      <w:szCs w:val="21"/>
                    </w:rPr>
                  </w:pPr>
                </w:p>
              </w:tc>
              <w:tc>
                <w:tcPr>
                  <w:tcW w:w="1100" w:type="pct"/>
                  <w:gridSpan w:val="2"/>
                  <w:tcBorders>
                    <w:left w:val="single" w:color="auto" w:sz="4" w:space="0"/>
                  </w:tcBorders>
                  <w:vAlign w:val="center"/>
                </w:tcPr>
                <w:p w14:paraId="45467124">
                  <w:pPr>
                    <w:jc w:val="center"/>
                    <w:rPr>
                      <w:bCs/>
                      <w:szCs w:val="21"/>
                    </w:rPr>
                  </w:pPr>
                  <w:r>
                    <w:rPr>
                      <w:rFonts w:hint="eastAsia"/>
                      <w:bCs/>
                      <w:szCs w:val="21"/>
                    </w:rPr>
                    <w:t>仪器存放室</w:t>
                  </w:r>
                </w:p>
              </w:tc>
              <w:tc>
                <w:tcPr>
                  <w:tcW w:w="2716" w:type="pct"/>
                  <w:gridSpan w:val="3"/>
                  <w:tcBorders>
                    <w:right w:val="single" w:color="auto" w:sz="4" w:space="0"/>
                  </w:tcBorders>
                  <w:vAlign w:val="center"/>
                </w:tcPr>
                <w:p w14:paraId="2932ABFC">
                  <w:pPr>
                    <w:rPr>
                      <w:bCs/>
                      <w:szCs w:val="21"/>
                    </w:rPr>
                  </w:pPr>
                  <w:r>
                    <w:rPr>
                      <w:rFonts w:hint="eastAsia"/>
                      <w:bCs/>
                      <w:szCs w:val="21"/>
                    </w:rPr>
                    <w:t>2间，</w:t>
                  </w:r>
                  <w:r>
                    <w:rPr>
                      <w:bCs/>
                      <w:szCs w:val="21"/>
                    </w:rPr>
                    <w:t>位于西侧辅房</w:t>
                  </w:r>
                  <w:r>
                    <w:rPr>
                      <w:rFonts w:hint="eastAsia"/>
                      <w:bCs/>
                      <w:szCs w:val="21"/>
                    </w:rPr>
                    <w:t>2层北侧及中部，面积均为6</w:t>
                  </w:r>
                  <w:r>
                    <w:rPr>
                      <w:bCs/>
                      <w:szCs w:val="21"/>
                    </w:rPr>
                    <w:t>0m</w:t>
                  </w:r>
                  <w:r>
                    <w:rPr>
                      <w:bCs/>
                      <w:szCs w:val="21"/>
                      <w:vertAlign w:val="superscript"/>
                    </w:rPr>
                    <w:t>2</w:t>
                  </w:r>
                  <w:r>
                    <w:rPr>
                      <w:rFonts w:hint="eastAsia"/>
                      <w:bCs/>
                      <w:szCs w:val="21"/>
                    </w:rPr>
                    <w:t>。</w:t>
                  </w:r>
                </w:p>
              </w:tc>
              <w:tc>
                <w:tcPr>
                  <w:tcW w:w="920" w:type="pct"/>
                  <w:tcBorders>
                    <w:left w:val="single" w:color="auto" w:sz="4" w:space="0"/>
                  </w:tcBorders>
                  <w:vAlign w:val="center"/>
                </w:tcPr>
                <w:p w14:paraId="580356D6">
                  <w:pPr>
                    <w:jc w:val="center"/>
                    <w:rPr>
                      <w:bCs/>
                      <w:szCs w:val="21"/>
                    </w:rPr>
                  </w:pPr>
                  <w:r>
                    <w:rPr>
                      <w:rFonts w:hint="eastAsia"/>
                      <w:bCs/>
                      <w:szCs w:val="21"/>
                    </w:rPr>
                    <w:t>新建</w:t>
                  </w:r>
                </w:p>
              </w:tc>
            </w:tr>
            <w:tr w14:paraId="3E49B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5851C81B">
                  <w:pPr>
                    <w:jc w:val="center"/>
                    <w:rPr>
                      <w:bCs/>
                      <w:szCs w:val="21"/>
                    </w:rPr>
                  </w:pPr>
                </w:p>
              </w:tc>
              <w:tc>
                <w:tcPr>
                  <w:tcW w:w="1100" w:type="pct"/>
                  <w:gridSpan w:val="2"/>
                  <w:tcBorders>
                    <w:left w:val="single" w:color="auto" w:sz="4" w:space="0"/>
                  </w:tcBorders>
                  <w:vAlign w:val="center"/>
                </w:tcPr>
                <w:p w14:paraId="1E2EDADA">
                  <w:pPr>
                    <w:jc w:val="center"/>
                    <w:rPr>
                      <w:bCs/>
                      <w:szCs w:val="21"/>
                    </w:rPr>
                  </w:pPr>
                  <w:r>
                    <w:rPr>
                      <w:rFonts w:hint="eastAsia"/>
                      <w:bCs/>
                      <w:szCs w:val="21"/>
                    </w:rPr>
                    <w:t>工具室</w:t>
                  </w:r>
                </w:p>
              </w:tc>
              <w:tc>
                <w:tcPr>
                  <w:tcW w:w="2716" w:type="pct"/>
                  <w:gridSpan w:val="3"/>
                  <w:tcBorders>
                    <w:right w:val="single" w:color="auto" w:sz="4" w:space="0"/>
                  </w:tcBorders>
                  <w:vAlign w:val="center"/>
                </w:tcPr>
                <w:p w14:paraId="56A6F3B4">
                  <w:pPr>
                    <w:rPr>
                      <w:bCs/>
                      <w:szCs w:val="21"/>
                    </w:rPr>
                  </w:pPr>
                  <w:r>
                    <w:rPr>
                      <w:bCs/>
                      <w:szCs w:val="21"/>
                    </w:rPr>
                    <w:t>1</w:t>
                  </w:r>
                  <w:r>
                    <w:rPr>
                      <w:rFonts w:hint="eastAsia"/>
                      <w:bCs/>
                      <w:szCs w:val="21"/>
                    </w:rPr>
                    <w:t>间，</w:t>
                  </w:r>
                  <w:r>
                    <w:rPr>
                      <w:bCs/>
                      <w:szCs w:val="21"/>
                    </w:rPr>
                    <w:t>位于西侧辅房</w:t>
                  </w:r>
                  <w:r>
                    <w:rPr>
                      <w:rFonts w:hint="eastAsia"/>
                      <w:bCs/>
                      <w:szCs w:val="21"/>
                    </w:rPr>
                    <w:t>2层南侧，面积5</w:t>
                  </w:r>
                  <w:r>
                    <w:rPr>
                      <w:bCs/>
                      <w:szCs w:val="21"/>
                    </w:rPr>
                    <w:t>0m</w:t>
                  </w:r>
                  <w:r>
                    <w:rPr>
                      <w:bCs/>
                      <w:szCs w:val="21"/>
                      <w:vertAlign w:val="superscript"/>
                    </w:rPr>
                    <w:t>2</w:t>
                  </w:r>
                  <w:r>
                    <w:rPr>
                      <w:rFonts w:hint="eastAsia"/>
                      <w:bCs/>
                      <w:szCs w:val="21"/>
                    </w:rPr>
                    <w:t>。</w:t>
                  </w:r>
                </w:p>
              </w:tc>
              <w:tc>
                <w:tcPr>
                  <w:tcW w:w="920" w:type="pct"/>
                  <w:tcBorders>
                    <w:left w:val="single" w:color="auto" w:sz="4" w:space="0"/>
                  </w:tcBorders>
                  <w:vAlign w:val="center"/>
                </w:tcPr>
                <w:p w14:paraId="69CF061A">
                  <w:pPr>
                    <w:jc w:val="center"/>
                    <w:rPr>
                      <w:bCs/>
                      <w:szCs w:val="21"/>
                    </w:rPr>
                  </w:pPr>
                  <w:r>
                    <w:rPr>
                      <w:rFonts w:hint="eastAsia"/>
                      <w:bCs/>
                      <w:szCs w:val="21"/>
                    </w:rPr>
                    <w:t>新建</w:t>
                  </w:r>
                </w:p>
              </w:tc>
            </w:tr>
            <w:tr w14:paraId="19B42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094FAFC8">
                  <w:pPr>
                    <w:jc w:val="center"/>
                    <w:rPr>
                      <w:bCs/>
                      <w:szCs w:val="21"/>
                    </w:rPr>
                  </w:pPr>
                </w:p>
              </w:tc>
              <w:tc>
                <w:tcPr>
                  <w:tcW w:w="1100" w:type="pct"/>
                  <w:gridSpan w:val="2"/>
                  <w:tcBorders>
                    <w:left w:val="single" w:color="auto" w:sz="4" w:space="0"/>
                  </w:tcBorders>
                  <w:vAlign w:val="center"/>
                </w:tcPr>
                <w:p w14:paraId="1522D4F1">
                  <w:pPr>
                    <w:jc w:val="center"/>
                    <w:rPr>
                      <w:bCs/>
                      <w:szCs w:val="21"/>
                    </w:rPr>
                  </w:pPr>
                  <w:r>
                    <w:rPr>
                      <w:rFonts w:hint="eastAsia"/>
                      <w:bCs/>
                      <w:szCs w:val="21"/>
                    </w:rPr>
                    <w:t>资料室</w:t>
                  </w:r>
                </w:p>
              </w:tc>
              <w:tc>
                <w:tcPr>
                  <w:tcW w:w="2716" w:type="pct"/>
                  <w:gridSpan w:val="3"/>
                  <w:tcBorders>
                    <w:right w:val="single" w:color="auto" w:sz="4" w:space="0"/>
                  </w:tcBorders>
                  <w:vAlign w:val="center"/>
                </w:tcPr>
                <w:p w14:paraId="33B03D52">
                  <w:pPr>
                    <w:rPr>
                      <w:bCs/>
                      <w:szCs w:val="21"/>
                    </w:rPr>
                  </w:pPr>
                  <w:r>
                    <w:rPr>
                      <w:bCs/>
                      <w:szCs w:val="21"/>
                    </w:rPr>
                    <w:t>1</w:t>
                  </w:r>
                  <w:r>
                    <w:rPr>
                      <w:rFonts w:hint="eastAsia"/>
                      <w:bCs/>
                      <w:szCs w:val="21"/>
                    </w:rPr>
                    <w:t>间，</w:t>
                  </w:r>
                  <w:r>
                    <w:rPr>
                      <w:bCs/>
                      <w:szCs w:val="21"/>
                    </w:rPr>
                    <w:t>位于西侧辅房2层</w:t>
                  </w:r>
                  <w:r>
                    <w:rPr>
                      <w:rFonts w:hint="eastAsia"/>
                      <w:bCs/>
                      <w:szCs w:val="21"/>
                    </w:rPr>
                    <w:t>南侧，面积</w:t>
                  </w:r>
                  <w:r>
                    <w:rPr>
                      <w:bCs/>
                      <w:szCs w:val="21"/>
                    </w:rPr>
                    <w:t>70m</w:t>
                  </w:r>
                  <w:r>
                    <w:rPr>
                      <w:bCs/>
                      <w:szCs w:val="21"/>
                      <w:vertAlign w:val="superscript"/>
                    </w:rPr>
                    <w:t>2</w:t>
                  </w:r>
                  <w:r>
                    <w:rPr>
                      <w:rFonts w:hint="eastAsia"/>
                      <w:bCs/>
                      <w:szCs w:val="21"/>
                    </w:rPr>
                    <w:t>。</w:t>
                  </w:r>
                </w:p>
              </w:tc>
              <w:tc>
                <w:tcPr>
                  <w:tcW w:w="920" w:type="pct"/>
                  <w:tcBorders>
                    <w:left w:val="single" w:color="auto" w:sz="4" w:space="0"/>
                  </w:tcBorders>
                  <w:vAlign w:val="center"/>
                </w:tcPr>
                <w:p w14:paraId="0A7A41BB">
                  <w:pPr>
                    <w:jc w:val="center"/>
                    <w:rPr>
                      <w:bCs/>
                      <w:szCs w:val="21"/>
                    </w:rPr>
                  </w:pPr>
                  <w:r>
                    <w:rPr>
                      <w:rFonts w:hint="eastAsia"/>
                      <w:bCs/>
                      <w:szCs w:val="21"/>
                    </w:rPr>
                    <w:t>新建</w:t>
                  </w:r>
                </w:p>
              </w:tc>
            </w:tr>
            <w:tr w14:paraId="5A2BD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Borders>
                    <w:right w:val="single" w:color="auto" w:sz="4" w:space="0"/>
                  </w:tcBorders>
                  <w:tcMar>
                    <w:left w:w="28" w:type="dxa"/>
                    <w:right w:w="28" w:type="dxa"/>
                  </w:tcMar>
                  <w:vAlign w:val="center"/>
                </w:tcPr>
                <w:p w14:paraId="7C38D18C">
                  <w:pPr>
                    <w:jc w:val="center"/>
                    <w:rPr>
                      <w:bCs/>
                      <w:szCs w:val="21"/>
                    </w:rPr>
                  </w:pPr>
                </w:p>
              </w:tc>
              <w:tc>
                <w:tcPr>
                  <w:tcW w:w="1100" w:type="pct"/>
                  <w:gridSpan w:val="2"/>
                  <w:tcBorders>
                    <w:left w:val="single" w:color="auto" w:sz="4" w:space="0"/>
                  </w:tcBorders>
                  <w:vAlign w:val="center"/>
                </w:tcPr>
                <w:p w14:paraId="3A3E852B">
                  <w:pPr>
                    <w:jc w:val="center"/>
                    <w:rPr>
                      <w:bCs/>
                      <w:szCs w:val="21"/>
                    </w:rPr>
                  </w:pPr>
                  <w:r>
                    <w:rPr>
                      <w:rFonts w:hint="eastAsia"/>
                      <w:bCs/>
                      <w:szCs w:val="21"/>
                    </w:rPr>
                    <w:t>劳保清洁用品存放室</w:t>
                  </w:r>
                </w:p>
              </w:tc>
              <w:tc>
                <w:tcPr>
                  <w:tcW w:w="2716" w:type="pct"/>
                  <w:gridSpan w:val="3"/>
                  <w:tcBorders>
                    <w:right w:val="single" w:color="auto" w:sz="4" w:space="0"/>
                  </w:tcBorders>
                  <w:vAlign w:val="center"/>
                </w:tcPr>
                <w:p w14:paraId="773E1F0C">
                  <w:pPr>
                    <w:rPr>
                      <w:bCs/>
                      <w:szCs w:val="21"/>
                    </w:rPr>
                  </w:pPr>
                  <w:r>
                    <w:rPr>
                      <w:rFonts w:hint="eastAsia"/>
                      <w:bCs/>
                      <w:szCs w:val="21"/>
                    </w:rPr>
                    <w:t>2间，</w:t>
                  </w:r>
                  <w:r>
                    <w:rPr>
                      <w:bCs/>
                      <w:szCs w:val="21"/>
                    </w:rPr>
                    <w:t>位于西侧辅房2层</w:t>
                  </w:r>
                  <w:r>
                    <w:rPr>
                      <w:rFonts w:hint="eastAsia"/>
                      <w:bCs/>
                      <w:szCs w:val="21"/>
                    </w:rPr>
                    <w:t>北侧，面积分别为</w:t>
                  </w:r>
                  <w:r>
                    <w:rPr>
                      <w:bCs/>
                      <w:szCs w:val="21"/>
                    </w:rPr>
                    <w:t>50m</w:t>
                  </w:r>
                  <w:r>
                    <w:rPr>
                      <w:bCs/>
                      <w:szCs w:val="21"/>
                      <w:vertAlign w:val="superscript"/>
                    </w:rPr>
                    <w:t>2</w:t>
                  </w:r>
                  <w:r>
                    <w:rPr>
                      <w:rFonts w:hint="eastAsia"/>
                      <w:bCs/>
                      <w:szCs w:val="21"/>
                    </w:rPr>
                    <w:t>、</w:t>
                  </w:r>
                  <w:r>
                    <w:rPr>
                      <w:bCs/>
                      <w:szCs w:val="21"/>
                    </w:rPr>
                    <w:t>40m</w:t>
                  </w:r>
                  <w:r>
                    <w:rPr>
                      <w:bCs/>
                      <w:szCs w:val="21"/>
                      <w:vertAlign w:val="superscript"/>
                    </w:rPr>
                    <w:t>2</w:t>
                  </w:r>
                  <w:r>
                    <w:rPr>
                      <w:rFonts w:hint="eastAsia"/>
                      <w:bCs/>
                      <w:szCs w:val="21"/>
                    </w:rPr>
                    <w:t>。</w:t>
                  </w:r>
                </w:p>
              </w:tc>
              <w:tc>
                <w:tcPr>
                  <w:tcW w:w="920" w:type="pct"/>
                  <w:tcBorders>
                    <w:left w:val="single" w:color="auto" w:sz="4" w:space="0"/>
                  </w:tcBorders>
                  <w:vAlign w:val="center"/>
                </w:tcPr>
                <w:p w14:paraId="66A1648A">
                  <w:pPr>
                    <w:jc w:val="center"/>
                    <w:rPr>
                      <w:bCs/>
                      <w:szCs w:val="21"/>
                    </w:rPr>
                  </w:pPr>
                  <w:r>
                    <w:rPr>
                      <w:rFonts w:hint="eastAsia"/>
                      <w:bCs/>
                      <w:szCs w:val="21"/>
                    </w:rPr>
                    <w:t>新建</w:t>
                  </w:r>
                </w:p>
              </w:tc>
            </w:tr>
            <w:tr w14:paraId="3F64B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restart"/>
                  <w:tcMar>
                    <w:left w:w="28" w:type="dxa"/>
                    <w:right w:w="28" w:type="dxa"/>
                  </w:tcMar>
                  <w:vAlign w:val="center"/>
                </w:tcPr>
                <w:p w14:paraId="5C5FD393">
                  <w:pPr>
                    <w:jc w:val="center"/>
                    <w:rPr>
                      <w:bCs/>
                      <w:szCs w:val="21"/>
                    </w:rPr>
                  </w:pPr>
                  <w:r>
                    <w:rPr>
                      <w:bCs/>
                      <w:szCs w:val="21"/>
                    </w:rPr>
                    <w:t>公用</w:t>
                  </w:r>
                </w:p>
                <w:p w14:paraId="3C4802BE">
                  <w:pPr>
                    <w:jc w:val="center"/>
                    <w:rPr>
                      <w:bCs/>
                      <w:szCs w:val="21"/>
                    </w:rPr>
                  </w:pPr>
                  <w:r>
                    <w:rPr>
                      <w:bCs/>
                      <w:szCs w:val="21"/>
                    </w:rPr>
                    <w:t>工程</w:t>
                  </w:r>
                </w:p>
              </w:tc>
              <w:tc>
                <w:tcPr>
                  <w:tcW w:w="1100" w:type="pct"/>
                  <w:gridSpan w:val="2"/>
                  <w:tcMar>
                    <w:left w:w="28" w:type="dxa"/>
                    <w:right w:w="28" w:type="dxa"/>
                  </w:tcMar>
                  <w:vAlign w:val="center"/>
                </w:tcPr>
                <w:p w14:paraId="4DC32841">
                  <w:pPr>
                    <w:jc w:val="center"/>
                    <w:rPr>
                      <w:bCs/>
                      <w:szCs w:val="21"/>
                    </w:rPr>
                  </w:pPr>
                  <w:r>
                    <w:rPr>
                      <w:bCs/>
                      <w:szCs w:val="21"/>
                    </w:rPr>
                    <w:t>给水</w:t>
                  </w:r>
                </w:p>
              </w:tc>
              <w:tc>
                <w:tcPr>
                  <w:tcW w:w="2716" w:type="pct"/>
                  <w:gridSpan w:val="3"/>
                  <w:tcBorders>
                    <w:right w:val="single" w:color="auto" w:sz="4" w:space="0"/>
                  </w:tcBorders>
                  <w:vAlign w:val="center"/>
                </w:tcPr>
                <w:p w14:paraId="78FE66B1">
                  <w:pPr>
                    <w:rPr>
                      <w:bCs/>
                      <w:szCs w:val="21"/>
                    </w:rPr>
                  </w:pPr>
                  <w:r>
                    <w:rPr>
                      <w:rFonts w:hint="eastAsia"/>
                      <w:bCs/>
                      <w:szCs w:val="21"/>
                    </w:rPr>
                    <w:t>由市政给水管网供应，厂区北侧接入市政给水管网，给水管管径DN150。</w:t>
                  </w:r>
                </w:p>
              </w:tc>
              <w:tc>
                <w:tcPr>
                  <w:tcW w:w="920" w:type="pct"/>
                  <w:tcBorders>
                    <w:left w:val="single" w:color="auto" w:sz="4" w:space="0"/>
                  </w:tcBorders>
                  <w:vAlign w:val="center"/>
                </w:tcPr>
                <w:p w14:paraId="341A2191">
                  <w:pPr>
                    <w:jc w:val="center"/>
                    <w:rPr>
                      <w:bCs/>
                      <w:szCs w:val="21"/>
                    </w:rPr>
                  </w:pPr>
                  <w:r>
                    <w:rPr>
                      <w:rFonts w:hint="eastAsia"/>
                      <w:bCs/>
                      <w:szCs w:val="21"/>
                    </w:rPr>
                    <w:t>新建</w:t>
                  </w:r>
                </w:p>
              </w:tc>
            </w:tr>
            <w:tr w14:paraId="63B34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32141F32">
                  <w:pPr>
                    <w:jc w:val="center"/>
                    <w:rPr>
                      <w:bCs/>
                      <w:szCs w:val="21"/>
                    </w:rPr>
                  </w:pPr>
                </w:p>
              </w:tc>
              <w:tc>
                <w:tcPr>
                  <w:tcW w:w="1100" w:type="pct"/>
                  <w:gridSpan w:val="2"/>
                  <w:tcMar>
                    <w:left w:w="28" w:type="dxa"/>
                    <w:right w:w="28" w:type="dxa"/>
                  </w:tcMar>
                  <w:vAlign w:val="center"/>
                </w:tcPr>
                <w:p w14:paraId="5D881962">
                  <w:pPr>
                    <w:jc w:val="center"/>
                    <w:rPr>
                      <w:bCs/>
                      <w:szCs w:val="21"/>
                    </w:rPr>
                  </w:pPr>
                  <w:r>
                    <w:rPr>
                      <w:bCs/>
                      <w:szCs w:val="21"/>
                    </w:rPr>
                    <w:t>排水</w:t>
                  </w:r>
                </w:p>
              </w:tc>
              <w:tc>
                <w:tcPr>
                  <w:tcW w:w="2716" w:type="pct"/>
                  <w:gridSpan w:val="3"/>
                  <w:tcBorders>
                    <w:right w:val="single" w:color="auto" w:sz="4" w:space="0"/>
                  </w:tcBorders>
                  <w:vAlign w:val="center"/>
                </w:tcPr>
                <w:p w14:paraId="2528F4AA">
                  <w:pPr>
                    <w:rPr>
                      <w:bCs/>
                      <w:szCs w:val="21"/>
                    </w:rPr>
                  </w:pPr>
                  <w:r>
                    <w:rPr>
                      <w:rFonts w:hint="eastAsia"/>
                      <w:bCs/>
                      <w:szCs w:val="21"/>
                    </w:rPr>
                    <w:t>项目采用雨、污分流。</w:t>
                  </w:r>
                </w:p>
                <w:p w14:paraId="347EBB36">
                  <w:pPr>
                    <w:rPr>
                      <w:bCs/>
                      <w:szCs w:val="21"/>
                    </w:rPr>
                  </w:pPr>
                  <w:r>
                    <w:rPr>
                      <w:rFonts w:hint="eastAsia"/>
                      <w:bCs/>
                      <w:szCs w:val="21"/>
                    </w:rPr>
                    <w:t>雨水由厂区四周接入园区雨水管网。生产废水经预处理后与生活污水一并经新建污水处理设施处理后排入李渡大耍坝污水处理厂处理达标后，最终排入长江。</w:t>
                  </w:r>
                </w:p>
              </w:tc>
              <w:tc>
                <w:tcPr>
                  <w:tcW w:w="920" w:type="pct"/>
                  <w:tcBorders>
                    <w:left w:val="single" w:color="auto" w:sz="4" w:space="0"/>
                  </w:tcBorders>
                  <w:vAlign w:val="center"/>
                </w:tcPr>
                <w:p w14:paraId="677D18FC">
                  <w:pPr>
                    <w:jc w:val="center"/>
                    <w:rPr>
                      <w:bCs/>
                      <w:szCs w:val="21"/>
                    </w:rPr>
                  </w:pPr>
                  <w:r>
                    <w:rPr>
                      <w:rFonts w:hint="eastAsia"/>
                      <w:bCs/>
                      <w:szCs w:val="21"/>
                    </w:rPr>
                    <w:t>新建</w:t>
                  </w:r>
                </w:p>
              </w:tc>
            </w:tr>
            <w:tr w14:paraId="2611A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05" w:hRule="atLeast"/>
                <w:jc w:val="center"/>
              </w:trPr>
              <w:tc>
                <w:tcPr>
                  <w:tcW w:w="264" w:type="pct"/>
                  <w:vMerge w:val="continue"/>
                  <w:tcMar>
                    <w:left w:w="28" w:type="dxa"/>
                    <w:right w:w="28" w:type="dxa"/>
                  </w:tcMar>
                  <w:vAlign w:val="center"/>
                </w:tcPr>
                <w:p w14:paraId="4329E825">
                  <w:pPr>
                    <w:jc w:val="center"/>
                    <w:rPr>
                      <w:bCs/>
                      <w:szCs w:val="21"/>
                    </w:rPr>
                  </w:pPr>
                </w:p>
              </w:tc>
              <w:tc>
                <w:tcPr>
                  <w:tcW w:w="1100" w:type="pct"/>
                  <w:gridSpan w:val="2"/>
                  <w:vMerge w:val="restart"/>
                  <w:tcMar>
                    <w:left w:w="28" w:type="dxa"/>
                    <w:right w:w="28" w:type="dxa"/>
                  </w:tcMar>
                  <w:vAlign w:val="center"/>
                </w:tcPr>
                <w:p w14:paraId="166E176A">
                  <w:pPr>
                    <w:jc w:val="center"/>
                    <w:rPr>
                      <w:bCs/>
                      <w:szCs w:val="21"/>
                    </w:rPr>
                  </w:pPr>
                  <w:r>
                    <w:rPr>
                      <w:bCs/>
                      <w:szCs w:val="21"/>
                    </w:rPr>
                    <w:t>供电</w:t>
                  </w:r>
                </w:p>
              </w:tc>
              <w:tc>
                <w:tcPr>
                  <w:tcW w:w="2716" w:type="pct"/>
                  <w:gridSpan w:val="3"/>
                  <w:tcBorders>
                    <w:right w:val="single" w:color="auto" w:sz="4" w:space="0"/>
                  </w:tcBorders>
                  <w:vAlign w:val="center"/>
                </w:tcPr>
                <w:p w14:paraId="16FEFA0C">
                  <w:pPr>
                    <w:rPr>
                      <w:bCs/>
                      <w:szCs w:val="21"/>
                    </w:rPr>
                  </w:pPr>
                  <w:r>
                    <w:rPr>
                      <w:rFonts w:hint="eastAsia"/>
                      <w:bCs/>
                      <w:szCs w:val="21"/>
                    </w:rPr>
                    <w:t>由园区供电管网接入。建设配电房2间，1#配电房位于联合厂房西侧辅房1层南侧，面积1</w:t>
                  </w:r>
                  <w:r>
                    <w:rPr>
                      <w:bCs/>
                      <w:szCs w:val="21"/>
                    </w:rPr>
                    <w:t>30</w:t>
                  </w:r>
                  <w:r>
                    <w:rPr>
                      <w:rFonts w:hint="eastAsia"/>
                      <w:bCs/>
                      <w:szCs w:val="21"/>
                    </w:rPr>
                    <w:t>m</w:t>
                  </w:r>
                  <w:r>
                    <w:rPr>
                      <w:bCs/>
                      <w:szCs w:val="21"/>
                      <w:vertAlign w:val="superscript"/>
                    </w:rPr>
                    <w:t>2</w:t>
                  </w:r>
                  <w:r>
                    <w:rPr>
                      <w:rFonts w:hint="eastAsia"/>
                      <w:bCs/>
                      <w:szCs w:val="21"/>
                    </w:rPr>
                    <w:t>，新建1座</w:t>
                  </w:r>
                  <w:r>
                    <w:rPr>
                      <w:bCs/>
                      <w:szCs w:val="21"/>
                    </w:rPr>
                    <w:t>1250kVA变压器</w:t>
                  </w:r>
                  <w:r>
                    <w:rPr>
                      <w:rFonts w:hint="eastAsia"/>
                      <w:bCs/>
                      <w:szCs w:val="21"/>
                    </w:rPr>
                    <w:t>；2#配电房位于北侧辅房1层中部，面积1</w:t>
                  </w:r>
                  <w:r>
                    <w:rPr>
                      <w:bCs/>
                      <w:szCs w:val="21"/>
                    </w:rPr>
                    <w:t>00</w:t>
                  </w:r>
                  <w:r>
                    <w:rPr>
                      <w:rFonts w:hint="eastAsia"/>
                      <w:bCs/>
                      <w:szCs w:val="21"/>
                    </w:rPr>
                    <w:t>m</w:t>
                  </w:r>
                  <w:r>
                    <w:rPr>
                      <w:bCs/>
                      <w:szCs w:val="21"/>
                      <w:vertAlign w:val="superscript"/>
                    </w:rPr>
                    <w:t>2</w:t>
                  </w:r>
                  <w:r>
                    <w:rPr>
                      <w:rFonts w:hint="eastAsia"/>
                      <w:bCs/>
                      <w:szCs w:val="21"/>
                    </w:rPr>
                    <w:t>，新建1座</w:t>
                  </w:r>
                  <w:r>
                    <w:rPr>
                      <w:bCs/>
                      <w:szCs w:val="21"/>
                    </w:rPr>
                    <w:t>1250kVA变压器</w:t>
                  </w:r>
                  <w:r>
                    <w:rPr>
                      <w:rFonts w:hint="eastAsia"/>
                      <w:bCs/>
                      <w:szCs w:val="21"/>
                    </w:rPr>
                    <w:t>。</w:t>
                  </w:r>
                </w:p>
              </w:tc>
              <w:tc>
                <w:tcPr>
                  <w:tcW w:w="920" w:type="pct"/>
                  <w:vMerge w:val="restart"/>
                  <w:tcBorders>
                    <w:left w:val="single" w:color="auto" w:sz="4" w:space="0"/>
                  </w:tcBorders>
                  <w:vAlign w:val="center"/>
                </w:tcPr>
                <w:p w14:paraId="2F435A78">
                  <w:pPr>
                    <w:jc w:val="center"/>
                    <w:rPr>
                      <w:bCs/>
                      <w:szCs w:val="21"/>
                      <w:highlight w:val="yellow"/>
                    </w:rPr>
                  </w:pPr>
                  <w:r>
                    <w:rPr>
                      <w:rFonts w:hint="eastAsia"/>
                      <w:bCs/>
                      <w:szCs w:val="21"/>
                    </w:rPr>
                    <w:t>新建</w:t>
                  </w:r>
                </w:p>
              </w:tc>
            </w:tr>
            <w:tr w14:paraId="4CDFE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05" w:hRule="atLeast"/>
                <w:jc w:val="center"/>
              </w:trPr>
              <w:tc>
                <w:tcPr>
                  <w:tcW w:w="264" w:type="pct"/>
                  <w:vMerge w:val="continue"/>
                  <w:tcMar>
                    <w:left w:w="28" w:type="dxa"/>
                    <w:right w:w="28" w:type="dxa"/>
                  </w:tcMar>
                  <w:vAlign w:val="center"/>
                </w:tcPr>
                <w:p w14:paraId="3A453D1C">
                  <w:pPr>
                    <w:jc w:val="center"/>
                    <w:rPr>
                      <w:bCs/>
                      <w:szCs w:val="21"/>
                    </w:rPr>
                  </w:pPr>
                </w:p>
              </w:tc>
              <w:tc>
                <w:tcPr>
                  <w:tcW w:w="1100" w:type="pct"/>
                  <w:gridSpan w:val="2"/>
                  <w:vMerge w:val="continue"/>
                  <w:tcMar>
                    <w:left w:w="28" w:type="dxa"/>
                    <w:right w:w="28" w:type="dxa"/>
                  </w:tcMar>
                  <w:vAlign w:val="center"/>
                </w:tcPr>
                <w:p w14:paraId="2EF89506">
                  <w:pPr>
                    <w:jc w:val="center"/>
                    <w:rPr>
                      <w:bCs/>
                      <w:szCs w:val="21"/>
                    </w:rPr>
                  </w:pPr>
                </w:p>
              </w:tc>
              <w:tc>
                <w:tcPr>
                  <w:tcW w:w="2716" w:type="pct"/>
                  <w:gridSpan w:val="3"/>
                  <w:tcBorders>
                    <w:right w:val="single" w:color="auto" w:sz="4" w:space="0"/>
                  </w:tcBorders>
                  <w:vAlign w:val="center"/>
                </w:tcPr>
                <w:p w14:paraId="27C7F419">
                  <w:pPr>
                    <w:rPr>
                      <w:bCs/>
                      <w:szCs w:val="21"/>
                    </w:rPr>
                  </w:pPr>
                  <w:r>
                    <w:rPr>
                      <w:bCs/>
                      <w:szCs w:val="21"/>
                    </w:rPr>
                    <w:t>新建柴油发电机房</w:t>
                  </w:r>
                  <w:r>
                    <w:rPr>
                      <w:rFonts w:hint="eastAsia"/>
                      <w:bCs/>
                      <w:szCs w:val="21"/>
                    </w:rPr>
                    <w:t>1间，位于北侧辅房1层中部，占地面积5</w:t>
                  </w:r>
                  <w:r>
                    <w:rPr>
                      <w:bCs/>
                      <w:szCs w:val="21"/>
                    </w:rPr>
                    <w:t>0m</w:t>
                  </w:r>
                  <w:r>
                    <w:rPr>
                      <w:bCs/>
                      <w:szCs w:val="21"/>
                      <w:vertAlign w:val="superscript"/>
                    </w:rPr>
                    <w:t>2</w:t>
                  </w:r>
                  <w:r>
                    <w:rPr>
                      <w:rFonts w:hint="eastAsia"/>
                      <w:bCs/>
                      <w:szCs w:val="21"/>
                    </w:rPr>
                    <w:t>，</w:t>
                  </w:r>
                  <w:r>
                    <w:rPr>
                      <w:bCs/>
                      <w:szCs w:val="21"/>
                    </w:rPr>
                    <w:t>内设柴油发电机</w:t>
                  </w:r>
                  <w:r>
                    <w:rPr>
                      <w:rFonts w:hint="eastAsia"/>
                      <w:bCs/>
                      <w:szCs w:val="21"/>
                    </w:rPr>
                    <w:t>1台，配套储油间1间，柴油最大储存量</w:t>
                  </w:r>
                  <w:r>
                    <w:rPr>
                      <w:bCs/>
                      <w:szCs w:val="21"/>
                    </w:rPr>
                    <w:t>1t</w:t>
                  </w:r>
                  <w:r>
                    <w:rPr>
                      <w:rFonts w:hint="eastAsia"/>
                      <w:bCs/>
                      <w:szCs w:val="21"/>
                    </w:rPr>
                    <w:t>。</w:t>
                  </w:r>
                </w:p>
              </w:tc>
              <w:tc>
                <w:tcPr>
                  <w:tcW w:w="920" w:type="pct"/>
                  <w:vMerge w:val="continue"/>
                  <w:tcBorders>
                    <w:left w:val="single" w:color="auto" w:sz="4" w:space="0"/>
                  </w:tcBorders>
                  <w:vAlign w:val="center"/>
                </w:tcPr>
                <w:p w14:paraId="0755E86F">
                  <w:pPr>
                    <w:jc w:val="center"/>
                    <w:rPr>
                      <w:bCs/>
                      <w:szCs w:val="21"/>
                    </w:rPr>
                  </w:pPr>
                </w:p>
              </w:tc>
            </w:tr>
            <w:tr w14:paraId="3A31A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121E3E08">
                  <w:pPr>
                    <w:jc w:val="center"/>
                    <w:rPr>
                      <w:bCs/>
                      <w:szCs w:val="21"/>
                    </w:rPr>
                  </w:pPr>
                </w:p>
              </w:tc>
              <w:tc>
                <w:tcPr>
                  <w:tcW w:w="1100" w:type="pct"/>
                  <w:gridSpan w:val="2"/>
                  <w:tcMar>
                    <w:left w:w="28" w:type="dxa"/>
                    <w:right w:w="28" w:type="dxa"/>
                  </w:tcMar>
                  <w:vAlign w:val="center"/>
                </w:tcPr>
                <w:p w14:paraId="0E24F6E2">
                  <w:pPr>
                    <w:jc w:val="center"/>
                    <w:rPr>
                      <w:bCs/>
                      <w:szCs w:val="21"/>
                    </w:rPr>
                  </w:pPr>
                  <w:r>
                    <w:rPr>
                      <w:rFonts w:hint="eastAsia"/>
                      <w:bCs/>
                      <w:szCs w:val="21"/>
                    </w:rPr>
                    <w:t>压缩</w:t>
                  </w:r>
                  <w:r>
                    <w:rPr>
                      <w:bCs/>
                      <w:szCs w:val="21"/>
                    </w:rPr>
                    <w:t>空气</w:t>
                  </w:r>
                </w:p>
              </w:tc>
              <w:tc>
                <w:tcPr>
                  <w:tcW w:w="2716" w:type="pct"/>
                  <w:gridSpan w:val="3"/>
                  <w:tcBorders>
                    <w:right w:val="single" w:color="auto" w:sz="4" w:space="0"/>
                  </w:tcBorders>
                  <w:vAlign w:val="center"/>
                </w:tcPr>
                <w:p w14:paraId="5BD249A3">
                  <w:pPr>
                    <w:rPr>
                      <w:bCs/>
                      <w:szCs w:val="21"/>
                    </w:rPr>
                  </w:pPr>
                  <w:r>
                    <w:rPr>
                      <w:rFonts w:hint="eastAsia"/>
                      <w:bCs/>
                      <w:szCs w:val="21"/>
                    </w:rPr>
                    <w:t>空压站位于北侧辅房东面，面积</w:t>
                  </w:r>
                  <w:r>
                    <w:rPr>
                      <w:bCs/>
                      <w:szCs w:val="21"/>
                    </w:rPr>
                    <w:t>300</w:t>
                  </w:r>
                  <w:r>
                    <w:rPr>
                      <w:rFonts w:hint="eastAsia"/>
                      <w:bCs/>
                      <w:szCs w:val="21"/>
                    </w:rPr>
                    <w:t>m</w:t>
                  </w:r>
                  <w:r>
                    <w:rPr>
                      <w:bCs/>
                      <w:szCs w:val="21"/>
                      <w:vertAlign w:val="superscript"/>
                    </w:rPr>
                    <w:t>2</w:t>
                  </w:r>
                  <w:r>
                    <w:rPr>
                      <w:rFonts w:hint="eastAsia"/>
                      <w:bCs/>
                      <w:szCs w:val="21"/>
                    </w:rPr>
                    <w:t>，布置螺杆式空压机</w:t>
                  </w:r>
                  <w:r>
                    <w:rPr>
                      <w:bCs/>
                      <w:szCs w:val="21"/>
                    </w:rPr>
                    <w:t>5</w:t>
                  </w:r>
                  <w:r>
                    <w:rPr>
                      <w:rFonts w:hint="eastAsia"/>
                      <w:bCs/>
                      <w:szCs w:val="21"/>
                    </w:rPr>
                    <w:t>台，冷干机5台，配套压缩空气储存罐</w:t>
                  </w:r>
                  <w:r>
                    <w:rPr>
                      <w:bCs/>
                      <w:szCs w:val="21"/>
                    </w:rPr>
                    <w:t>8</w:t>
                  </w:r>
                  <w:r>
                    <w:rPr>
                      <w:rFonts w:hint="eastAsia"/>
                      <w:bCs/>
                      <w:szCs w:val="21"/>
                    </w:rPr>
                    <w:t>个，容积</w:t>
                  </w:r>
                  <w:r>
                    <w:rPr>
                      <w:bCs/>
                      <w:szCs w:val="21"/>
                    </w:rPr>
                    <w:t>1m</w:t>
                  </w:r>
                  <w:r>
                    <w:rPr>
                      <w:bCs/>
                      <w:szCs w:val="21"/>
                      <w:vertAlign w:val="superscript"/>
                    </w:rPr>
                    <w:t>3</w:t>
                  </w:r>
                  <w:r>
                    <w:rPr>
                      <w:rFonts w:hint="eastAsia"/>
                      <w:bCs/>
                      <w:szCs w:val="21"/>
                    </w:rPr>
                    <w:t>~</w:t>
                  </w:r>
                  <w:r>
                    <w:rPr>
                      <w:bCs/>
                      <w:szCs w:val="21"/>
                    </w:rPr>
                    <w:t>6m</w:t>
                  </w:r>
                  <w:r>
                    <w:rPr>
                      <w:bCs/>
                      <w:szCs w:val="21"/>
                      <w:vertAlign w:val="superscript"/>
                    </w:rPr>
                    <w:t>3</w:t>
                  </w:r>
                  <w:r>
                    <w:rPr>
                      <w:rFonts w:hint="eastAsia"/>
                      <w:bCs/>
                      <w:szCs w:val="21"/>
                    </w:rPr>
                    <w:t>L</w:t>
                  </w:r>
                  <w:r>
                    <w:rPr>
                      <w:bCs/>
                      <w:szCs w:val="21"/>
                    </w:rPr>
                    <w:t>/</w:t>
                  </w:r>
                  <w:r>
                    <w:rPr>
                      <w:rFonts w:hint="eastAsia"/>
                      <w:bCs/>
                      <w:szCs w:val="21"/>
                    </w:rPr>
                    <w:t>个；总压缩能力为1</w:t>
                  </w:r>
                  <w:r>
                    <w:rPr>
                      <w:bCs/>
                      <w:szCs w:val="21"/>
                    </w:rPr>
                    <w:t>00m</w:t>
                  </w:r>
                  <w:r>
                    <w:rPr>
                      <w:bCs/>
                      <w:szCs w:val="21"/>
                      <w:vertAlign w:val="superscript"/>
                    </w:rPr>
                    <w:t>3</w:t>
                  </w:r>
                  <w:r>
                    <w:rPr>
                      <w:bCs/>
                      <w:szCs w:val="21"/>
                    </w:rPr>
                    <w:t>/min</w:t>
                  </w:r>
                  <w:r>
                    <w:rPr>
                      <w:rFonts w:hint="eastAsia"/>
                      <w:bCs/>
                      <w:szCs w:val="21"/>
                    </w:rPr>
                    <w:t>。</w:t>
                  </w:r>
                </w:p>
              </w:tc>
              <w:tc>
                <w:tcPr>
                  <w:tcW w:w="920" w:type="pct"/>
                  <w:tcBorders>
                    <w:left w:val="single" w:color="auto" w:sz="4" w:space="0"/>
                  </w:tcBorders>
                  <w:vAlign w:val="center"/>
                </w:tcPr>
                <w:p w14:paraId="10BFFAB7">
                  <w:pPr>
                    <w:jc w:val="center"/>
                    <w:rPr>
                      <w:bCs/>
                      <w:szCs w:val="21"/>
                      <w:highlight w:val="yellow"/>
                    </w:rPr>
                  </w:pPr>
                  <w:r>
                    <w:rPr>
                      <w:rFonts w:hint="eastAsia"/>
                      <w:bCs/>
                      <w:szCs w:val="21"/>
                    </w:rPr>
                    <w:t>新建，设备利旧2台，新增3台</w:t>
                  </w:r>
                </w:p>
              </w:tc>
            </w:tr>
            <w:tr w14:paraId="04668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0E64FAA3">
                  <w:pPr>
                    <w:jc w:val="center"/>
                    <w:rPr>
                      <w:bCs/>
                      <w:szCs w:val="21"/>
                    </w:rPr>
                  </w:pPr>
                </w:p>
              </w:tc>
              <w:tc>
                <w:tcPr>
                  <w:tcW w:w="1100" w:type="pct"/>
                  <w:gridSpan w:val="2"/>
                  <w:tcMar>
                    <w:left w:w="28" w:type="dxa"/>
                    <w:right w:w="28" w:type="dxa"/>
                  </w:tcMar>
                  <w:vAlign w:val="center"/>
                </w:tcPr>
                <w:p w14:paraId="14F4A8C8">
                  <w:pPr>
                    <w:jc w:val="center"/>
                    <w:rPr>
                      <w:bCs/>
                      <w:szCs w:val="21"/>
                    </w:rPr>
                  </w:pPr>
                  <w:r>
                    <w:rPr>
                      <w:bCs/>
                      <w:szCs w:val="21"/>
                    </w:rPr>
                    <w:t>循环冷却水系统</w:t>
                  </w:r>
                </w:p>
              </w:tc>
              <w:tc>
                <w:tcPr>
                  <w:tcW w:w="2716" w:type="pct"/>
                  <w:gridSpan w:val="3"/>
                  <w:tcBorders>
                    <w:right w:val="single" w:color="auto" w:sz="4" w:space="0"/>
                  </w:tcBorders>
                  <w:vAlign w:val="center"/>
                </w:tcPr>
                <w:p w14:paraId="331D98C5">
                  <w:pPr>
                    <w:rPr>
                      <w:bCs/>
                      <w:szCs w:val="21"/>
                    </w:rPr>
                  </w:pPr>
                  <w:r>
                    <w:rPr>
                      <w:rFonts w:hint="eastAsia"/>
                      <w:bCs/>
                      <w:szCs w:val="21"/>
                    </w:rPr>
                    <w:t>面积1</w:t>
                  </w:r>
                  <w:r>
                    <w:rPr>
                      <w:bCs/>
                      <w:szCs w:val="21"/>
                    </w:rPr>
                    <w:t>70</w:t>
                  </w:r>
                  <w:r>
                    <w:rPr>
                      <w:rFonts w:hint="eastAsia"/>
                      <w:bCs/>
                      <w:szCs w:val="21"/>
                    </w:rPr>
                    <w:t>m</w:t>
                  </w:r>
                  <w:r>
                    <w:rPr>
                      <w:bCs/>
                      <w:szCs w:val="21"/>
                      <w:vertAlign w:val="superscript"/>
                    </w:rPr>
                    <w:t>2</w:t>
                  </w:r>
                  <w:r>
                    <w:rPr>
                      <w:rFonts w:hint="eastAsia"/>
                      <w:bCs/>
                      <w:szCs w:val="21"/>
                    </w:rPr>
                    <w:t>，位于北侧辅房中部，布置循环冷却系统1套，采用WL-80冷水机组，循环水量</w:t>
                  </w:r>
                  <w:r>
                    <w:rPr>
                      <w:bCs/>
                      <w:szCs w:val="21"/>
                    </w:rPr>
                    <w:t>12</w:t>
                  </w:r>
                  <w:r>
                    <w:rPr>
                      <w:rFonts w:hint="eastAsia"/>
                      <w:bCs/>
                      <w:szCs w:val="21"/>
                    </w:rPr>
                    <w:t>0m</w:t>
                  </w:r>
                  <w:r>
                    <w:rPr>
                      <w:rFonts w:hint="eastAsia"/>
                      <w:bCs/>
                      <w:szCs w:val="21"/>
                      <w:vertAlign w:val="superscript"/>
                    </w:rPr>
                    <w:t>3</w:t>
                  </w:r>
                  <w:r>
                    <w:rPr>
                      <w:rFonts w:hint="eastAsia"/>
                      <w:bCs/>
                      <w:szCs w:val="21"/>
                    </w:rPr>
                    <w:t>/h，配套循环热水池</w:t>
                  </w:r>
                  <w:r>
                    <w:rPr>
                      <w:bCs/>
                      <w:szCs w:val="21"/>
                    </w:rPr>
                    <w:t>1个</w:t>
                  </w:r>
                  <w:r>
                    <w:rPr>
                      <w:rFonts w:hint="eastAsia"/>
                      <w:bCs/>
                      <w:szCs w:val="21"/>
                    </w:rPr>
                    <w:t>，1</w:t>
                  </w:r>
                  <w:r>
                    <w:rPr>
                      <w:bCs/>
                      <w:szCs w:val="21"/>
                    </w:rPr>
                    <w:t>25m</w:t>
                  </w:r>
                  <w:r>
                    <w:rPr>
                      <w:bCs/>
                      <w:szCs w:val="21"/>
                      <w:vertAlign w:val="superscript"/>
                    </w:rPr>
                    <w:t>3</w:t>
                  </w:r>
                  <w:r>
                    <w:rPr>
                      <w:rFonts w:hint="eastAsia"/>
                      <w:bCs/>
                      <w:szCs w:val="21"/>
                    </w:rPr>
                    <w:t>，</w:t>
                  </w:r>
                  <w:r>
                    <w:rPr>
                      <w:bCs/>
                      <w:szCs w:val="21"/>
                    </w:rPr>
                    <w:t>循环冷水池1个</w:t>
                  </w:r>
                  <w:r>
                    <w:rPr>
                      <w:rFonts w:hint="eastAsia"/>
                      <w:bCs/>
                      <w:szCs w:val="21"/>
                    </w:rPr>
                    <w:t>，2</w:t>
                  </w:r>
                  <w:r>
                    <w:rPr>
                      <w:bCs/>
                      <w:szCs w:val="21"/>
                    </w:rPr>
                    <w:t>00m</w:t>
                  </w:r>
                  <w:r>
                    <w:rPr>
                      <w:bCs/>
                      <w:szCs w:val="21"/>
                      <w:vertAlign w:val="superscript"/>
                    </w:rPr>
                    <w:t>3</w:t>
                  </w:r>
                  <w:r>
                    <w:rPr>
                      <w:rFonts w:hint="eastAsia"/>
                      <w:bCs/>
                      <w:szCs w:val="21"/>
                    </w:rPr>
                    <w:t>；</w:t>
                  </w:r>
                </w:p>
              </w:tc>
              <w:tc>
                <w:tcPr>
                  <w:tcW w:w="920" w:type="pct"/>
                  <w:tcBorders>
                    <w:left w:val="single" w:color="auto" w:sz="4" w:space="0"/>
                  </w:tcBorders>
                  <w:vAlign w:val="center"/>
                </w:tcPr>
                <w:p w14:paraId="31E8C1ED">
                  <w:pPr>
                    <w:jc w:val="center"/>
                    <w:rPr>
                      <w:bCs/>
                      <w:szCs w:val="21"/>
                    </w:rPr>
                  </w:pPr>
                  <w:r>
                    <w:rPr>
                      <w:rFonts w:hint="eastAsia"/>
                      <w:bCs/>
                      <w:szCs w:val="21"/>
                    </w:rPr>
                    <w:t>新建，设备利旧</w:t>
                  </w:r>
                </w:p>
              </w:tc>
            </w:tr>
            <w:tr w14:paraId="0F5CD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restart"/>
                  <w:tcMar>
                    <w:left w:w="28" w:type="dxa"/>
                    <w:right w:w="28" w:type="dxa"/>
                  </w:tcMar>
                  <w:vAlign w:val="center"/>
                </w:tcPr>
                <w:p w14:paraId="7740F0AF">
                  <w:pPr>
                    <w:jc w:val="center"/>
                    <w:rPr>
                      <w:bCs/>
                      <w:szCs w:val="21"/>
                    </w:rPr>
                  </w:pPr>
                  <w:r>
                    <w:rPr>
                      <w:bCs/>
                      <w:szCs w:val="21"/>
                    </w:rPr>
                    <w:t>环保</w:t>
                  </w:r>
                </w:p>
                <w:p w14:paraId="5E113C4F">
                  <w:pPr>
                    <w:jc w:val="center"/>
                    <w:rPr>
                      <w:bCs/>
                      <w:szCs w:val="21"/>
                    </w:rPr>
                  </w:pPr>
                  <w:r>
                    <w:rPr>
                      <w:bCs/>
                      <w:szCs w:val="21"/>
                    </w:rPr>
                    <w:t>工程</w:t>
                  </w:r>
                </w:p>
              </w:tc>
              <w:tc>
                <w:tcPr>
                  <w:tcW w:w="1100" w:type="pct"/>
                  <w:gridSpan w:val="2"/>
                  <w:vMerge w:val="restart"/>
                  <w:tcMar>
                    <w:left w:w="28" w:type="dxa"/>
                    <w:right w:w="28" w:type="dxa"/>
                  </w:tcMar>
                  <w:vAlign w:val="center"/>
                </w:tcPr>
                <w:p w14:paraId="53502F4C">
                  <w:pPr>
                    <w:jc w:val="center"/>
                    <w:rPr>
                      <w:bCs/>
                      <w:szCs w:val="21"/>
                      <w:highlight w:val="yellow"/>
                    </w:rPr>
                  </w:pPr>
                  <w:r>
                    <w:rPr>
                      <w:bCs/>
                      <w:szCs w:val="21"/>
                    </w:rPr>
                    <w:t>废水治理</w:t>
                  </w:r>
                </w:p>
              </w:tc>
              <w:tc>
                <w:tcPr>
                  <w:tcW w:w="2716" w:type="pct"/>
                  <w:gridSpan w:val="3"/>
                  <w:tcBorders>
                    <w:right w:val="single" w:color="auto" w:sz="4" w:space="0"/>
                  </w:tcBorders>
                  <w:vAlign w:val="center"/>
                </w:tcPr>
                <w:p w14:paraId="1FD66E93">
                  <w:pPr>
                    <w:rPr>
                      <w:bCs/>
                      <w:szCs w:val="21"/>
                    </w:rPr>
                  </w:pPr>
                  <w:r>
                    <w:rPr>
                      <w:bCs/>
                      <w:szCs w:val="21"/>
                    </w:rPr>
                    <w:t>新建隔油池</w:t>
                  </w:r>
                  <w:r>
                    <w:rPr>
                      <w:rFonts w:hint="eastAsia"/>
                      <w:bCs/>
                      <w:szCs w:val="21"/>
                    </w:rPr>
                    <w:t>1座，</w:t>
                  </w:r>
                  <w:r>
                    <w:rPr>
                      <w:bCs/>
                      <w:szCs w:val="21"/>
                    </w:rPr>
                    <w:t>1</w:t>
                  </w:r>
                  <w:r>
                    <w:rPr>
                      <w:rFonts w:hint="eastAsia"/>
                      <w:bCs/>
                      <w:szCs w:val="21"/>
                    </w:rPr>
                    <w:t>m</w:t>
                  </w:r>
                  <w:r>
                    <w:rPr>
                      <w:bCs/>
                      <w:szCs w:val="21"/>
                      <w:vertAlign w:val="superscript"/>
                    </w:rPr>
                    <w:t>3</w:t>
                  </w:r>
                  <w:r>
                    <w:rPr>
                      <w:rFonts w:hint="eastAsia"/>
                      <w:bCs/>
                      <w:szCs w:val="21"/>
                    </w:rPr>
                    <w:t>，位于倒班房1层厨房内，用于餐厨废水隔油。</w:t>
                  </w:r>
                </w:p>
              </w:tc>
              <w:tc>
                <w:tcPr>
                  <w:tcW w:w="920" w:type="pct"/>
                  <w:vMerge w:val="restart"/>
                  <w:tcBorders>
                    <w:left w:val="single" w:color="auto" w:sz="4" w:space="0"/>
                  </w:tcBorders>
                  <w:vAlign w:val="center"/>
                </w:tcPr>
                <w:p w14:paraId="3956A125">
                  <w:pPr>
                    <w:jc w:val="center"/>
                    <w:rPr>
                      <w:bCs/>
                      <w:szCs w:val="21"/>
                    </w:rPr>
                  </w:pPr>
                  <w:r>
                    <w:rPr>
                      <w:rFonts w:hint="eastAsia"/>
                      <w:bCs/>
                      <w:szCs w:val="21"/>
                    </w:rPr>
                    <w:t>新建</w:t>
                  </w:r>
                </w:p>
              </w:tc>
            </w:tr>
            <w:tr w14:paraId="61C5D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62767009">
                  <w:pPr>
                    <w:jc w:val="center"/>
                    <w:rPr>
                      <w:bCs/>
                      <w:szCs w:val="21"/>
                    </w:rPr>
                  </w:pPr>
                </w:p>
              </w:tc>
              <w:tc>
                <w:tcPr>
                  <w:tcW w:w="1100" w:type="pct"/>
                  <w:gridSpan w:val="2"/>
                  <w:vMerge w:val="continue"/>
                  <w:tcMar>
                    <w:left w:w="28" w:type="dxa"/>
                    <w:right w:w="28" w:type="dxa"/>
                  </w:tcMar>
                  <w:vAlign w:val="center"/>
                </w:tcPr>
                <w:p w14:paraId="461C7B95">
                  <w:pPr>
                    <w:jc w:val="center"/>
                    <w:rPr>
                      <w:bCs/>
                      <w:szCs w:val="21"/>
                    </w:rPr>
                  </w:pPr>
                </w:p>
              </w:tc>
              <w:tc>
                <w:tcPr>
                  <w:tcW w:w="2716" w:type="pct"/>
                  <w:gridSpan w:val="3"/>
                  <w:tcBorders>
                    <w:right w:val="single" w:color="auto" w:sz="4" w:space="0"/>
                  </w:tcBorders>
                  <w:vAlign w:val="center"/>
                </w:tcPr>
                <w:p w14:paraId="6F4391A6">
                  <w:pPr>
                    <w:rPr>
                      <w:bCs/>
                      <w:szCs w:val="21"/>
                    </w:rPr>
                  </w:pPr>
                  <w:r>
                    <w:rPr>
                      <w:bCs/>
                      <w:szCs w:val="21"/>
                    </w:rPr>
                    <w:t>新建</w:t>
                  </w:r>
                  <w:r>
                    <w:rPr>
                      <w:rFonts w:hint="eastAsia"/>
                      <w:bCs/>
                      <w:szCs w:val="21"/>
                    </w:rPr>
                    <w:t>化粪池</w:t>
                  </w:r>
                  <w:r>
                    <w:rPr>
                      <w:bCs/>
                      <w:szCs w:val="21"/>
                    </w:rPr>
                    <w:t>3座</w:t>
                  </w:r>
                  <w:r>
                    <w:rPr>
                      <w:rFonts w:hint="eastAsia"/>
                      <w:bCs/>
                      <w:szCs w:val="21"/>
                    </w:rPr>
                    <w:t>，</w:t>
                  </w:r>
                  <w:r>
                    <w:rPr>
                      <w:bCs/>
                      <w:szCs w:val="21"/>
                    </w:rPr>
                    <w:t>1座位于倒班房</w:t>
                  </w:r>
                  <w:r>
                    <w:rPr>
                      <w:rFonts w:hint="eastAsia"/>
                      <w:bCs/>
                      <w:szCs w:val="21"/>
                    </w:rPr>
                    <w:t>，</w:t>
                  </w:r>
                  <w:r>
                    <w:rPr>
                      <w:bCs/>
                      <w:szCs w:val="21"/>
                    </w:rPr>
                    <w:t>钢混结构</w:t>
                  </w:r>
                  <w:r>
                    <w:rPr>
                      <w:rFonts w:hint="eastAsia"/>
                      <w:bCs/>
                      <w:szCs w:val="21"/>
                    </w:rPr>
                    <w:t>，</w:t>
                  </w:r>
                  <w:r>
                    <w:rPr>
                      <w:bCs/>
                      <w:szCs w:val="21"/>
                    </w:rPr>
                    <w:t>容积</w:t>
                  </w:r>
                  <w:r>
                    <w:rPr>
                      <w:rFonts w:hint="eastAsia"/>
                      <w:bCs/>
                      <w:szCs w:val="21"/>
                    </w:rPr>
                    <w:t>4</w:t>
                  </w:r>
                  <w:r>
                    <w:rPr>
                      <w:bCs/>
                      <w:szCs w:val="21"/>
                    </w:rPr>
                    <w:t>0m</w:t>
                  </w:r>
                  <w:r>
                    <w:rPr>
                      <w:bCs/>
                      <w:szCs w:val="21"/>
                      <w:vertAlign w:val="superscript"/>
                    </w:rPr>
                    <w:t>3</w:t>
                  </w:r>
                  <w:r>
                    <w:rPr>
                      <w:rFonts w:hint="eastAsia"/>
                      <w:bCs/>
                      <w:szCs w:val="21"/>
                    </w:rPr>
                    <w:t>；2座位于联合厂房西侧，钢混结构，容积分别为4m</w:t>
                  </w:r>
                  <w:r>
                    <w:rPr>
                      <w:bCs/>
                      <w:szCs w:val="21"/>
                      <w:vertAlign w:val="superscript"/>
                    </w:rPr>
                    <w:t>3</w:t>
                  </w:r>
                  <w:r>
                    <w:rPr>
                      <w:rFonts w:hint="eastAsia"/>
                      <w:bCs/>
                      <w:szCs w:val="21"/>
                    </w:rPr>
                    <w:t>、6m</w:t>
                  </w:r>
                  <w:r>
                    <w:rPr>
                      <w:bCs/>
                      <w:szCs w:val="21"/>
                      <w:vertAlign w:val="superscript"/>
                    </w:rPr>
                    <w:t>3</w:t>
                  </w:r>
                  <w:r>
                    <w:rPr>
                      <w:rFonts w:hint="eastAsia"/>
                      <w:bCs/>
                      <w:szCs w:val="21"/>
                    </w:rPr>
                    <w:t>。</w:t>
                  </w:r>
                </w:p>
              </w:tc>
              <w:tc>
                <w:tcPr>
                  <w:tcW w:w="920" w:type="pct"/>
                  <w:vMerge w:val="continue"/>
                  <w:tcBorders>
                    <w:left w:val="single" w:color="auto" w:sz="4" w:space="0"/>
                  </w:tcBorders>
                  <w:vAlign w:val="center"/>
                </w:tcPr>
                <w:p w14:paraId="6A5BF37E">
                  <w:pPr>
                    <w:jc w:val="center"/>
                    <w:rPr>
                      <w:bCs/>
                      <w:szCs w:val="21"/>
                    </w:rPr>
                  </w:pPr>
                </w:p>
              </w:tc>
            </w:tr>
            <w:tr w14:paraId="5BC82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7697004F">
                  <w:pPr>
                    <w:jc w:val="center"/>
                    <w:rPr>
                      <w:bCs/>
                      <w:szCs w:val="21"/>
                    </w:rPr>
                  </w:pPr>
                </w:p>
              </w:tc>
              <w:tc>
                <w:tcPr>
                  <w:tcW w:w="1100" w:type="pct"/>
                  <w:gridSpan w:val="2"/>
                  <w:vMerge w:val="continue"/>
                  <w:tcMar>
                    <w:left w:w="28" w:type="dxa"/>
                    <w:right w:w="28" w:type="dxa"/>
                  </w:tcMar>
                  <w:vAlign w:val="center"/>
                </w:tcPr>
                <w:p w14:paraId="19BA2A6F">
                  <w:pPr>
                    <w:jc w:val="center"/>
                    <w:rPr>
                      <w:bCs/>
                      <w:szCs w:val="21"/>
                      <w:highlight w:val="yellow"/>
                    </w:rPr>
                  </w:pPr>
                </w:p>
              </w:tc>
              <w:tc>
                <w:tcPr>
                  <w:tcW w:w="2716" w:type="pct"/>
                  <w:gridSpan w:val="3"/>
                  <w:tcBorders>
                    <w:right w:val="single" w:color="auto" w:sz="4" w:space="0"/>
                  </w:tcBorders>
                  <w:vAlign w:val="center"/>
                </w:tcPr>
                <w:p w14:paraId="290075B5">
                  <w:pPr>
                    <w:rPr>
                      <w:bCs/>
                      <w:szCs w:val="21"/>
                      <w:highlight w:val="yellow"/>
                    </w:rPr>
                  </w:pPr>
                  <w:r>
                    <w:rPr>
                      <w:rFonts w:hint="eastAsia"/>
                      <w:bCs/>
                      <w:szCs w:val="21"/>
                    </w:rPr>
                    <w:t>联合厂房北侧新建1套处理能力为</w:t>
                  </w:r>
                  <w:r>
                    <w:rPr>
                      <w:bCs/>
                      <w:szCs w:val="21"/>
                    </w:rPr>
                    <w:t>100</w:t>
                  </w:r>
                  <w:r>
                    <w:rPr>
                      <w:rFonts w:hint="eastAsia"/>
                      <w:bCs/>
                      <w:szCs w:val="21"/>
                    </w:rPr>
                    <w:t>m</w:t>
                  </w:r>
                  <w:r>
                    <w:rPr>
                      <w:rFonts w:hint="eastAsia"/>
                      <w:bCs/>
                      <w:szCs w:val="21"/>
                      <w:vertAlign w:val="superscript"/>
                    </w:rPr>
                    <w:t>3</w:t>
                  </w:r>
                  <w:r>
                    <w:rPr>
                      <w:rFonts w:hint="eastAsia"/>
                      <w:bCs/>
                      <w:szCs w:val="21"/>
                    </w:rPr>
                    <w:t>/d的废水处理站，采用“隔油+调节池+破乳+气浮</w:t>
                  </w:r>
                  <w:r>
                    <w:rPr>
                      <w:bCs/>
                      <w:szCs w:val="21"/>
                    </w:rPr>
                    <w:t>+调节</w:t>
                  </w:r>
                  <w:r>
                    <w:rPr>
                      <w:rFonts w:hint="eastAsia"/>
                      <w:bCs/>
                      <w:szCs w:val="21"/>
                    </w:rPr>
                    <w:t>+水解酸化+生物接触氧化+沉淀”处理工艺，废水经处理达《污水综合排放标准》（GB8978-1996）三级标准后排入园区市政污水管网，经李渡大耍坝污水处理厂进一步处理达标后，最终排放到长江；</w:t>
                  </w:r>
                </w:p>
              </w:tc>
              <w:tc>
                <w:tcPr>
                  <w:tcW w:w="920" w:type="pct"/>
                  <w:vMerge w:val="continue"/>
                  <w:tcBorders>
                    <w:left w:val="single" w:color="auto" w:sz="4" w:space="0"/>
                  </w:tcBorders>
                  <w:vAlign w:val="center"/>
                </w:tcPr>
                <w:p w14:paraId="58C79EF0">
                  <w:pPr>
                    <w:jc w:val="center"/>
                    <w:rPr>
                      <w:bCs/>
                      <w:szCs w:val="21"/>
                    </w:rPr>
                  </w:pPr>
                </w:p>
              </w:tc>
            </w:tr>
            <w:tr w14:paraId="616F3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4BB3A4F6">
                  <w:pPr>
                    <w:jc w:val="center"/>
                    <w:rPr>
                      <w:bCs/>
                      <w:szCs w:val="21"/>
                    </w:rPr>
                  </w:pPr>
                </w:p>
              </w:tc>
              <w:tc>
                <w:tcPr>
                  <w:tcW w:w="1100" w:type="pct"/>
                  <w:gridSpan w:val="2"/>
                  <w:vMerge w:val="restart"/>
                  <w:tcMar>
                    <w:left w:w="28" w:type="dxa"/>
                    <w:right w:w="28" w:type="dxa"/>
                  </w:tcMar>
                  <w:vAlign w:val="center"/>
                </w:tcPr>
                <w:p w14:paraId="256753D3">
                  <w:pPr>
                    <w:jc w:val="center"/>
                    <w:rPr>
                      <w:bCs/>
                      <w:szCs w:val="21"/>
                    </w:rPr>
                  </w:pPr>
                  <w:r>
                    <w:rPr>
                      <w:bCs/>
                      <w:szCs w:val="21"/>
                    </w:rPr>
                    <w:t>废气治理</w:t>
                  </w:r>
                </w:p>
                <w:p w14:paraId="3C75A5CE">
                  <w:pPr>
                    <w:jc w:val="center"/>
                    <w:rPr>
                      <w:bCs/>
                      <w:szCs w:val="21"/>
                      <w:highlight w:val="yellow"/>
                    </w:rPr>
                  </w:pPr>
                  <w:r>
                    <w:rPr>
                      <w:bCs/>
                      <w:szCs w:val="21"/>
                    </w:rPr>
                    <w:t>工程</w:t>
                  </w:r>
                </w:p>
              </w:tc>
              <w:tc>
                <w:tcPr>
                  <w:tcW w:w="813" w:type="pct"/>
                  <w:gridSpan w:val="2"/>
                  <w:tcBorders>
                    <w:right w:val="single" w:color="auto" w:sz="4" w:space="0"/>
                  </w:tcBorders>
                  <w:vAlign w:val="center"/>
                </w:tcPr>
                <w:p w14:paraId="08641012">
                  <w:pPr>
                    <w:jc w:val="center"/>
                    <w:rPr>
                      <w:bCs/>
                      <w:szCs w:val="21"/>
                    </w:rPr>
                  </w:pPr>
                  <w:r>
                    <w:rPr>
                      <w:rFonts w:hint="eastAsia"/>
                      <w:bCs/>
                      <w:szCs w:val="21"/>
                    </w:rPr>
                    <w:t>熔化工序废气</w:t>
                  </w:r>
                </w:p>
              </w:tc>
              <w:tc>
                <w:tcPr>
                  <w:tcW w:w="1903" w:type="pct"/>
                  <w:tcBorders>
                    <w:right w:val="single" w:color="auto" w:sz="4" w:space="0"/>
                  </w:tcBorders>
                  <w:vAlign w:val="center"/>
                </w:tcPr>
                <w:p w14:paraId="3831A76A">
                  <w:pPr>
                    <w:rPr>
                      <w:bCs/>
                      <w:szCs w:val="21"/>
                    </w:rPr>
                  </w:pPr>
                  <w:r>
                    <w:rPr>
                      <w:rFonts w:hint="eastAsia"/>
                      <w:bCs/>
                      <w:szCs w:val="21"/>
                    </w:rPr>
                    <w:t>熔化炉烟气设置集气系统，废气经收集后经</w:t>
                  </w:r>
                  <w:r>
                    <w:rPr>
                      <w:bCs/>
                      <w:szCs w:val="21"/>
                    </w:rPr>
                    <w:t>1</w:t>
                  </w:r>
                  <w:r>
                    <w:rPr>
                      <w:rFonts w:hint="eastAsia"/>
                      <w:bCs/>
                      <w:szCs w:val="21"/>
                    </w:rPr>
                    <w:t>#高温布袋除尘器处理，处理后废气由1根</w:t>
                  </w:r>
                  <w:r>
                    <w:rPr>
                      <w:szCs w:val="21"/>
                    </w:rPr>
                    <w:t>20m</w:t>
                  </w:r>
                  <w:r>
                    <w:rPr>
                      <w:rFonts w:hint="eastAsia"/>
                      <w:bCs/>
                      <w:szCs w:val="21"/>
                    </w:rPr>
                    <w:t>高1#排气筒排放，配套风机</w:t>
                  </w:r>
                  <w:r>
                    <w:rPr>
                      <w:bCs/>
                      <w:szCs w:val="21"/>
                    </w:rPr>
                    <w:t>1台</w:t>
                  </w:r>
                  <w:r>
                    <w:rPr>
                      <w:rFonts w:hint="eastAsia"/>
                      <w:bCs/>
                      <w:szCs w:val="21"/>
                    </w:rPr>
                    <w:t>，风量为</w:t>
                  </w:r>
                  <w:r>
                    <w:rPr>
                      <w:bCs/>
                      <w:szCs w:val="21"/>
                    </w:rPr>
                    <w:t>8000</w:t>
                  </w:r>
                  <w:r>
                    <w:rPr>
                      <w:rFonts w:hint="eastAsia"/>
                      <w:bCs/>
                      <w:szCs w:val="21"/>
                    </w:rPr>
                    <w:t>m</w:t>
                  </w:r>
                  <w:r>
                    <w:rPr>
                      <w:rFonts w:hint="eastAsia"/>
                      <w:bCs/>
                      <w:szCs w:val="21"/>
                      <w:vertAlign w:val="superscript"/>
                    </w:rPr>
                    <w:t>3</w:t>
                  </w:r>
                  <w:r>
                    <w:rPr>
                      <w:rFonts w:hint="eastAsia"/>
                      <w:bCs/>
                      <w:szCs w:val="21"/>
                    </w:rPr>
                    <w:t>/h；</w:t>
                  </w:r>
                </w:p>
                <w:p w14:paraId="6F5E70C6">
                  <w:pPr>
                    <w:rPr>
                      <w:bCs/>
                      <w:szCs w:val="21"/>
                    </w:rPr>
                  </w:pPr>
                  <w:r>
                    <w:rPr>
                      <w:rFonts w:hint="eastAsia"/>
                      <w:bCs/>
                      <w:szCs w:val="21"/>
                    </w:rPr>
                    <w:t>保温炉烟气设置集气系统，废气经收集后经由1根</w:t>
                  </w:r>
                  <w:r>
                    <w:rPr>
                      <w:szCs w:val="21"/>
                    </w:rPr>
                    <w:t>20m</w:t>
                  </w:r>
                  <w:r>
                    <w:rPr>
                      <w:rFonts w:hint="eastAsia"/>
                      <w:bCs/>
                      <w:szCs w:val="21"/>
                    </w:rPr>
                    <w:t>高</w:t>
                  </w:r>
                  <w:r>
                    <w:rPr>
                      <w:bCs/>
                      <w:szCs w:val="21"/>
                    </w:rPr>
                    <w:t>2</w:t>
                  </w:r>
                  <w:r>
                    <w:rPr>
                      <w:rFonts w:hint="eastAsia"/>
                      <w:bCs/>
                      <w:szCs w:val="21"/>
                    </w:rPr>
                    <w:t>#排气筒排放。</w:t>
                  </w:r>
                </w:p>
              </w:tc>
              <w:tc>
                <w:tcPr>
                  <w:tcW w:w="920" w:type="pct"/>
                  <w:tcBorders>
                    <w:left w:val="single" w:color="auto" w:sz="4" w:space="0"/>
                  </w:tcBorders>
                  <w:vAlign w:val="center"/>
                </w:tcPr>
                <w:p w14:paraId="69061711">
                  <w:pPr>
                    <w:jc w:val="center"/>
                    <w:rPr>
                      <w:szCs w:val="21"/>
                    </w:rPr>
                  </w:pPr>
                  <w:r>
                    <w:rPr>
                      <w:rFonts w:hint="eastAsia"/>
                      <w:bCs/>
                      <w:szCs w:val="21"/>
                    </w:rPr>
                    <w:t>新建</w:t>
                  </w:r>
                </w:p>
              </w:tc>
            </w:tr>
            <w:tr w14:paraId="7BF4C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4B314F54">
                  <w:pPr>
                    <w:jc w:val="center"/>
                    <w:rPr>
                      <w:bCs/>
                      <w:szCs w:val="21"/>
                    </w:rPr>
                  </w:pPr>
                </w:p>
              </w:tc>
              <w:tc>
                <w:tcPr>
                  <w:tcW w:w="1100" w:type="pct"/>
                  <w:gridSpan w:val="2"/>
                  <w:vMerge w:val="continue"/>
                  <w:tcMar>
                    <w:left w:w="28" w:type="dxa"/>
                    <w:right w:w="28" w:type="dxa"/>
                  </w:tcMar>
                  <w:vAlign w:val="center"/>
                </w:tcPr>
                <w:p w14:paraId="3AC8B24C">
                  <w:pPr>
                    <w:jc w:val="center"/>
                    <w:rPr>
                      <w:bCs/>
                      <w:szCs w:val="21"/>
                      <w:highlight w:val="yellow"/>
                    </w:rPr>
                  </w:pPr>
                </w:p>
              </w:tc>
              <w:tc>
                <w:tcPr>
                  <w:tcW w:w="406" w:type="pct"/>
                  <w:vMerge w:val="restart"/>
                  <w:tcBorders>
                    <w:right w:val="single" w:color="auto" w:sz="4" w:space="0"/>
                  </w:tcBorders>
                  <w:vAlign w:val="center"/>
                </w:tcPr>
                <w:p w14:paraId="55DCD05E">
                  <w:pPr>
                    <w:jc w:val="center"/>
                    <w:rPr>
                      <w:bCs/>
                      <w:szCs w:val="21"/>
                    </w:rPr>
                  </w:pPr>
                  <w:r>
                    <w:rPr>
                      <w:rFonts w:hint="eastAsia"/>
                      <w:bCs/>
                      <w:szCs w:val="21"/>
                    </w:rPr>
                    <w:t>压铸工序废气</w:t>
                  </w:r>
                </w:p>
              </w:tc>
              <w:tc>
                <w:tcPr>
                  <w:tcW w:w="407" w:type="pct"/>
                  <w:tcBorders>
                    <w:right w:val="single" w:color="auto" w:sz="4" w:space="0"/>
                  </w:tcBorders>
                  <w:vAlign w:val="center"/>
                </w:tcPr>
                <w:p w14:paraId="5BD04D41">
                  <w:pPr>
                    <w:jc w:val="center"/>
                    <w:rPr>
                      <w:bCs/>
                      <w:szCs w:val="21"/>
                    </w:rPr>
                  </w:pPr>
                  <w:r>
                    <w:rPr>
                      <w:bCs/>
                      <w:szCs w:val="21"/>
                    </w:rPr>
                    <w:t>压铸工序保温炉废气</w:t>
                  </w:r>
                </w:p>
              </w:tc>
              <w:tc>
                <w:tcPr>
                  <w:tcW w:w="1903" w:type="pct"/>
                  <w:tcBorders>
                    <w:right w:val="single" w:color="auto" w:sz="4" w:space="0"/>
                  </w:tcBorders>
                  <w:vAlign w:val="center"/>
                </w:tcPr>
                <w:p w14:paraId="7DF382D6">
                  <w:pPr>
                    <w:rPr>
                      <w:bCs/>
                      <w:szCs w:val="21"/>
                    </w:rPr>
                  </w:pPr>
                  <w:r>
                    <w:rPr>
                      <w:rFonts w:hint="eastAsia"/>
                      <w:bCs/>
                      <w:szCs w:val="21"/>
                    </w:rPr>
                    <w:t>压铸工序保温炉废气经收集后与熔化工序保温炉废气一并由1根</w:t>
                  </w:r>
                  <w:r>
                    <w:rPr>
                      <w:szCs w:val="21"/>
                    </w:rPr>
                    <w:t>20m</w:t>
                  </w:r>
                  <w:r>
                    <w:rPr>
                      <w:rFonts w:hint="eastAsia"/>
                      <w:bCs/>
                      <w:szCs w:val="21"/>
                    </w:rPr>
                    <w:t>高</w:t>
                  </w:r>
                  <w:r>
                    <w:rPr>
                      <w:bCs/>
                      <w:szCs w:val="21"/>
                    </w:rPr>
                    <w:t>2</w:t>
                  </w:r>
                  <w:r>
                    <w:rPr>
                      <w:rFonts w:hint="eastAsia"/>
                      <w:bCs/>
                      <w:szCs w:val="21"/>
                    </w:rPr>
                    <w:t>#排气筒排放</w:t>
                  </w:r>
                </w:p>
              </w:tc>
              <w:tc>
                <w:tcPr>
                  <w:tcW w:w="920" w:type="pct"/>
                  <w:tcBorders>
                    <w:left w:val="single" w:color="auto" w:sz="4" w:space="0"/>
                  </w:tcBorders>
                  <w:vAlign w:val="center"/>
                </w:tcPr>
                <w:p w14:paraId="7A754070">
                  <w:pPr>
                    <w:jc w:val="center"/>
                  </w:pPr>
                  <w:r>
                    <w:rPr>
                      <w:rFonts w:hint="eastAsia"/>
                      <w:bCs/>
                      <w:szCs w:val="21"/>
                    </w:rPr>
                    <w:t>新建</w:t>
                  </w:r>
                </w:p>
              </w:tc>
            </w:tr>
            <w:tr w14:paraId="2CAA7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697CE1F7">
                  <w:pPr>
                    <w:jc w:val="center"/>
                    <w:rPr>
                      <w:bCs/>
                      <w:szCs w:val="21"/>
                    </w:rPr>
                  </w:pPr>
                </w:p>
              </w:tc>
              <w:tc>
                <w:tcPr>
                  <w:tcW w:w="1100" w:type="pct"/>
                  <w:gridSpan w:val="2"/>
                  <w:vMerge w:val="continue"/>
                  <w:tcMar>
                    <w:left w:w="28" w:type="dxa"/>
                    <w:right w:w="28" w:type="dxa"/>
                  </w:tcMar>
                  <w:vAlign w:val="center"/>
                </w:tcPr>
                <w:p w14:paraId="158606DF">
                  <w:pPr>
                    <w:jc w:val="center"/>
                    <w:rPr>
                      <w:bCs/>
                      <w:szCs w:val="21"/>
                      <w:highlight w:val="yellow"/>
                    </w:rPr>
                  </w:pPr>
                </w:p>
              </w:tc>
              <w:tc>
                <w:tcPr>
                  <w:tcW w:w="406" w:type="pct"/>
                  <w:vMerge w:val="continue"/>
                  <w:tcBorders>
                    <w:right w:val="single" w:color="auto" w:sz="4" w:space="0"/>
                  </w:tcBorders>
                  <w:vAlign w:val="center"/>
                </w:tcPr>
                <w:p w14:paraId="30897CF9">
                  <w:pPr>
                    <w:jc w:val="center"/>
                    <w:rPr>
                      <w:bCs/>
                      <w:szCs w:val="21"/>
                    </w:rPr>
                  </w:pPr>
                </w:p>
              </w:tc>
              <w:tc>
                <w:tcPr>
                  <w:tcW w:w="407" w:type="pct"/>
                  <w:tcBorders>
                    <w:right w:val="single" w:color="auto" w:sz="4" w:space="0"/>
                  </w:tcBorders>
                  <w:vAlign w:val="center"/>
                </w:tcPr>
                <w:p w14:paraId="20B05564">
                  <w:pPr>
                    <w:jc w:val="center"/>
                    <w:rPr>
                      <w:bCs/>
                      <w:szCs w:val="21"/>
                    </w:rPr>
                  </w:pPr>
                  <w:r>
                    <w:rPr>
                      <w:bCs/>
                      <w:szCs w:val="21"/>
                    </w:rPr>
                    <w:t>压铸工序有机废气</w:t>
                  </w:r>
                </w:p>
              </w:tc>
              <w:tc>
                <w:tcPr>
                  <w:tcW w:w="1903" w:type="pct"/>
                  <w:tcBorders>
                    <w:right w:val="single" w:color="auto" w:sz="4" w:space="0"/>
                  </w:tcBorders>
                  <w:vAlign w:val="center"/>
                </w:tcPr>
                <w:p w14:paraId="76286FA1">
                  <w:pPr>
                    <w:rPr>
                      <w:bCs/>
                      <w:szCs w:val="21"/>
                    </w:rPr>
                  </w:pPr>
                  <w:r>
                    <w:rPr>
                      <w:rFonts w:hint="eastAsia"/>
                      <w:bCs/>
                      <w:szCs w:val="21"/>
                    </w:rPr>
                    <w:t>压铸工序挥发性有机物经集气罩收集后经“干燥+</w:t>
                  </w:r>
                  <w:r>
                    <w:rPr>
                      <w:bCs/>
                      <w:szCs w:val="21"/>
                    </w:rPr>
                    <w:t>UV光解</w:t>
                  </w:r>
                  <w:r>
                    <w:rPr>
                      <w:rFonts w:hint="eastAsia"/>
                      <w:bCs/>
                      <w:szCs w:val="21"/>
                    </w:rPr>
                    <w:t>+活性炭吸附”工艺处理后经1根</w:t>
                  </w:r>
                  <w:r>
                    <w:rPr>
                      <w:szCs w:val="21"/>
                    </w:rPr>
                    <w:t>20m</w:t>
                  </w:r>
                  <w:r>
                    <w:rPr>
                      <w:bCs/>
                      <w:szCs w:val="21"/>
                    </w:rPr>
                    <w:t>高</w:t>
                  </w:r>
                  <w:r>
                    <w:rPr>
                      <w:rFonts w:hint="eastAsia"/>
                      <w:bCs/>
                      <w:szCs w:val="21"/>
                    </w:rPr>
                    <w:t>2#排气筒排放。配套风机1台，风量为</w:t>
                  </w:r>
                  <w:r>
                    <w:rPr>
                      <w:bCs/>
                      <w:szCs w:val="21"/>
                    </w:rPr>
                    <w:t>15000m</w:t>
                  </w:r>
                  <w:r>
                    <w:rPr>
                      <w:bCs/>
                      <w:szCs w:val="21"/>
                      <w:vertAlign w:val="superscript"/>
                    </w:rPr>
                    <w:t>3</w:t>
                  </w:r>
                  <w:r>
                    <w:rPr>
                      <w:bCs/>
                      <w:szCs w:val="21"/>
                    </w:rPr>
                    <w:t>/h</w:t>
                  </w:r>
                  <w:r>
                    <w:rPr>
                      <w:rFonts w:hint="eastAsia"/>
                      <w:bCs/>
                      <w:szCs w:val="21"/>
                    </w:rPr>
                    <w:t>。</w:t>
                  </w:r>
                </w:p>
              </w:tc>
              <w:tc>
                <w:tcPr>
                  <w:tcW w:w="920" w:type="pct"/>
                  <w:tcBorders>
                    <w:left w:val="single" w:color="auto" w:sz="4" w:space="0"/>
                  </w:tcBorders>
                  <w:vAlign w:val="center"/>
                </w:tcPr>
                <w:p w14:paraId="6B9FC3E5">
                  <w:pPr>
                    <w:jc w:val="center"/>
                  </w:pPr>
                  <w:r>
                    <w:rPr>
                      <w:rFonts w:hint="eastAsia"/>
                      <w:bCs/>
                      <w:szCs w:val="21"/>
                    </w:rPr>
                    <w:t>新建</w:t>
                  </w:r>
                </w:p>
              </w:tc>
            </w:tr>
            <w:tr w14:paraId="7C603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06AF24E7">
                  <w:pPr>
                    <w:jc w:val="center"/>
                    <w:rPr>
                      <w:bCs/>
                      <w:szCs w:val="21"/>
                    </w:rPr>
                  </w:pPr>
                </w:p>
              </w:tc>
              <w:tc>
                <w:tcPr>
                  <w:tcW w:w="1100" w:type="pct"/>
                  <w:gridSpan w:val="2"/>
                  <w:vMerge w:val="continue"/>
                  <w:tcMar>
                    <w:left w:w="28" w:type="dxa"/>
                    <w:right w:w="28" w:type="dxa"/>
                  </w:tcMar>
                  <w:vAlign w:val="center"/>
                </w:tcPr>
                <w:p w14:paraId="01E6FB6E">
                  <w:pPr>
                    <w:jc w:val="center"/>
                    <w:rPr>
                      <w:bCs/>
                      <w:szCs w:val="21"/>
                      <w:highlight w:val="yellow"/>
                    </w:rPr>
                  </w:pPr>
                </w:p>
              </w:tc>
              <w:tc>
                <w:tcPr>
                  <w:tcW w:w="813" w:type="pct"/>
                  <w:gridSpan w:val="2"/>
                  <w:tcBorders>
                    <w:right w:val="single" w:color="auto" w:sz="4" w:space="0"/>
                  </w:tcBorders>
                  <w:vAlign w:val="center"/>
                </w:tcPr>
                <w:p w14:paraId="50C2EE27">
                  <w:pPr>
                    <w:jc w:val="center"/>
                    <w:rPr>
                      <w:bCs/>
                      <w:szCs w:val="21"/>
                    </w:rPr>
                  </w:pPr>
                  <w:r>
                    <w:rPr>
                      <w:rFonts w:hint="eastAsia"/>
                      <w:bCs/>
                      <w:szCs w:val="21"/>
                    </w:rPr>
                    <w:t>抛丸废气、表面清理废气</w:t>
                  </w:r>
                </w:p>
              </w:tc>
              <w:tc>
                <w:tcPr>
                  <w:tcW w:w="1903" w:type="pct"/>
                  <w:tcBorders>
                    <w:right w:val="single" w:color="auto" w:sz="4" w:space="0"/>
                  </w:tcBorders>
                  <w:vAlign w:val="center"/>
                </w:tcPr>
                <w:p w14:paraId="377A3EBB">
                  <w:pPr>
                    <w:rPr>
                      <w:bCs/>
                      <w:szCs w:val="21"/>
                    </w:rPr>
                  </w:pPr>
                  <w:r>
                    <w:rPr>
                      <w:bCs/>
                      <w:szCs w:val="21"/>
                    </w:rPr>
                    <w:t>4</w:t>
                  </w:r>
                  <w:r>
                    <w:rPr>
                      <w:rFonts w:hint="eastAsia"/>
                      <w:bCs/>
                      <w:szCs w:val="21"/>
                    </w:rPr>
                    <w:t>台抛丸机废气经自带滤筒除尘器处理后，与表面清理废气一并接入1台布袋除尘器处理后，由1根</w:t>
                  </w:r>
                  <w:r>
                    <w:rPr>
                      <w:szCs w:val="21"/>
                    </w:rPr>
                    <w:t>20m</w:t>
                  </w:r>
                  <w:r>
                    <w:rPr>
                      <w:rFonts w:hint="eastAsia"/>
                      <w:bCs/>
                      <w:szCs w:val="21"/>
                    </w:rPr>
                    <w:t>高3#排气筒排放，配套风机2台，风量均为1</w:t>
                  </w:r>
                  <w:r>
                    <w:rPr>
                      <w:bCs/>
                      <w:szCs w:val="21"/>
                    </w:rPr>
                    <w:t>0</w:t>
                  </w:r>
                  <w:r>
                    <w:rPr>
                      <w:rFonts w:hint="eastAsia"/>
                      <w:bCs/>
                      <w:szCs w:val="21"/>
                    </w:rPr>
                    <w:t>000m</w:t>
                  </w:r>
                  <w:r>
                    <w:rPr>
                      <w:rFonts w:hint="eastAsia"/>
                      <w:bCs/>
                      <w:szCs w:val="21"/>
                      <w:vertAlign w:val="superscript"/>
                    </w:rPr>
                    <w:t>3</w:t>
                  </w:r>
                  <w:r>
                    <w:rPr>
                      <w:rFonts w:hint="eastAsia"/>
                      <w:bCs/>
                      <w:szCs w:val="21"/>
                    </w:rPr>
                    <w:t>/h，总风量</w:t>
                  </w:r>
                  <w:r>
                    <w:rPr>
                      <w:bCs/>
                      <w:szCs w:val="21"/>
                    </w:rPr>
                    <w:t>20</w:t>
                  </w:r>
                  <w:r>
                    <w:rPr>
                      <w:rFonts w:hint="eastAsia"/>
                      <w:bCs/>
                      <w:szCs w:val="21"/>
                    </w:rPr>
                    <w:t>000m</w:t>
                  </w:r>
                  <w:r>
                    <w:rPr>
                      <w:rFonts w:hint="eastAsia"/>
                      <w:bCs/>
                      <w:szCs w:val="21"/>
                      <w:vertAlign w:val="superscript"/>
                    </w:rPr>
                    <w:t>3</w:t>
                  </w:r>
                  <w:r>
                    <w:rPr>
                      <w:rFonts w:hint="eastAsia"/>
                      <w:bCs/>
                      <w:szCs w:val="21"/>
                    </w:rPr>
                    <w:t>/h；</w:t>
                  </w:r>
                </w:p>
              </w:tc>
              <w:tc>
                <w:tcPr>
                  <w:tcW w:w="920" w:type="pct"/>
                  <w:tcBorders>
                    <w:left w:val="single" w:color="auto" w:sz="4" w:space="0"/>
                  </w:tcBorders>
                  <w:vAlign w:val="center"/>
                </w:tcPr>
                <w:p w14:paraId="0BD6CCF0">
                  <w:pPr>
                    <w:jc w:val="center"/>
                    <w:rPr>
                      <w:szCs w:val="21"/>
                    </w:rPr>
                  </w:pPr>
                  <w:r>
                    <w:rPr>
                      <w:rFonts w:hint="eastAsia"/>
                      <w:bCs/>
                      <w:szCs w:val="21"/>
                    </w:rPr>
                    <w:t>新建</w:t>
                  </w:r>
                </w:p>
              </w:tc>
            </w:tr>
            <w:tr w14:paraId="2B269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27E16171">
                  <w:pPr>
                    <w:jc w:val="center"/>
                    <w:rPr>
                      <w:bCs/>
                      <w:szCs w:val="21"/>
                    </w:rPr>
                  </w:pPr>
                </w:p>
              </w:tc>
              <w:tc>
                <w:tcPr>
                  <w:tcW w:w="1100" w:type="pct"/>
                  <w:gridSpan w:val="2"/>
                  <w:vMerge w:val="continue"/>
                  <w:tcMar>
                    <w:left w:w="28" w:type="dxa"/>
                    <w:right w:w="28" w:type="dxa"/>
                  </w:tcMar>
                  <w:vAlign w:val="center"/>
                </w:tcPr>
                <w:p w14:paraId="4ACD4B7C">
                  <w:pPr>
                    <w:jc w:val="center"/>
                    <w:rPr>
                      <w:bCs/>
                      <w:szCs w:val="21"/>
                      <w:highlight w:val="yellow"/>
                    </w:rPr>
                  </w:pPr>
                </w:p>
              </w:tc>
              <w:tc>
                <w:tcPr>
                  <w:tcW w:w="813" w:type="pct"/>
                  <w:gridSpan w:val="2"/>
                  <w:tcBorders>
                    <w:right w:val="single" w:color="auto" w:sz="4" w:space="0"/>
                  </w:tcBorders>
                  <w:vAlign w:val="center"/>
                </w:tcPr>
                <w:p w14:paraId="442C1A6A">
                  <w:pPr>
                    <w:jc w:val="center"/>
                    <w:rPr>
                      <w:bCs/>
                      <w:szCs w:val="21"/>
                    </w:rPr>
                  </w:pPr>
                  <w:r>
                    <w:rPr>
                      <w:rFonts w:hint="eastAsia"/>
                      <w:bCs/>
                      <w:szCs w:val="21"/>
                    </w:rPr>
                    <w:t>维修工序焊接烟尘</w:t>
                  </w:r>
                </w:p>
              </w:tc>
              <w:tc>
                <w:tcPr>
                  <w:tcW w:w="1903" w:type="pct"/>
                  <w:tcBorders>
                    <w:right w:val="single" w:color="auto" w:sz="4" w:space="0"/>
                  </w:tcBorders>
                  <w:vAlign w:val="center"/>
                </w:tcPr>
                <w:p w14:paraId="3E11753E">
                  <w:pPr>
                    <w:rPr>
                      <w:bCs/>
                      <w:szCs w:val="21"/>
                    </w:rPr>
                  </w:pPr>
                  <w:r>
                    <w:rPr>
                      <w:bCs/>
                      <w:szCs w:val="21"/>
                    </w:rPr>
                    <w:t>建设</w:t>
                  </w:r>
                  <w:r>
                    <w:rPr>
                      <w:rFonts w:hint="eastAsia"/>
                      <w:szCs w:val="21"/>
                    </w:rPr>
                    <w:t>移动式焊烟净化器</w:t>
                  </w:r>
                  <w:r>
                    <w:rPr>
                      <w:rFonts w:hint="eastAsia"/>
                      <w:bCs/>
                      <w:szCs w:val="21"/>
                    </w:rPr>
                    <w:t>1台，</w:t>
                  </w:r>
                  <w:r>
                    <w:rPr>
                      <w:rFonts w:hint="eastAsia"/>
                      <w:szCs w:val="21"/>
                    </w:rPr>
                    <w:t>风量1</w:t>
                  </w:r>
                  <w:r>
                    <w:rPr>
                      <w:szCs w:val="21"/>
                    </w:rPr>
                    <w:t>200m</w:t>
                  </w:r>
                  <w:r>
                    <w:rPr>
                      <w:szCs w:val="21"/>
                      <w:vertAlign w:val="superscript"/>
                    </w:rPr>
                    <w:t>3</w:t>
                  </w:r>
                  <w:r>
                    <w:rPr>
                      <w:szCs w:val="21"/>
                    </w:rPr>
                    <w:t>/h</w:t>
                  </w:r>
                  <w:r>
                    <w:rPr>
                      <w:rFonts w:hint="eastAsia"/>
                      <w:szCs w:val="21"/>
                    </w:rPr>
                    <w:t>。焊接烟尘经移动式焊期烟净化器收集处理后无组织排放。</w:t>
                  </w:r>
                </w:p>
              </w:tc>
              <w:tc>
                <w:tcPr>
                  <w:tcW w:w="920" w:type="pct"/>
                  <w:tcBorders>
                    <w:left w:val="single" w:color="auto" w:sz="4" w:space="0"/>
                  </w:tcBorders>
                  <w:vAlign w:val="center"/>
                </w:tcPr>
                <w:p w14:paraId="45BED6CC">
                  <w:pPr>
                    <w:jc w:val="center"/>
                    <w:rPr>
                      <w:bCs/>
                      <w:szCs w:val="21"/>
                    </w:rPr>
                  </w:pPr>
                  <w:r>
                    <w:rPr>
                      <w:rFonts w:hint="eastAsia"/>
                      <w:bCs/>
                      <w:szCs w:val="21"/>
                    </w:rPr>
                    <w:t>新建</w:t>
                  </w:r>
                </w:p>
              </w:tc>
            </w:tr>
            <w:tr w14:paraId="7F9CC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089FC1D7">
                  <w:pPr>
                    <w:jc w:val="center"/>
                    <w:rPr>
                      <w:bCs/>
                      <w:szCs w:val="21"/>
                    </w:rPr>
                  </w:pPr>
                </w:p>
              </w:tc>
              <w:tc>
                <w:tcPr>
                  <w:tcW w:w="1100" w:type="pct"/>
                  <w:gridSpan w:val="2"/>
                  <w:vMerge w:val="continue"/>
                  <w:tcMar>
                    <w:left w:w="28" w:type="dxa"/>
                    <w:right w:w="28" w:type="dxa"/>
                  </w:tcMar>
                  <w:vAlign w:val="center"/>
                </w:tcPr>
                <w:p w14:paraId="4B3E615E">
                  <w:pPr>
                    <w:jc w:val="center"/>
                    <w:rPr>
                      <w:bCs/>
                      <w:szCs w:val="21"/>
                      <w:highlight w:val="yellow"/>
                    </w:rPr>
                  </w:pPr>
                </w:p>
              </w:tc>
              <w:tc>
                <w:tcPr>
                  <w:tcW w:w="813" w:type="pct"/>
                  <w:gridSpan w:val="2"/>
                  <w:tcBorders>
                    <w:right w:val="single" w:color="auto" w:sz="4" w:space="0"/>
                  </w:tcBorders>
                  <w:vAlign w:val="center"/>
                </w:tcPr>
                <w:p w14:paraId="53F0A5B1">
                  <w:pPr>
                    <w:jc w:val="center"/>
                    <w:rPr>
                      <w:bCs/>
                      <w:szCs w:val="21"/>
                    </w:rPr>
                  </w:pPr>
                  <w:r>
                    <w:rPr>
                      <w:rFonts w:hint="eastAsia"/>
                      <w:bCs/>
                      <w:szCs w:val="21"/>
                    </w:rPr>
                    <w:t>食堂油烟</w:t>
                  </w:r>
                </w:p>
              </w:tc>
              <w:tc>
                <w:tcPr>
                  <w:tcW w:w="1903" w:type="pct"/>
                  <w:tcBorders>
                    <w:right w:val="single" w:color="auto" w:sz="4" w:space="0"/>
                  </w:tcBorders>
                  <w:vAlign w:val="center"/>
                </w:tcPr>
                <w:p w14:paraId="7FCB8D38">
                  <w:pPr>
                    <w:rPr>
                      <w:bCs/>
                      <w:szCs w:val="21"/>
                    </w:rPr>
                  </w:pPr>
                  <w:r>
                    <w:rPr>
                      <w:bCs/>
                      <w:szCs w:val="21"/>
                    </w:rPr>
                    <w:t>食堂油烟经</w:t>
                  </w:r>
                  <w:r>
                    <w:rPr>
                      <w:rFonts w:hint="eastAsia"/>
                      <w:bCs/>
                      <w:szCs w:val="21"/>
                    </w:rPr>
                    <w:t>1台油烟</w:t>
                  </w:r>
                  <w:r>
                    <w:rPr>
                      <w:rFonts w:hint="eastAsia"/>
                    </w:rPr>
                    <w:t>净化器（风量</w:t>
                  </w:r>
                  <w:r>
                    <w:t>6000m</w:t>
                  </w:r>
                  <w:r>
                    <w:rPr>
                      <w:vertAlign w:val="superscript"/>
                    </w:rPr>
                    <w:t>3</w:t>
                  </w:r>
                  <w:r>
                    <w:t>/h</w:t>
                  </w:r>
                  <w:r>
                    <w:rPr>
                      <w:rFonts w:hint="eastAsia"/>
                    </w:rPr>
                    <w:t>）处理后经专用烟道升顶排放。</w:t>
                  </w:r>
                </w:p>
              </w:tc>
              <w:tc>
                <w:tcPr>
                  <w:tcW w:w="920" w:type="pct"/>
                  <w:tcBorders>
                    <w:left w:val="single" w:color="auto" w:sz="4" w:space="0"/>
                  </w:tcBorders>
                  <w:vAlign w:val="center"/>
                </w:tcPr>
                <w:p w14:paraId="7F1F8A8D">
                  <w:pPr>
                    <w:jc w:val="center"/>
                    <w:rPr>
                      <w:bCs/>
                      <w:szCs w:val="21"/>
                    </w:rPr>
                  </w:pPr>
                  <w:r>
                    <w:rPr>
                      <w:rFonts w:hint="eastAsia"/>
                      <w:bCs/>
                      <w:szCs w:val="21"/>
                    </w:rPr>
                    <w:t>新建</w:t>
                  </w:r>
                </w:p>
              </w:tc>
            </w:tr>
            <w:tr w14:paraId="48784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490705EB">
                  <w:pPr>
                    <w:jc w:val="center"/>
                    <w:rPr>
                      <w:bCs/>
                      <w:szCs w:val="21"/>
                    </w:rPr>
                  </w:pPr>
                </w:p>
              </w:tc>
              <w:tc>
                <w:tcPr>
                  <w:tcW w:w="1100" w:type="pct"/>
                  <w:gridSpan w:val="2"/>
                  <w:vMerge w:val="continue"/>
                  <w:tcMar>
                    <w:left w:w="28" w:type="dxa"/>
                    <w:right w:w="28" w:type="dxa"/>
                  </w:tcMar>
                  <w:vAlign w:val="center"/>
                </w:tcPr>
                <w:p w14:paraId="1A997607">
                  <w:pPr>
                    <w:jc w:val="center"/>
                    <w:rPr>
                      <w:bCs/>
                      <w:szCs w:val="21"/>
                      <w:highlight w:val="yellow"/>
                    </w:rPr>
                  </w:pPr>
                </w:p>
              </w:tc>
              <w:tc>
                <w:tcPr>
                  <w:tcW w:w="813" w:type="pct"/>
                  <w:gridSpan w:val="2"/>
                  <w:tcBorders>
                    <w:right w:val="single" w:color="auto" w:sz="4" w:space="0"/>
                  </w:tcBorders>
                  <w:vAlign w:val="center"/>
                </w:tcPr>
                <w:p w14:paraId="7FD1264A">
                  <w:pPr>
                    <w:jc w:val="center"/>
                    <w:rPr>
                      <w:bCs/>
                      <w:szCs w:val="21"/>
                    </w:rPr>
                  </w:pPr>
                  <w:r>
                    <w:rPr>
                      <w:rFonts w:hint="eastAsia"/>
                      <w:bCs/>
                      <w:szCs w:val="21"/>
                    </w:rPr>
                    <w:t>污水处理站臭气</w:t>
                  </w:r>
                </w:p>
              </w:tc>
              <w:tc>
                <w:tcPr>
                  <w:tcW w:w="1903" w:type="pct"/>
                  <w:tcBorders>
                    <w:right w:val="single" w:color="auto" w:sz="4" w:space="0"/>
                  </w:tcBorders>
                  <w:vAlign w:val="center"/>
                </w:tcPr>
                <w:p w14:paraId="7CF45EC2">
                  <w:pPr>
                    <w:rPr>
                      <w:bCs/>
                      <w:szCs w:val="21"/>
                    </w:rPr>
                  </w:pPr>
                  <w:r>
                    <w:rPr>
                      <w:rFonts w:hint="eastAsia"/>
                      <w:bCs/>
                      <w:szCs w:val="21"/>
                    </w:rPr>
                    <w:t>池体均地埋式密闭建设，废水处理过程产生的恶臭污染物通过放散管引至辅房楼顶排放。</w:t>
                  </w:r>
                </w:p>
              </w:tc>
              <w:tc>
                <w:tcPr>
                  <w:tcW w:w="920" w:type="pct"/>
                  <w:tcBorders>
                    <w:left w:val="single" w:color="auto" w:sz="4" w:space="0"/>
                  </w:tcBorders>
                  <w:vAlign w:val="center"/>
                </w:tcPr>
                <w:p w14:paraId="12F814A7">
                  <w:pPr>
                    <w:jc w:val="center"/>
                    <w:rPr>
                      <w:bCs/>
                      <w:szCs w:val="21"/>
                    </w:rPr>
                  </w:pPr>
                  <w:r>
                    <w:rPr>
                      <w:rFonts w:hint="eastAsia"/>
                      <w:bCs/>
                      <w:szCs w:val="21"/>
                    </w:rPr>
                    <w:t>新建</w:t>
                  </w:r>
                </w:p>
              </w:tc>
            </w:tr>
            <w:tr w14:paraId="59331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18511091">
                  <w:pPr>
                    <w:jc w:val="center"/>
                    <w:rPr>
                      <w:bCs/>
                      <w:szCs w:val="21"/>
                    </w:rPr>
                  </w:pPr>
                </w:p>
              </w:tc>
              <w:tc>
                <w:tcPr>
                  <w:tcW w:w="1100" w:type="pct"/>
                  <w:gridSpan w:val="2"/>
                  <w:tcMar>
                    <w:left w:w="28" w:type="dxa"/>
                    <w:right w:w="28" w:type="dxa"/>
                  </w:tcMar>
                  <w:vAlign w:val="center"/>
                </w:tcPr>
                <w:p w14:paraId="009BA6BF">
                  <w:pPr>
                    <w:jc w:val="center"/>
                    <w:rPr>
                      <w:bCs/>
                      <w:szCs w:val="21"/>
                      <w:highlight w:val="yellow"/>
                    </w:rPr>
                  </w:pPr>
                  <w:r>
                    <w:rPr>
                      <w:bCs/>
                      <w:szCs w:val="21"/>
                    </w:rPr>
                    <w:t>噪声治理</w:t>
                  </w:r>
                </w:p>
              </w:tc>
              <w:tc>
                <w:tcPr>
                  <w:tcW w:w="2716" w:type="pct"/>
                  <w:gridSpan w:val="3"/>
                  <w:tcBorders>
                    <w:right w:val="single" w:color="auto" w:sz="4" w:space="0"/>
                  </w:tcBorders>
                  <w:vAlign w:val="center"/>
                </w:tcPr>
                <w:p w14:paraId="724CB08B">
                  <w:pPr>
                    <w:rPr>
                      <w:bCs/>
                      <w:szCs w:val="21"/>
                    </w:rPr>
                  </w:pPr>
                  <w:r>
                    <w:rPr>
                      <w:bCs/>
                      <w:szCs w:val="21"/>
                    </w:rPr>
                    <w:t>项目</w:t>
                  </w:r>
                  <w:r>
                    <w:rPr>
                      <w:rFonts w:hint="eastAsia"/>
                      <w:bCs/>
                      <w:szCs w:val="21"/>
                    </w:rPr>
                    <w:t>压铸机、抛丸机、空压机及除尘风机等主要噪声设备采取底座减振，加强维护保养，厂房隔声等措施进行控制。</w:t>
                  </w:r>
                </w:p>
              </w:tc>
              <w:tc>
                <w:tcPr>
                  <w:tcW w:w="920" w:type="pct"/>
                  <w:tcBorders>
                    <w:left w:val="single" w:color="auto" w:sz="4" w:space="0"/>
                  </w:tcBorders>
                  <w:vAlign w:val="center"/>
                </w:tcPr>
                <w:p w14:paraId="56E41D99">
                  <w:pPr>
                    <w:jc w:val="center"/>
                    <w:rPr>
                      <w:bCs/>
                      <w:szCs w:val="21"/>
                    </w:rPr>
                  </w:pPr>
                  <w:r>
                    <w:rPr>
                      <w:rFonts w:hint="eastAsia"/>
                      <w:bCs/>
                      <w:szCs w:val="21"/>
                    </w:rPr>
                    <w:t>新建</w:t>
                  </w:r>
                </w:p>
              </w:tc>
            </w:tr>
            <w:tr w14:paraId="76091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1E963422">
                  <w:pPr>
                    <w:jc w:val="center"/>
                    <w:rPr>
                      <w:bCs/>
                      <w:szCs w:val="21"/>
                    </w:rPr>
                  </w:pPr>
                </w:p>
              </w:tc>
              <w:tc>
                <w:tcPr>
                  <w:tcW w:w="1100" w:type="pct"/>
                  <w:gridSpan w:val="2"/>
                  <w:vMerge w:val="restart"/>
                  <w:tcMar>
                    <w:left w:w="28" w:type="dxa"/>
                    <w:right w:w="28" w:type="dxa"/>
                  </w:tcMar>
                  <w:vAlign w:val="center"/>
                </w:tcPr>
                <w:p w14:paraId="6B1F0002">
                  <w:pPr>
                    <w:jc w:val="center"/>
                    <w:rPr>
                      <w:bCs/>
                      <w:szCs w:val="21"/>
                    </w:rPr>
                  </w:pPr>
                  <w:r>
                    <w:rPr>
                      <w:bCs/>
                      <w:szCs w:val="21"/>
                    </w:rPr>
                    <w:t>固废治理</w:t>
                  </w:r>
                </w:p>
              </w:tc>
              <w:tc>
                <w:tcPr>
                  <w:tcW w:w="813" w:type="pct"/>
                  <w:gridSpan w:val="2"/>
                  <w:tcBorders>
                    <w:right w:val="single" w:color="auto" w:sz="4" w:space="0"/>
                  </w:tcBorders>
                  <w:vAlign w:val="center"/>
                </w:tcPr>
                <w:p w14:paraId="3F410A24">
                  <w:pPr>
                    <w:jc w:val="center"/>
                    <w:rPr>
                      <w:bCs/>
                      <w:szCs w:val="21"/>
                    </w:rPr>
                  </w:pPr>
                  <w:r>
                    <w:rPr>
                      <w:rFonts w:hint="eastAsia"/>
                      <w:bCs/>
                      <w:szCs w:val="21"/>
                    </w:rPr>
                    <w:t>铝粉暂存间</w:t>
                  </w:r>
                </w:p>
              </w:tc>
              <w:tc>
                <w:tcPr>
                  <w:tcW w:w="1903" w:type="pct"/>
                  <w:tcBorders>
                    <w:right w:val="single" w:color="auto" w:sz="4" w:space="0"/>
                  </w:tcBorders>
                  <w:vAlign w:val="center"/>
                </w:tcPr>
                <w:p w14:paraId="0E8AA9DD">
                  <w:pPr>
                    <w:rPr>
                      <w:bCs/>
                      <w:szCs w:val="21"/>
                    </w:rPr>
                  </w:pPr>
                  <w:r>
                    <w:rPr>
                      <w:bCs/>
                      <w:szCs w:val="21"/>
                    </w:rPr>
                    <w:t>20</w:t>
                  </w:r>
                  <w:r>
                    <w:rPr>
                      <w:rFonts w:hint="eastAsia"/>
                      <w:bCs/>
                      <w:szCs w:val="21"/>
                    </w:rPr>
                    <w:t>m</w:t>
                  </w:r>
                  <w:r>
                    <w:rPr>
                      <w:bCs/>
                      <w:szCs w:val="21"/>
                      <w:vertAlign w:val="superscript"/>
                    </w:rPr>
                    <w:t>2</w:t>
                  </w:r>
                  <w:r>
                    <w:rPr>
                      <w:rFonts w:hint="eastAsia"/>
                      <w:bCs/>
                      <w:szCs w:val="21"/>
                    </w:rPr>
                    <w:t>，位于北侧辅房东面，用于储存布袋除尘器收集的铝粉。</w:t>
                  </w:r>
                </w:p>
              </w:tc>
              <w:tc>
                <w:tcPr>
                  <w:tcW w:w="920" w:type="pct"/>
                  <w:tcBorders>
                    <w:left w:val="single" w:color="auto" w:sz="4" w:space="0"/>
                  </w:tcBorders>
                  <w:vAlign w:val="center"/>
                </w:tcPr>
                <w:p w14:paraId="74DC60A3">
                  <w:pPr>
                    <w:jc w:val="center"/>
                    <w:rPr>
                      <w:szCs w:val="21"/>
                    </w:rPr>
                  </w:pPr>
                  <w:r>
                    <w:rPr>
                      <w:rFonts w:hint="eastAsia"/>
                      <w:szCs w:val="21"/>
                    </w:rPr>
                    <w:t>新建</w:t>
                  </w:r>
                </w:p>
              </w:tc>
            </w:tr>
            <w:tr w14:paraId="44EC4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5D78275D">
                  <w:pPr>
                    <w:jc w:val="center"/>
                    <w:rPr>
                      <w:bCs/>
                      <w:szCs w:val="21"/>
                    </w:rPr>
                  </w:pPr>
                </w:p>
              </w:tc>
              <w:tc>
                <w:tcPr>
                  <w:tcW w:w="1100" w:type="pct"/>
                  <w:gridSpan w:val="2"/>
                  <w:vMerge w:val="continue"/>
                  <w:tcMar>
                    <w:left w:w="28" w:type="dxa"/>
                    <w:right w:w="28" w:type="dxa"/>
                  </w:tcMar>
                  <w:vAlign w:val="center"/>
                </w:tcPr>
                <w:p w14:paraId="2D34CA12">
                  <w:pPr>
                    <w:jc w:val="center"/>
                    <w:rPr>
                      <w:bCs/>
                      <w:szCs w:val="21"/>
                    </w:rPr>
                  </w:pPr>
                </w:p>
              </w:tc>
              <w:tc>
                <w:tcPr>
                  <w:tcW w:w="813" w:type="pct"/>
                  <w:gridSpan w:val="2"/>
                  <w:tcBorders>
                    <w:right w:val="single" w:color="auto" w:sz="4" w:space="0"/>
                  </w:tcBorders>
                  <w:vAlign w:val="center"/>
                </w:tcPr>
                <w:p w14:paraId="7E206FD8">
                  <w:pPr>
                    <w:jc w:val="center"/>
                    <w:rPr>
                      <w:bCs/>
                      <w:szCs w:val="21"/>
                    </w:rPr>
                  </w:pPr>
                  <w:r>
                    <w:rPr>
                      <w:rFonts w:hint="eastAsia"/>
                      <w:bCs/>
                      <w:szCs w:val="21"/>
                    </w:rPr>
                    <w:t>一般固废暂存间</w:t>
                  </w:r>
                </w:p>
              </w:tc>
              <w:tc>
                <w:tcPr>
                  <w:tcW w:w="1903" w:type="pct"/>
                  <w:tcBorders>
                    <w:right w:val="single" w:color="auto" w:sz="4" w:space="0"/>
                  </w:tcBorders>
                  <w:vAlign w:val="center"/>
                </w:tcPr>
                <w:p w14:paraId="097E3640">
                  <w:pPr>
                    <w:rPr>
                      <w:bCs/>
                      <w:szCs w:val="21"/>
                    </w:rPr>
                  </w:pPr>
                  <w:r>
                    <w:rPr>
                      <w:bCs/>
                      <w:szCs w:val="21"/>
                    </w:rPr>
                    <w:t>120</w:t>
                  </w:r>
                  <w:r>
                    <w:rPr>
                      <w:rFonts w:hint="eastAsia"/>
                      <w:bCs/>
                      <w:szCs w:val="21"/>
                    </w:rPr>
                    <w:t>m</w:t>
                  </w:r>
                  <w:r>
                    <w:rPr>
                      <w:bCs/>
                      <w:szCs w:val="21"/>
                      <w:vertAlign w:val="superscript"/>
                    </w:rPr>
                    <w:t>2</w:t>
                  </w:r>
                  <w:r>
                    <w:rPr>
                      <w:rFonts w:hint="eastAsia"/>
                      <w:bCs/>
                      <w:szCs w:val="21"/>
                    </w:rPr>
                    <w:t>，位于北侧辅房东面，用于储存项目生产过程中的一般工业固废。</w:t>
                  </w:r>
                </w:p>
              </w:tc>
              <w:tc>
                <w:tcPr>
                  <w:tcW w:w="920" w:type="pct"/>
                  <w:tcBorders>
                    <w:left w:val="single" w:color="auto" w:sz="4" w:space="0"/>
                  </w:tcBorders>
                  <w:vAlign w:val="center"/>
                </w:tcPr>
                <w:p w14:paraId="00B4A741">
                  <w:pPr>
                    <w:jc w:val="center"/>
                    <w:rPr>
                      <w:szCs w:val="21"/>
                    </w:rPr>
                  </w:pPr>
                  <w:r>
                    <w:rPr>
                      <w:rFonts w:hint="eastAsia"/>
                      <w:szCs w:val="21"/>
                    </w:rPr>
                    <w:t>新建</w:t>
                  </w:r>
                </w:p>
              </w:tc>
            </w:tr>
            <w:tr w14:paraId="12F7D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2722D687">
                  <w:pPr>
                    <w:jc w:val="center"/>
                    <w:rPr>
                      <w:bCs/>
                      <w:szCs w:val="21"/>
                    </w:rPr>
                  </w:pPr>
                </w:p>
              </w:tc>
              <w:tc>
                <w:tcPr>
                  <w:tcW w:w="1100" w:type="pct"/>
                  <w:gridSpan w:val="2"/>
                  <w:vMerge w:val="continue"/>
                  <w:tcMar>
                    <w:left w:w="28" w:type="dxa"/>
                    <w:right w:w="28" w:type="dxa"/>
                  </w:tcMar>
                  <w:vAlign w:val="center"/>
                </w:tcPr>
                <w:p w14:paraId="64716C4F">
                  <w:pPr>
                    <w:jc w:val="center"/>
                    <w:rPr>
                      <w:bCs/>
                      <w:szCs w:val="21"/>
                    </w:rPr>
                  </w:pPr>
                </w:p>
              </w:tc>
              <w:tc>
                <w:tcPr>
                  <w:tcW w:w="813" w:type="pct"/>
                  <w:gridSpan w:val="2"/>
                  <w:tcBorders>
                    <w:right w:val="single" w:color="auto" w:sz="4" w:space="0"/>
                  </w:tcBorders>
                  <w:vAlign w:val="center"/>
                </w:tcPr>
                <w:p w14:paraId="6AA4F640">
                  <w:pPr>
                    <w:jc w:val="center"/>
                    <w:rPr>
                      <w:bCs/>
                      <w:szCs w:val="21"/>
                    </w:rPr>
                  </w:pPr>
                  <w:r>
                    <w:rPr>
                      <w:rFonts w:hint="eastAsia"/>
                      <w:bCs/>
                      <w:szCs w:val="21"/>
                    </w:rPr>
                    <w:t>危废暂存间</w:t>
                  </w:r>
                </w:p>
              </w:tc>
              <w:tc>
                <w:tcPr>
                  <w:tcW w:w="1903" w:type="pct"/>
                  <w:tcBorders>
                    <w:right w:val="single" w:color="auto" w:sz="4" w:space="0"/>
                  </w:tcBorders>
                  <w:vAlign w:val="center"/>
                </w:tcPr>
                <w:p w14:paraId="43A7A8A1">
                  <w:pPr>
                    <w:rPr>
                      <w:bCs/>
                      <w:szCs w:val="21"/>
                    </w:rPr>
                  </w:pPr>
                  <w:r>
                    <w:rPr>
                      <w:bCs/>
                      <w:szCs w:val="21"/>
                    </w:rPr>
                    <w:t>50</w:t>
                  </w:r>
                  <w:r>
                    <w:rPr>
                      <w:rFonts w:hint="eastAsia"/>
                      <w:bCs/>
                      <w:szCs w:val="21"/>
                    </w:rPr>
                    <w:t>m</w:t>
                  </w:r>
                  <w:r>
                    <w:rPr>
                      <w:bCs/>
                      <w:szCs w:val="21"/>
                      <w:vertAlign w:val="superscript"/>
                    </w:rPr>
                    <w:t>2</w:t>
                  </w:r>
                  <w:r>
                    <w:rPr>
                      <w:rFonts w:hint="eastAsia"/>
                      <w:bCs/>
                      <w:szCs w:val="21"/>
                    </w:rPr>
                    <w:t>，位于北侧辅房东面，用于分类暂存生产过程产生的各类危险废物。</w:t>
                  </w:r>
                </w:p>
              </w:tc>
              <w:tc>
                <w:tcPr>
                  <w:tcW w:w="920" w:type="pct"/>
                  <w:tcBorders>
                    <w:left w:val="single" w:color="auto" w:sz="4" w:space="0"/>
                  </w:tcBorders>
                  <w:vAlign w:val="center"/>
                </w:tcPr>
                <w:p w14:paraId="2B1E2A01">
                  <w:pPr>
                    <w:jc w:val="center"/>
                    <w:rPr>
                      <w:szCs w:val="21"/>
                    </w:rPr>
                  </w:pPr>
                  <w:r>
                    <w:rPr>
                      <w:rFonts w:hint="eastAsia"/>
                      <w:szCs w:val="21"/>
                    </w:rPr>
                    <w:t>新建</w:t>
                  </w:r>
                </w:p>
              </w:tc>
            </w:tr>
            <w:tr w14:paraId="1D6A7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4D370A43">
                  <w:pPr>
                    <w:jc w:val="center"/>
                    <w:rPr>
                      <w:bCs/>
                      <w:szCs w:val="21"/>
                    </w:rPr>
                  </w:pPr>
                </w:p>
              </w:tc>
              <w:tc>
                <w:tcPr>
                  <w:tcW w:w="1100" w:type="pct"/>
                  <w:gridSpan w:val="2"/>
                  <w:vMerge w:val="continue"/>
                  <w:tcMar>
                    <w:left w:w="28" w:type="dxa"/>
                    <w:right w:w="28" w:type="dxa"/>
                  </w:tcMar>
                  <w:vAlign w:val="center"/>
                </w:tcPr>
                <w:p w14:paraId="2E7B331C">
                  <w:pPr>
                    <w:jc w:val="center"/>
                    <w:rPr>
                      <w:bCs/>
                      <w:szCs w:val="21"/>
                    </w:rPr>
                  </w:pPr>
                </w:p>
              </w:tc>
              <w:tc>
                <w:tcPr>
                  <w:tcW w:w="813" w:type="pct"/>
                  <w:gridSpan w:val="2"/>
                  <w:tcBorders>
                    <w:right w:val="single" w:color="auto" w:sz="4" w:space="0"/>
                  </w:tcBorders>
                  <w:vAlign w:val="center"/>
                </w:tcPr>
                <w:p w14:paraId="64D2A7AB">
                  <w:pPr>
                    <w:jc w:val="center"/>
                    <w:rPr>
                      <w:bCs/>
                      <w:szCs w:val="21"/>
                    </w:rPr>
                  </w:pPr>
                  <w:r>
                    <w:rPr>
                      <w:bCs/>
                      <w:szCs w:val="21"/>
                    </w:rPr>
                    <w:t>生活垃圾</w:t>
                  </w:r>
                </w:p>
              </w:tc>
              <w:tc>
                <w:tcPr>
                  <w:tcW w:w="1903" w:type="pct"/>
                  <w:tcBorders>
                    <w:right w:val="single" w:color="auto" w:sz="4" w:space="0"/>
                  </w:tcBorders>
                  <w:vAlign w:val="center"/>
                </w:tcPr>
                <w:p w14:paraId="7807D1AD">
                  <w:pPr>
                    <w:rPr>
                      <w:bCs/>
                      <w:szCs w:val="21"/>
                    </w:rPr>
                  </w:pPr>
                  <w:r>
                    <w:rPr>
                      <w:rFonts w:hint="eastAsia"/>
                      <w:bCs/>
                      <w:szCs w:val="21"/>
                    </w:rPr>
                    <w:t>厂区内布置</w:t>
                  </w:r>
                  <w:r>
                    <w:rPr>
                      <w:bCs/>
                      <w:szCs w:val="21"/>
                    </w:rPr>
                    <w:t>生活垃圾收集箱</w:t>
                  </w:r>
                  <w:r>
                    <w:rPr>
                      <w:rFonts w:hint="eastAsia"/>
                      <w:bCs/>
                      <w:szCs w:val="21"/>
                    </w:rPr>
                    <w:t>（2</w:t>
                  </w:r>
                  <w:r>
                    <w:rPr>
                      <w:bCs/>
                      <w:szCs w:val="21"/>
                    </w:rPr>
                    <w:t>00</w:t>
                  </w:r>
                  <w:r>
                    <w:rPr>
                      <w:rFonts w:hint="eastAsia"/>
                      <w:bCs/>
                      <w:szCs w:val="21"/>
                    </w:rPr>
                    <w:t>L</w:t>
                  </w:r>
                  <w:r>
                    <w:rPr>
                      <w:bCs/>
                      <w:szCs w:val="21"/>
                    </w:rPr>
                    <w:t>/</w:t>
                  </w:r>
                  <w:r>
                    <w:rPr>
                      <w:rFonts w:hint="eastAsia"/>
                      <w:bCs/>
                      <w:szCs w:val="21"/>
                    </w:rPr>
                    <w:t>个）1</w:t>
                  </w:r>
                  <w:r>
                    <w:rPr>
                      <w:bCs/>
                      <w:szCs w:val="21"/>
                    </w:rPr>
                    <w:t>0</w:t>
                  </w:r>
                  <w:r>
                    <w:rPr>
                      <w:rFonts w:hint="eastAsia"/>
                      <w:bCs/>
                      <w:szCs w:val="21"/>
                    </w:rPr>
                    <w:t>个，</w:t>
                  </w:r>
                  <w:r>
                    <w:rPr>
                      <w:bCs/>
                      <w:szCs w:val="21"/>
                    </w:rPr>
                    <w:t>生活垃圾经收集后交当地环卫部门处置</w:t>
                  </w:r>
                </w:p>
              </w:tc>
              <w:tc>
                <w:tcPr>
                  <w:tcW w:w="920" w:type="pct"/>
                  <w:tcBorders>
                    <w:left w:val="single" w:color="auto" w:sz="4" w:space="0"/>
                  </w:tcBorders>
                  <w:vAlign w:val="center"/>
                </w:tcPr>
                <w:p w14:paraId="37792A50">
                  <w:pPr>
                    <w:jc w:val="center"/>
                    <w:rPr>
                      <w:szCs w:val="21"/>
                    </w:rPr>
                  </w:pPr>
                  <w:r>
                    <w:rPr>
                      <w:rFonts w:hint="eastAsia"/>
                      <w:szCs w:val="21"/>
                    </w:rPr>
                    <w:t>新建</w:t>
                  </w:r>
                </w:p>
              </w:tc>
            </w:tr>
            <w:tr w14:paraId="6BAFC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69" w:hRule="atLeast"/>
                <w:jc w:val="center"/>
              </w:trPr>
              <w:tc>
                <w:tcPr>
                  <w:tcW w:w="264" w:type="pct"/>
                  <w:vMerge w:val="continue"/>
                  <w:tcMar>
                    <w:left w:w="28" w:type="dxa"/>
                    <w:right w:w="28" w:type="dxa"/>
                  </w:tcMar>
                  <w:vAlign w:val="center"/>
                </w:tcPr>
                <w:p w14:paraId="7EBD19D7">
                  <w:pPr>
                    <w:jc w:val="center"/>
                    <w:rPr>
                      <w:bCs/>
                      <w:szCs w:val="21"/>
                    </w:rPr>
                  </w:pPr>
                </w:p>
              </w:tc>
              <w:tc>
                <w:tcPr>
                  <w:tcW w:w="1100" w:type="pct"/>
                  <w:gridSpan w:val="2"/>
                  <w:tcMar>
                    <w:left w:w="28" w:type="dxa"/>
                    <w:right w:w="28" w:type="dxa"/>
                  </w:tcMar>
                  <w:vAlign w:val="center"/>
                </w:tcPr>
                <w:p w14:paraId="3BBCC076">
                  <w:pPr>
                    <w:jc w:val="center"/>
                    <w:rPr>
                      <w:bCs/>
                      <w:szCs w:val="21"/>
                    </w:rPr>
                  </w:pPr>
                  <w:r>
                    <w:rPr>
                      <w:bCs/>
                      <w:szCs w:val="21"/>
                    </w:rPr>
                    <w:t>绿化</w:t>
                  </w:r>
                </w:p>
              </w:tc>
              <w:tc>
                <w:tcPr>
                  <w:tcW w:w="2716" w:type="pct"/>
                  <w:gridSpan w:val="3"/>
                  <w:tcBorders>
                    <w:right w:val="single" w:color="auto" w:sz="4" w:space="0"/>
                  </w:tcBorders>
                  <w:vAlign w:val="center"/>
                </w:tcPr>
                <w:p w14:paraId="4B2E0716">
                  <w:pPr>
                    <w:rPr>
                      <w:bCs/>
                      <w:szCs w:val="21"/>
                    </w:rPr>
                  </w:pPr>
                  <w:r>
                    <w:rPr>
                      <w:rFonts w:hint="eastAsia"/>
                      <w:bCs/>
                      <w:szCs w:val="21"/>
                    </w:rPr>
                    <w:t>项目与厂区四周建设绿化带，共计绿化面积约</w:t>
                  </w:r>
                  <w:r>
                    <w:rPr>
                      <w:bCs/>
                      <w:szCs w:val="21"/>
                    </w:rPr>
                    <w:t>4360m</w:t>
                  </w:r>
                  <w:r>
                    <w:rPr>
                      <w:bCs/>
                      <w:szCs w:val="21"/>
                      <w:vertAlign w:val="superscript"/>
                    </w:rPr>
                    <w:t>2</w:t>
                  </w:r>
                  <w:r>
                    <w:rPr>
                      <w:rFonts w:hint="eastAsia"/>
                      <w:bCs/>
                      <w:szCs w:val="21"/>
                    </w:rPr>
                    <w:t>。</w:t>
                  </w:r>
                </w:p>
              </w:tc>
              <w:tc>
                <w:tcPr>
                  <w:tcW w:w="920" w:type="pct"/>
                  <w:tcBorders>
                    <w:left w:val="single" w:color="auto" w:sz="4" w:space="0"/>
                  </w:tcBorders>
                  <w:vAlign w:val="center"/>
                </w:tcPr>
                <w:p w14:paraId="7E6F3CAD">
                  <w:pPr>
                    <w:jc w:val="center"/>
                    <w:rPr>
                      <w:szCs w:val="21"/>
                    </w:rPr>
                  </w:pPr>
                  <w:r>
                    <w:rPr>
                      <w:rFonts w:hint="eastAsia"/>
                      <w:szCs w:val="21"/>
                    </w:rPr>
                    <w:t>新建</w:t>
                  </w:r>
                </w:p>
              </w:tc>
            </w:tr>
          </w:tbl>
          <w:p w14:paraId="7B8BF1DA">
            <w:pPr>
              <w:adjustRightInd w:val="0"/>
              <w:snapToGrid w:val="0"/>
              <w:spacing w:line="360" w:lineRule="auto"/>
              <w:jc w:val="left"/>
              <w:rPr>
                <w:b/>
                <w:sz w:val="24"/>
              </w:rPr>
            </w:pPr>
            <w:r>
              <w:rPr>
                <w:b/>
                <w:sz w:val="24"/>
              </w:rPr>
              <w:t>4、主要产品及产能</w:t>
            </w:r>
          </w:p>
          <w:p w14:paraId="5BF1487E">
            <w:pPr>
              <w:adjustRightInd w:val="0"/>
              <w:snapToGrid w:val="0"/>
              <w:spacing w:line="360" w:lineRule="auto"/>
              <w:ind w:firstLine="480" w:firstLineChars="200"/>
              <w:rPr>
                <w:sz w:val="24"/>
              </w:rPr>
            </w:pPr>
            <w:r>
              <w:rPr>
                <w:rFonts w:hint="eastAsia"/>
                <w:sz w:val="24"/>
              </w:rPr>
              <w:t>渝湘机械</w:t>
            </w:r>
            <w:r>
              <w:rPr>
                <w:sz w:val="24"/>
              </w:rPr>
              <w:t>目前主要产品为</w:t>
            </w:r>
            <w:r>
              <w:rPr>
                <w:rFonts w:hint="eastAsia"/>
                <w:sz w:val="24"/>
              </w:rPr>
              <w:t>汽车用空调压缩机缸体、前盖、后盖、机壳及支架</w:t>
            </w:r>
            <w:r>
              <w:rPr>
                <w:sz w:val="24"/>
              </w:rPr>
              <w:t>，产量均为</w:t>
            </w:r>
            <w:r>
              <w:rPr>
                <w:rFonts w:hint="eastAsia"/>
                <w:sz w:val="24"/>
              </w:rPr>
              <w:t>100万件/年</w:t>
            </w:r>
            <w:r>
              <w:rPr>
                <w:sz w:val="24"/>
              </w:rPr>
              <w:t>，本次</w:t>
            </w:r>
            <w:r>
              <w:rPr>
                <w:rFonts w:hint="eastAsia"/>
                <w:sz w:val="24"/>
              </w:rPr>
              <w:t>迁</w:t>
            </w:r>
            <w:r>
              <w:rPr>
                <w:sz w:val="24"/>
              </w:rPr>
              <w:t>建将对产品</w:t>
            </w:r>
            <w:r>
              <w:rPr>
                <w:rFonts w:hint="eastAsia"/>
                <w:sz w:val="24"/>
              </w:rPr>
              <w:t>结构及规模</w:t>
            </w:r>
            <w:r>
              <w:rPr>
                <w:sz w:val="24"/>
              </w:rPr>
              <w:t>进行调整</w:t>
            </w:r>
            <w:r>
              <w:rPr>
                <w:rFonts w:hint="eastAsia"/>
                <w:sz w:val="24"/>
              </w:rPr>
              <w:t>，</w:t>
            </w:r>
            <w:r>
              <w:rPr>
                <w:b/>
                <w:sz w:val="24"/>
              </w:rPr>
              <w:t>取消</w:t>
            </w:r>
            <w:r>
              <w:rPr>
                <w:rFonts w:hint="eastAsia"/>
                <w:sz w:val="24"/>
              </w:rPr>
              <w:t>缸体、前盖和支架，</w:t>
            </w:r>
            <w:r>
              <w:rPr>
                <w:b/>
                <w:sz w:val="24"/>
              </w:rPr>
              <w:t>新增</w:t>
            </w:r>
            <w:r>
              <w:rPr>
                <w:rFonts w:hint="eastAsia"/>
                <w:sz w:val="24"/>
              </w:rPr>
              <w:t>静涡盘、静涡盘前盖、电控盒、端盖，最终形成年产汽车用空调压缩机机壳、后盖、静涡盘、静涡盘前盖各1</w:t>
            </w:r>
            <w:r>
              <w:rPr>
                <w:sz w:val="24"/>
              </w:rPr>
              <w:t>50</w:t>
            </w:r>
            <w:r>
              <w:rPr>
                <w:rFonts w:hint="eastAsia"/>
                <w:sz w:val="24"/>
              </w:rPr>
              <w:t>万件/年，电控盒和端盖各</w:t>
            </w:r>
            <w:r>
              <w:rPr>
                <w:sz w:val="24"/>
              </w:rPr>
              <w:t>100</w:t>
            </w:r>
            <w:r>
              <w:rPr>
                <w:rFonts w:hint="eastAsia"/>
                <w:sz w:val="24"/>
              </w:rPr>
              <w:t>万件/年的产能</w:t>
            </w:r>
            <w:r>
              <w:rPr>
                <w:sz w:val="24"/>
              </w:rPr>
              <w:t>。项目产品</w:t>
            </w:r>
            <w:r>
              <w:rPr>
                <w:rFonts w:hint="eastAsia"/>
                <w:sz w:val="24"/>
              </w:rPr>
              <w:t>主要供应下游汽车整车制造企业</w:t>
            </w:r>
            <w:r>
              <w:rPr>
                <w:sz w:val="24"/>
              </w:rPr>
              <w:t>。项目</w:t>
            </w:r>
            <w:r>
              <w:rPr>
                <w:rFonts w:hint="eastAsia"/>
                <w:sz w:val="24"/>
              </w:rPr>
              <w:t>迁建</w:t>
            </w:r>
            <w:r>
              <w:rPr>
                <w:sz w:val="24"/>
              </w:rPr>
              <w:t>前后产品方案变化表见表2-2</w:t>
            </w:r>
            <w:r>
              <w:rPr>
                <w:rFonts w:hint="eastAsia"/>
                <w:sz w:val="24"/>
              </w:rPr>
              <w:t>。</w:t>
            </w:r>
          </w:p>
          <w:p w14:paraId="119B0DAE">
            <w:pPr>
              <w:adjustRightInd w:val="0"/>
              <w:snapToGrid w:val="0"/>
              <w:spacing w:line="360" w:lineRule="auto"/>
              <w:jc w:val="center"/>
              <w:rPr>
                <w:sz w:val="24"/>
              </w:rPr>
            </w:pPr>
            <w:r>
              <w:rPr>
                <w:sz w:val="24"/>
              </w:rPr>
              <w:t>表2-2  项目</w:t>
            </w:r>
            <w:r>
              <w:rPr>
                <w:rFonts w:hint="eastAsia"/>
                <w:sz w:val="24"/>
              </w:rPr>
              <w:t>迁建</w:t>
            </w:r>
            <w:r>
              <w:rPr>
                <w:sz w:val="24"/>
              </w:rPr>
              <w:t>前后产品方案变化情况表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836"/>
              <w:gridCol w:w="992"/>
              <w:gridCol w:w="1134"/>
              <w:gridCol w:w="1559"/>
              <w:gridCol w:w="1156"/>
            </w:tblGrid>
            <w:tr w14:paraId="025F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2FE91197">
                  <w:pPr>
                    <w:spacing w:line="300" w:lineRule="exact"/>
                    <w:jc w:val="center"/>
                    <w:rPr>
                      <w:szCs w:val="21"/>
                    </w:rPr>
                  </w:pPr>
                  <w:r>
                    <w:rPr>
                      <w:rFonts w:hint="eastAsia"/>
                      <w:szCs w:val="21"/>
                    </w:rPr>
                    <w:t>序号</w:t>
                  </w:r>
                </w:p>
              </w:tc>
              <w:tc>
                <w:tcPr>
                  <w:tcW w:w="1686" w:type="pct"/>
                  <w:shd w:val="clear" w:color="auto" w:fill="auto"/>
                  <w:vAlign w:val="center"/>
                </w:tcPr>
                <w:p w14:paraId="40695631">
                  <w:pPr>
                    <w:spacing w:line="240" w:lineRule="atLeast"/>
                    <w:jc w:val="center"/>
                    <w:rPr>
                      <w:szCs w:val="21"/>
                    </w:rPr>
                  </w:pPr>
                  <w:r>
                    <w:rPr>
                      <w:rFonts w:hint="eastAsia"/>
                      <w:szCs w:val="21"/>
                    </w:rPr>
                    <w:t>产品名称</w:t>
                  </w:r>
                </w:p>
              </w:tc>
              <w:tc>
                <w:tcPr>
                  <w:tcW w:w="590" w:type="pct"/>
                  <w:vAlign w:val="center"/>
                </w:tcPr>
                <w:p w14:paraId="17FE9944">
                  <w:pPr>
                    <w:spacing w:line="240" w:lineRule="atLeast"/>
                    <w:jc w:val="center"/>
                    <w:rPr>
                      <w:szCs w:val="21"/>
                    </w:rPr>
                  </w:pPr>
                  <w:r>
                    <w:rPr>
                      <w:rFonts w:hint="eastAsia"/>
                      <w:szCs w:val="21"/>
                    </w:rPr>
                    <w:t>单位</w:t>
                  </w:r>
                </w:p>
              </w:tc>
              <w:tc>
                <w:tcPr>
                  <w:tcW w:w="674" w:type="pct"/>
                  <w:shd w:val="clear" w:color="auto" w:fill="auto"/>
                  <w:vAlign w:val="center"/>
                </w:tcPr>
                <w:p w14:paraId="39827665">
                  <w:pPr>
                    <w:spacing w:line="240" w:lineRule="atLeast"/>
                    <w:jc w:val="center"/>
                    <w:rPr>
                      <w:szCs w:val="21"/>
                    </w:rPr>
                  </w:pPr>
                  <w:r>
                    <w:rPr>
                      <w:szCs w:val="21"/>
                    </w:rPr>
                    <w:t>现有产能</w:t>
                  </w:r>
                </w:p>
              </w:tc>
              <w:tc>
                <w:tcPr>
                  <w:tcW w:w="927" w:type="pct"/>
                  <w:shd w:val="clear" w:color="auto" w:fill="auto"/>
                  <w:vAlign w:val="center"/>
                </w:tcPr>
                <w:p w14:paraId="364C7927">
                  <w:pPr>
                    <w:spacing w:line="240" w:lineRule="atLeast"/>
                    <w:jc w:val="center"/>
                    <w:rPr>
                      <w:szCs w:val="21"/>
                    </w:rPr>
                  </w:pPr>
                  <w:r>
                    <w:rPr>
                      <w:szCs w:val="21"/>
                    </w:rPr>
                    <w:t>本次新增产能</w:t>
                  </w:r>
                </w:p>
              </w:tc>
              <w:tc>
                <w:tcPr>
                  <w:tcW w:w="687" w:type="pct"/>
                  <w:shd w:val="clear" w:color="auto" w:fill="auto"/>
                  <w:vAlign w:val="center"/>
                </w:tcPr>
                <w:p w14:paraId="67AA13CA">
                  <w:pPr>
                    <w:spacing w:line="240" w:lineRule="atLeast"/>
                    <w:jc w:val="center"/>
                    <w:rPr>
                      <w:szCs w:val="21"/>
                    </w:rPr>
                  </w:pPr>
                  <w:r>
                    <w:rPr>
                      <w:rFonts w:hint="eastAsia"/>
                      <w:szCs w:val="21"/>
                    </w:rPr>
                    <w:t>迁建</w:t>
                  </w:r>
                  <w:r>
                    <w:rPr>
                      <w:szCs w:val="21"/>
                    </w:rPr>
                    <w:t>后</w:t>
                  </w:r>
                  <w:r>
                    <w:rPr>
                      <w:rFonts w:hint="eastAsia"/>
                      <w:szCs w:val="21"/>
                    </w:rPr>
                    <w:t>产能</w:t>
                  </w:r>
                </w:p>
              </w:tc>
            </w:tr>
            <w:tr w14:paraId="4B59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5A1EE4C5">
                  <w:pPr>
                    <w:spacing w:line="300" w:lineRule="exact"/>
                    <w:jc w:val="center"/>
                    <w:rPr>
                      <w:szCs w:val="21"/>
                    </w:rPr>
                  </w:pPr>
                  <w:r>
                    <w:rPr>
                      <w:rFonts w:hint="eastAsia"/>
                      <w:szCs w:val="21"/>
                    </w:rPr>
                    <w:t>1</w:t>
                  </w:r>
                </w:p>
              </w:tc>
              <w:tc>
                <w:tcPr>
                  <w:tcW w:w="1686" w:type="pct"/>
                  <w:shd w:val="clear" w:color="auto" w:fill="auto"/>
                  <w:vAlign w:val="center"/>
                </w:tcPr>
                <w:p w14:paraId="229860AF">
                  <w:pPr>
                    <w:spacing w:line="300" w:lineRule="exact"/>
                    <w:jc w:val="center"/>
                    <w:rPr>
                      <w:szCs w:val="21"/>
                    </w:rPr>
                  </w:pPr>
                  <w:r>
                    <w:rPr>
                      <w:rFonts w:hint="eastAsia"/>
                      <w:szCs w:val="21"/>
                    </w:rPr>
                    <w:t>汽车用空调压缩机缸体</w:t>
                  </w:r>
                </w:p>
              </w:tc>
              <w:tc>
                <w:tcPr>
                  <w:tcW w:w="590" w:type="pct"/>
                  <w:vAlign w:val="center"/>
                </w:tcPr>
                <w:p w14:paraId="093C8F64">
                  <w:pPr>
                    <w:spacing w:line="300" w:lineRule="exact"/>
                    <w:jc w:val="center"/>
                    <w:rPr>
                      <w:szCs w:val="21"/>
                    </w:rPr>
                  </w:pPr>
                  <w:r>
                    <w:rPr>
                      <w:rFonts w:hint="eastAsia"/>
                      <w:szCs w:val="21"/>
                    </w:rPr>
                    <w:t>万件/年</w:t>
                  </w:r>
                </w:p>
              </w:tc>
              <w:tc>
                <w:tcPr>
                  <w:tcW w:w="674" w:type="pct"/>
                  <w:shd w:val="clear" w:color="auto" w:fill="auto"/>
                  <w:vAlign w:val="center"/>
                </w:tcPr>
                <w:p w14:paraId="68ACEC8F">
                  <w:pPr>
                    <w:spacing w:line="300" w:lineRule="exact"/>
                    <w:jc w:val="center"/>
                    <w:rPr>
                      <w:szCs w:val="21"/>
                    </w:rPr>
                  </w:pPr>
                  <w:r>
                    <w:rPr>
                      <w:rFonts w:hint="eastAsia"/>
                      <w:szCs w:val="21"/>
                    </w:rPr>
                    <w:t>1</w:t>
                  </w:r>
                  <w:r>
                    <w:rPr>
                      <w:szCs w:val="21"/>
                    </w:rPr>
                    <w:t>00</w:t>
                  </w:r>
                </w:p>
              </w:tc>
              <w:tc>
                <w:tcPr>
                  <w:tcW w:w="927" w:type="pct"/>
                  <w:shd w:val="clear" w:color="auto" w:fill="auto"/>
                  <w:vAlign w:val="center"/>
                </w:tcPr>
                <w:p w14:paraId="3FC1CBBB">
                  <w:pPr>
                    <w:spacing w:line="300" w:lineRule="exact"/>
                    <w:jc w:val="center"/>
                    <w:rPr>
                      <w:szCs w:val="21"/>
                    </w:rPr>
                  </w:pPr>
                  <w:r>
                    <w:rPr>
                      <w:szCs w:val="21"/>
                    </w:rPr>
                    <w:t>-100</w:t>
                  </w:r>
                </w:p>
              </w:tc>
              <w:tc>
                <w:tcPr>
                  <w:tcW w:w="687" w:type="pct"/>
                  <w:shd w:val="clear" w:color="auto" w:fill="auto"/>
                  <w:vAlign w:val="center"/>
                </w:tcPr>
                <w:p w14:paraId="6F72B300">
                  <w:pPr>
                    <w:spacing w:line="300" w:lineRule="exact"/>
                    <w:jc w:val="center"/>
                    <w:rPr>
                      <w:szCs w:val="21"/>
                    </w:rPr>
                  </w:pPr>
                  <w:r>
                    <w:rPr>
                      <w:szCs w:val="21"/>
                    </w:rPr>
                    <w:t>0</w:t>
                  </w:r>
                </w:p>
              </w:tc>
            </w:tr>
            <w:tr w14:paraId="26B6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409C85BB">
                  <w:pPr>
                    <w:spacing w:line="300" w:lineRule="exact"/>
                    <w:jc w:val="center"/>
                    <w:rPr>
                      <w:szCs w:val="21"/>
                    </w:rPr>
                  </w:pPr>
                  <w:r>
                    <w:rPr>
                      <w:rFonts w:hint="eastAsia"/>
                      <w:szCs w:val="21"/>
                    </w:rPr>
                    <w:t>2</w:t>
                  </w:r>
                </w:p>
              </w:tc>
              <w:tc>
                <w:tcPr>
                  <w:tcW w:w="1686" w:type="pct"/>
                  <w:shd w:val="clear" w:color="auto" w:fill="auto"/>
                  <w:vAlign w:val="center"/>
                </w:tcPr>
                <w:p w14:paraId="7532F463">
                  <w:pPr>
                    <w:spacing w:line="300" w:lineRule="exact"/>
                    <w:jc w:val="center"/>
                    <w:rPr>
                      <w:szCs w:val="21"/>
                    </w:rPr>
                  </w:pPr>
                  <w:r>
                    <w:rPr>
                      <w:rFonts w:hint="eastAsia"/>
                      <w:szCs w:val="21"/>
                    </w:rPr>
                    <w:t>汽车用空调压缩机前盖</w:t>
                  </w:r>
                </w:p>
              </w:tc>
              <w:tc>
                <w:tcPr>
                  <w:tcW w:w="590" w:type="pct"/>
                  <w:vAlign w:val="center"/>
                </w:tcPr>
                <w:p w14:paraId="39A7F5B2">
                  <w:pPr>
                    <w:spacing w:line="300" w:lineRule="exact"/>
                    <w:jc w:val="center"/>
                    <w:rPr>
                      <w:szCs w:val="21"/>
                    </w:rPr>
                  </w:pPr>
                  <w:r>
                    <w:rPr>
                      <w:rFonts w:hint="eastAsia"/>
                      <w:szCs w:val="21"/>
                    </w:rPr>
                    <w:t>万件/年</w:t>
                  </w:r>
                </w:p>
              </w:tc>
              <w:tc>
                <w:tcPr>
                  <w:tcW w:w="674" w:type="pct"/>
                  <w:shd w:val="clear" w:color="auto" w:fill="auto"/>
                  <w:vAlign w:val="center"/>
                </w:tcPr>
                <w:p w14:paraId="2B0D1711">
                  <w:pPr>
                    <w:spacing w:line="300" w:lineRule="exact"/>
                    <w:jc w:val="center"/>
                    <w:rPr>
                      <w:szCs w:val="21"/>
                    </w:rPr>
                  </w:pPr>
                  <w:r>
                    <w:rPr>
                      <w:rFonts w:hint="eastAsia"/>
                      <w:szCs w:val="21"/>
                    </w:rPr>
                    <w:t>1</w:t>
                  </w:r>
                  <w:r>
                    <w:rPr>
                      <w:szCs w:val="21"/>
                    </w:rPr>
                    <w:t>00</w:t>
                  </w:r>
                </w:p>
              </w:tc>
              <w:tc>
                <w:tcPr>
                  <w:tcW w:w="927" w:type="pct"/>
                  <w:shd w:val="clear" w:color="auto" w:fill="auto"/>
                  <w:vAlign w:val="center"/>
                </w:tcPr>
                <w:p w14:paraId="2EC7CDBC">
                  <w:pPr>
                    <w:spacing w:line="300" w:lineRule="exact"/>
                    <w:jc w:val="center"/>
                    <w:rPr>
                      <w:szCs w:val="21"/>
                    </w:rPr>
                  </w:pPr>
                  <w:r>
                    <w:rPr>
                      <w:szCs w:val="21"/>
                    </w:rPr>
                    <w:t>-100</w:t>
                  </w:r>
                </w:p>
              </w:tc>
              <w:tc>
                <w:tcPr>
                  <w:tcW w:w="687" w:type="pct"/>
                  <w:shd w:val="clear" w:color="auto" w:fill="auto"/>
                  <w:vAlign w:val="center"/>
                </w:tcPr>
                <w:p w14:paraId="27F4E12E">
                  <w:pPr>
                    <w:spacing w:line="300" w:lineRule="exact"/>
                    <w:jc w:val="center"/>
                    <w:rPr>
                      <w:szCs w:val="21"/>
                    </w:rPr>
                  </w:pPr>
                  <w:r>
                    <w:rPr>
                      <w:rFonts w:hint="eastAsia"/>
                      <w:szCs w:val="21"/>
                    </w:rPr>
                    <w:t>0</w:t>
                  </w:r>
                </w:p>
              </w:tc>
            </w:tr>
            <w:tr w14:paraId="05D7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5FD35898">
                  <w:pPr>
                    <w:spacing w:line="300" w:lineRule="exact"/>
                    <w:jc w:val="center"/>
                    <w:rPr>
                      <w:szCs w:val="21"/>
                    </w:rPr>
                  </w:pPr>
                  <w:r>
                    <w:rPr>
                      <w:rFonts w:hint="eastAsia"/>
                      <w:szCs w:val="21"/>
                    </w:rPr>
                    <w:t>3</w:t>
                  </w:r>
                </w:p>
              </w:tc>
              <w:tc>
                <w:tcPr>
                  <w:tcW w:w="1686" w:type="pct"/>
                  <w:shd w:val="clear" w:color="auto" w:fill="auto"/>
                  <w:vAlign w:val="center"/>
                </w:tcPr>
                <w:p w14:paraId="47E12CA6">
                  <w:pPr>
                    <w:spacing w:line="300" w:lineRule="exact"/>
                    <w:jc w:val="center"/>
                    <w:rPr>
                      <w:szCs w:val="21"/>
                    </w:rPr>
                  </w:pPr>
                  <w:r>
                    <w:rPr>
                      <w:rFonts w:hint="eastAsia"/>
                      <w:szCs w:val="21"/>
                    </w:rPr>
                    <w:t>汽车用空调压缩机支架</w:t>
                  </w:r>
                </w:p>
              </w:tc>
              <w:tc>
                <w:tcPr>
                  <w:tcW w:w="590" w:type="pct"/>
                  <w:vAlign w:val="center"/>
                </w:tcPr>
                <w:p w14:paraId="161A3895">
                  <w:pPr>
                    <w:spacing w:line="300" w:lineRule="exact"/>
                    <w:jc w:val="center"/>
                    <w:rPr>
                      <w:szCs w:val="21"/>
                    </w:rPr>
                  </w:pPr>
                  <w:r>
                    <w:rPr>
                      <w:rFonts w:hint="eastAsia"/>
                      <w:szCs w:val="21"/>
                    </w:rPr>
                    <w:t>万件/年</w:t>
                  </w:r>
                </w:p>
              </w:tc>
              <w:tc>
                <w:tcPr>
                  <w:tcW w:w="674" w:type="pct"/>
                  <w:shd w:val="clear" w:color="auto" w:fill="auto"/>
                  <w:vAlign w:val="center"/>
                </w:tcPr>
                <w:p w14:paraId="64E96349">
                  <w:pPr>
                    <w:spacing w:line="300" w:lineRule="exact"/>
                    <w:jc w:val="center"/>
                    <w:rPr>
                      <w:szCs w:val="21"/>
                    </w:rPr>
                  </w:pPr>
                  <w:r>
                    <w:rPr>
                      <w:rFonts w:hint="eastAsia"/>
                      <w:szCs w:val="21"/>
                    </w:rPr>
                    <w:t>1</w:t>
                  </w:r>
                  <w:r>
                    <w:rPr>
                      <w:szCs w:val="21"/>
                    </w:rPr>
                    <w:t>00</w:t>
                  </w:r>
                </w:p>
              </w:tc>
              <w:tc>
                <w:tcPr>
                  <w:tcW w:w="927" w:type="pct"/>
                  <w:shd w:val="clear" w:color="auto" w:fill="auto"/>
                  <w:vAlign w:val="center"/>
                </w:tcPr>
                <w:p w14:paraId="76B707EC">
                  <w:pPr>
                    <w:spacing w:line="300" w:lineRule="exact"/>
                    <w:jc w:val="center"/>
                    <w:rPr>
                      <w:szCs w:val="21"/>
                    </w:rPr>
                  </w:pPr>
                  <w:r>
                    <w:rPr>
                      <w:szCs w:val="21"/>
                    </w:rPr>
                    <w:t>-100</w:t>
                  </w:r>
                </w:p>
              </w:tc>
              <w:tc>
                <w:tcPr>
                  <w:tcW w:w="687" w:type="pct"/>
                  <w:shd w:val="clear" w:color="auto" w:fill="auto"/>
                  <w:vAlign w:val="center"/>
                </w:tcPr>
                <w:p w14:paraId="119041F2">
                  <w:pPr>
                    <w:spacing w:line="300" w:lineRule="exact"/>
                    <w:jc w:val="center"/>
                    <w:rPr>
                      <w:szCs w:val="21"/>
                    </w:rPr>
                  </w:pPr>
                  <w:r>
                    <w:rPr>
                      <w:rFonts w:hint="eastAsia"/>
                      <w:szCs w:val="21"/>
                    </w:rPr>
                    <w:t>0</w:t>
                  </w:r>
                </w:p>
              </w:tc>
            </w:tr>
            <w:tr w14:paraId="3B7A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0C3FABAA">
                  <w:pPr>
                    <w:spacing w:line="300" w:lineRule="exact"/>
                    <w:jc w:val="center"/>
                    <w:rPr>
                      <w:szCs w:val="21"/>
                    </w:rPr>
                  </w:pPr>
                  <w:r>
                    <w:rPr>
                      <w:rFonts w:hint="eastAsia"/>
                      <w:szCs w:val="21"/>
                    </w:rPr>
                    <w:t>4</w:t>
                  </w:r>
                </w:p>
              </w:tc>
              <w:tc>
                <w:tcPr>
                  <w:tcW w:w="1686" w:type="pct"/>
                  <w:shd w:val="clear" w:color="auto" w:fill="auto"/>
                  <w:vAlign w:val="center"/>
                </w:tcPr>
                <w:p w14:paraId="434482CA">
                  <w:pPr>
                    <w:spacing w:line="300" w:lineRule="exact"/>
                    <w:jc w:val="center"/>
                    <w:rPr>
                      <w:szCs w:val="21"/>
                    </w:rPr>
                  </w:pPr>
                  <w:r>
                    <w:rPr>
                      <w:rFonts w:hint="eastAsia"/>
                      <w:szCs w:val="21"/>
                    </w:rPr>
                    <w:t>汽车用空调压缩机后盖</w:t>
                  </w:r>
                </w:p>
              </w:tc>
              <w:tc>
                <w:tcPr>
                  <w:tcW w:w="590" w:type="pct"/>
                  <w:vAlign w:val="center"/>
                </w:tcPr>
                <w:p w14:paraId="06288BD3">
                  <w:pPr>
                    <w:spacing w:line="300" w:lineRule="exact"/>
                    <w:jc w:val="center"/>
                    <w:rPr>
                      <w:szCs w:val="21"/>
                    </w:rPr>
                  </w:pPr>
                  <w:r>
                    <w:rPr>
                      <w:rFonts w:hint="eastAsia"/>
                      <w:szCs w:val="21"/>
                    </w:rPr>
                    <w:t>万件/年</w:t>
                  </w:r>
                </w:p>
              </w:tc>
              <w:tc>
                <w:tcPr>
                  <w:tcW w:w="674" w:type="pct"/>
                  <w:shd w:val="clear" w:color="auto" w:fill="auto"/>
                  <w:vAlign w:val="center"/>
                </w:tcPr>
                <w:p w14:paraId="4144E6E2">
                  <w:pPr>
                    <w:spacing w:line="300" w:lineRule="exact"/>
                    <w:jc w:val="center"/>
                    <w:rPr>
                      <w:szCs w:val="21"/>
                    </w:rPr>
                  </w:pPr>
                  <w:r>
                    <w:rPr>
                      <w:rFonts w:hint="eastAsia"/>
                      <w:szCs w:val="21"/>
                    </w:rPr>
                    <w:t>1</w:t>
                  </w:r>
                  <w:r>
                    <w:rPr>
                      <w:szCs w:val="21"/>
                    </w:rPr>
                    <w:t>00</w:t>
                  </w:r>
                </w:p>
              </w:tc>
              <w:tc>
                <w:tcPr>
                  <w:tcW w:w="927" w:type="pct"/>
                  <w:shd w:val="clear" w:color="auto" w:fill="auto"/>
                  <w:vAlign w:val="center"/>
                </w:tcPr>
                <w:p w14:paraId="7F1FD32F">
                  <w:pPr>
                    <w:spacing w:line="300" w:lineRule="exact"/>
                    <w:jc w:val="center"/>
                    <w:rPr>
                      <w:szCs w:val="21"/>
                    </w:rPr>
                  </w:pPr>
                  <w:r>
                    <w:rPr>
                      <w:szCs w:val="21"/>
                    </w:rPr>
                    <w:t>50</w:t>
                  </w:r>
                </w:p>
              </w:tc>
              <w:tc>
                <w:tcPr>
                  <w:tcW w:w="687" w:type="pct"/>
                  <w:shd w:val="clear" w:color="auto" w:fill="auto"/>
                  <w:vAlign w:val="center"/>
                </w:tcPr>
                <w:p w14:paraId="70F9E32E">
                  <w:pPr>
                    <w:spacing w:line="300" w:lineRule="exact"/>
                    <w:jc w:val="center"/>
                    <w:rPr>
                      <w:szCs w:val="21"/>
                    </w:rPr>
                  </w:pPr>
                  <w:r>
                    <w:rPr>
                      <w:szCs w:val="21"/>
                    </w:rPr>
                    <w:t>150</w:t>
                  </w:r>
                </w:p>
              </w:tc>
            </w:tr>
            <w:tr w14:paraId="0EEA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70932D3A">
                  <w:pPr>
                    <w:spacing w:line="300" w:lineRule="exact"/>
                    <w:jc w:val="center"/>
                    <w:rPr>
                      <w:szCs w:val="21"/>
                    </w:rPr>
                  </w:pPr>
                  <w:r>
                    <w:rPr>
                      <w:rFonts w:hint="eastAsia"/>
                      <w:szCs w:val="21"/>
                    </w:rPr>
                    <w:t>5</w:t>
                  </w:r>
                </w:p>
              </w:tc>
              <w:tc>
                <w:tcPr>
                  <w:tcW w:w="1686" w:type="pct"/>
                  <w:shd w:val="clear" w:color="auto" w:fill="auto"/>
                  <w:vAlign w:val="center"/>
                </w:tcPr>
                <w:p w14:paraId="3B794C0B">
                  <w:pPr>
                    <w:spacing w:line="300" w:lineRule="exact"/>
                    <w:jc w:val="center"/>
                    <w:rPr>
                      <w:szCs w:val="21"/>
                    </w:rPr>
                  </w:pPr>
                  <w:r>
                    <w:rPr>
                      <w:rFonts w:hint="eastAsia"/>
                      <w:szCs w:val="21"/>
                    </w:rPr>
                    <w:t>汽车用空调压缩机机壳</w:t>
                  </w:r>
                </w:p>
              </w:tc>
              <w:tc>
                <w:tcPr>
                  <w:tcW w:w="590" w:type="pct"/>
                  <w:vAlign w:val="center"/>
                </w:tcPr>
                <w:p w14:paraId="25F704A5">
                  <w:pPr>
                    <w:spacing w:line="300" w:lineRule="exact"/>
                    <w:jc w:val="center"/>
                    <w:rPr>
                      <w:szCs w:val="21"/>
                    </w:rPr>
                  </w:pPr>
                  <w:r>
                    <w:rPr>
                      <w:rFonts w:hint="eastAsia"/>
                      <w:szCs w:val="21"/>
                    </w:rPr>
                    <w:t>万件/年</w:t>
                  </w:r>
                </w:p>
              </w:tc>
              <w:tc>
                <w:tcPr>
                  <w:tcW w:w="674" w:type="pct"/>
                  <w:shd w:val="clear" w:color="auto" w:fill="auto"/>
                  <w:vAlign w:val="center"/>
                </w:tcPr>
                <w:p w14:paraId="743CA0BC">
                  <w:pPr>
                    <w:spacing w:line="300" w:lineRule="exact"/>
                    <w:jc w:val="center"/>
                    <w:rPr>
                      <w:szCs w:val="21"/>
                    </w:rPr>
                  </w:pPr>
                  <w:r>
                    <w:rPr>
                      <w:rFonts w:hint="eastAsia"/>
                      <w:szCs w:val="21"/>
                    </w:rPr>
                    <w:t>1</w:t>
                  </w:r>
                  <w:r>
                    <w:rPr>
                      <w:szCs w:val="21"/>
                    </w:rPr>
                    <w:t>00</w:t>
                  </w:r>
                </w:p>
              </w:tc>
              <w:tc>
                <w:tcPr>
                  <w:tcW w:w="927" w:type="pct"/>
                  <w:shd w:val="clear" w:color="auto" w:fill="auto"/>
                  <w:vAlign w:val="center"/>
                </w:tcPr>
                <w:p w14:paraId="3B9F948F">
                  <w:pPr>
                    <w:spacing w:line="300" w:lineRule="exact"/>
                    <w:jc w:val="center"/>
                    <w:rPr>
                      <w:szCs w:val="21"/>
                    </w:rPr>
                  </w:pPr>
                  <w:r>
                    <w:rPr>
                      <w:szCs w:val="21"/>
                    </w:rPr>
                    <w:t>50</w:t>
                  </w:r>
                </w:p>
              </w:tc>
              <w:tc>
                <w:tcPr>
                  <w:tcW w:w="687" w:type="pct"/>
                  <w:shd w:val="clear" w:color="auto" w:fill="auto"/>
                  <w:vAlign w:val="center"/>
                </w:tcPr>
                <w:p w14:paraId="4481B5C1">
                  <w:pPr>
                    <w:spacing w:line="300" w:lineRule="exact"/>
                    <w:jc w:val="center"/>
                    <w:rPr>
                      <w:szCs w:val="21"/>
                    </w:rPr>
                  </w:pPr>
                  <w:r>
                    <w:rPr>
                      <w:szCs w:val="21"/>
                    </w:rPr>
                    <w:t>150</w:t>
                  </w:r>
                </w:p>
              </w:tc>
            </w:tr>
            <w:tr w14:paraId="1F83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3ABF9546">
                  <w:pPr>
                    <w:spacing w:line="300" w:lineRule="exact"/>
                    <w:jc w:val="center"/>
                    <w:rPr>
                      <w:szCs w:val="21"/>
                    </w:rPr>
                  </w:pPr>
                  <w:r>
                    <w:rPr>
                      <w:rFonts w:hint="eastAsia"/>
                      <w:szCs w:val="21"/>
                    </w:rPr>
                    <w:t>6</w:t>
                  </w:r>
                </w:p>
              </w:tc>
              <w:tc>
                <w:tcPr>
                  <w:tcW w:w="1686" w:type="pct"/>
                  <w:shd w:val="clear" w:color="auto" w:fill="auto"/>
                  <w:vAlign w:val="center"/>
                </w:tcPr>
                <w:p w14:paraId="714A27C2">
                  <w:pPr>
                    <w:spacing w:line="300" w:lineRule="exact"/>
                    <w:jc w:val="center"/>
                    <w:rPr>
                      <w:szCs w:val="21"/>
                    </w:rPr>
                  </w:pPr>
                  <w:r>
                    <w:rPr>
                      <w:rFonts w:hint="eastAsia"/>
                      <w:szCs w:val="21"/>
                    </w:rPr>
                    <w:t>汽车用空调压缩机静涡盘</w:t>
                  </w:r>
                </w:p>
              </w:tc>
              <w:tc>
                <w:tcPr>
                  <w:tcW w:w="590" w:type="pct"/>
                  <w:vAlign w:val="center"/>
                </w:tcPr>
                <w:p w14:paraId="5950642D">
                  <w:pPr>
                    <w:spacing w:line="300" w:lineRule="exact"/>
                    <w:jc w:val="center"/>
                    <w:rPr>
                      <w:szCs w:val="21"/>
                    </w:rPr>
                  </w:pPr>
                  <w:r>
                    <w:rPr>
                      <w:rFonts w:hint="eastAsia"/>
                      <w:szCs w:val="21"/>
                    </w:rPr>
                    <w:t>万件/年</w:t>
                  </w:r>
                </w:p>
              </w:tc>
              <w:tc>
                <w:tcPr>
                  <w:tcW w:w="674" w:type="pct"/>
                  <w:shd w:val="clear" w:color="auto" w:fill="auto"/>
                  <w:vAlign w:val="center"/>
                </w:tcPr>
                <w:p w14:paraId="4D95A8BD">
                  <w:pPr>
                    <w:spacing w:line="300" w:lineRule="exact"/>
                    <w:jc w:val="center"/>
                    <w:rPr>
                      <w:szCs w:val="21"/>
                    </w:rPr>
                  </w:pPr>
                  <w:r>
                    <w:rPr>
                      <w:rFonts w:hint="eastAsia"/>
                      <w:szCs w:val="21"/>
                    </w:rPr>
                    <w:t>0</w:t>
                  </w:r>
                </w:p>
              </w:tc>
              <w:tc>
                <w:tcPr>
                  <w:tcW w:w="927" w:type="pct"/>
                  <w:shd w:val="clear" w:color="auto" w:fill="auto"/>
                  <w:vAlign w:val="center"/>
                </w:tcPr>
                <w:p w14:paraId="76AB3BFD">
                  <w:pPr>
                    <w:spacing w:line="300" w:lineRule="exact"/>
                    <w:jc w:val="center"/>
                    <w:rPr>
                      <w:szCs w:val="21"/>
                    </w:rPr>
                  </w:pPr>
                  <w:r>
                    <w:rPr>
                      <w:rFonts w:hint="eastAsia"/>
                      <w:szCs w:val="21"/>
                    </w:rPr>
                    <w:t>1</w:t>
                  </w:r>
                  <w:r>
                    <w:rPr>
                      <w:szCs w:val="21"/>
                    </w:rPr>
                    <w:t>50</w:t>
                  </w:r>
                </w:p>
              </w:tc>
              <w:tc>
                <w:tcPr>
                  <w:tcW w:w="687" w:type="pct"/>
                  <w:shd w:val="clear" w:color="auto" w:fill="auto"/>
                  <w:vAlign w:val="center"/>
                </w:tcPr>
                <w:p w14:paraId="04F78A8D">
                  <w:pPr>
                    <w:spacing w:line="300" w:lineRule="exact"/>
                    <w:jc w:val="center"/>
                    <w:rPr>
                      <w:szCs w:val="21"/>
                    </w:rPr>
                  </w:pPr>
                  <w:r>
                    <w:rPr>
                      <w:rFonts w:hint="eastAsia"/>
                      <w:szCs w:val="21"/>
                    </w:rPr>
                    <w:t>1</w:t>
                  </w:r>
                  <w:r>
                    <w:rPr>
                      <w:szCs w:val="21"/>
                    </w:rPr>
                    <w:t>50</w:t>
                  </w:r>
                </w:p>
              </w:tc>
            </w:tr>
            <w:tr w14:paraId="14B8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437DEA3E">
                  <w:pPr>
                    <w:spacing w:line="300" w:lineRule="exact"/>
                    <w:jc w:val="center"/>
                    <w:rPr>
                      <w:szCs w:val="21"/>
                    </w:rPr>
                  </w:pPr>
                  <w:r>
                    <w:rPr>
                      <w:rFonts w:hint="eastAsia"/>
                      <w:szCs w:val="21"/>
                    </w:rPr>
                    <w:t>7</w:t>
                  </w:r>
                </w:p>
              </w:tc>
              <w:tc>
                <w:tcPr>
                  <w:tcW w:w="1686" w:type="pct"/>
                  <w:shd w:val="clear" w:color="auto" w:fill="auto"/>
                  <w:vAlign w:val="center"/>
                </w:tcPr>
                <w:p w14:paraId="6850A143">
                  <w:pPr>
                    <w:spacing w:line="300" w:lineRule="exact"/>
                    <w:jc w:val="center"/>
                    <w:rPr>
                      <w:szCs w:val="21"/>
                    </w:rPr>
                  </w:pPr>
                  <w:r>
                    <w:rPr>
                      <w:rFonts w:hint="eastAsia"/>
                      <w:szCs w:val="21"/>
                    </w:rPr>
                    <w:t>汽车用空调压缩机涡盘前盖</w:t>
                  </w:r>
                </w:p>
              </w:tc>
              <w:tc>
                <w:tcPr>
                  <w:tcW w:w="590" w:type="pct"/>
                  <w:vAlign w:val="center"/>
                </w:tcPr>
                <w:p w14:paraId="515592CC">
                  <w:pPr>
                    <w:spacing w:line="300" w:lineRule="exact"/>
                    <w:jc w:val="center"/>
                    <w:rPr>
                      <w:szCs w:val="21"/>
                    </w:rPr>
                  </w:pPr>
                  <w:r>
                    <w:rPr>
                      <w:rFonts w:hint="eastAsia"/>
                      <w:szCs w:val="21"/>
                    </w:rPr>
                    <w:t>万件/年</w:t>
                  </w:r>
                </w:p>
              </w:tc>
              <w:tc>
                <w:tcPr>
                  <w:tcW w:w="674" w:type="pct"/>
                  <w:shd w:val="clear" w:color="auto" w:fill="auto"/>
                  <w:vAlign w:val="center"/>
                </w:tcPr>
                <w:p w14:paraId="2C20E8C3">
                  <w:pPr>
                    <w:spacing w:line="300" w:lineRule="exact"/>
                    <w:jc w:val="center"/>
                    <w:rPr>
                      <w:szCs w:val="21"/>
                    </w:rPr>
                  </w:pPr>
                  <w:r>
                    <w:rPr>
                      <w:rFonts w:hint="eastAsia"/>
                      <w:szCs w:val="21"/>
                    </w:rPr>
                    <w:t>0</w:t>
                  </w:r>
                </w:p>
              </w:tc>
              <w:tc>
                <w:tcPr>
                  <w:tcW w:w="927" w:type="pct"/>
                  <w:shd w:val="clear" w:color="auto" w:fill="auto"/>
                  <w:vAlign w:val="center"/>
                </w:tcPr>
                <w:p w14:paraId="0D0E0B79">
                  <w:pPr>
                    <w:spacing w:line="300" w:lineRule="exact"/>
                    <w:jc w:val="center"/>
                    <w:rPr>
                      <w:szCs w:val="21"/>
                    </w:rPr>
                  </w:pPr>
                  <w:r>
                    <w:rPr>
                      <w:rFonts w:hint="eastAsia"/>
                      <w:szCs w:val="21"/>
                    </w:rPr>
                    <w:t>1</w:t>
                  </w:r>
                  <w:r>
                    <w:rPr>
                      <w:szCs w:val="21"/>
                    </w:rPr>
                    <w:t>50</w:t>
                  </w:r>
                </w:p>
              </w:tc>
              <w:tc>
                <w:tcPr>
                  <w:tcW w:w="687" w:type="pct"/>
                  <w:shd w:val="clear" w:color="auto" w:fill="auto"/>
                  <w:vAlign w:val="center"/>
                </w:tcPr>
                <w:p w14:paraId="7C205FA1">
                  <w:pPr>
                    <w:spacing w:line="300" w:lineRule="exact"/>
                    <w:jc w:val="center"/>
                    <w:rPr>
                      <w:szCs w:val="21"/>
                    </w:rPr>
                  </w:pPr>
                  <w:r>
                    <w:rPr>
                      <w:rFonts w:hint="eastAsia"/>
                      <w:szCs w:val="21"/>
                    </w:rPr>
                    <w:t>1</w:t>
                  </w:r>
                  <w:r>
                    <w:rPr>
                      <w:szCs w:val="21"/>
                    </w:rPr>
                    <w:t>50</w:t>
                  </w:r>
                </w:p>
              </w:tc>
            </w:tr>
            <w:tr w14:paraId="5DFD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066D8FA3">
                  <w:pPr>
                    <w:spacing w:line="300" w:lineRule="exact"/>
                    <w:jc w:val="center"/>
                    <w:rPr>
                      <w:szCs w:val="21"/>
                    </w:rPr>
                  </w:pPr>
                  <w:r>
                    <w:rPr>
                      <w:rFonts w:hint="eastAsia"/>
                      <w:szCs w:val="21"/>
                    </w:rPr>
                    <w:t>8</w:t>
                  </w:r>
                </w:p>
              </w:tc>
              <w:tc>
                <w:tcPr>
                  <w:tcW w:w="1686" w:type="pct"/>
                  <w:shd w:val="clear" w:color="auto" w:fill="auto"/>
                  <w:vAlign w:val="center"/>
                </w:tcPr>
                <w:p w14:paraId="4451F4FD">
                  <w:pPr>
                    <w:spacing w:line="300" w:lineRule="exact"/>
                    <w:jc w:val="center"/>
                    <w:rPr>
                      <w:szCs w:val="21"/>
                    </w:rPr>
                  </w:pPr>
                  <w:r>
                    <w:rPr>
                      <w:rFonts w:hint="eastAsia"/>
                      <w:szCs w:val="21"/>
                    </w:rPr>
                    <w:t>汽车用空调压缩机电控盒</w:t>
                  </w:r>
                </w:p>
              </w:tc>
              <w:tc>
                <w:tcPr>
                  <w:tcW w:w="590" w:type="pct"/>
                  <w:vAlign w:val="center"/>
                </w:tcPr>
                <w:p w14:paraId="0BE40582">
                  <w:pPr>
                    <w:spacing w:line="300" w:lineRule="exact"/>
                    <w:jc w:val="center"/>
                    <w:rPr>
                      <w:szCs w:val="21"/>
                    </w:rPr>
                  </w:pPr>
                  <w:r>
                    <w:rPr>
                      <w:rFonts w:hint="eastAsia"/>
                      <w:szCs w:val="21"/>
                    </w:rPr>
                    <w:t>万件/年</w:t>
                  </w:r>
                </w:p>
              </w:tc>
              <w:tc>
                <w:tcPr>
                  <w:tcW w:w="674" w:type="pct"/>
                  <w:shd w:val="clear" w:color="auto" w:fill="auto"/>
                  <w:vAlign w:val="center"/>
                </w:tcPr>
                <w:p w14:paraId="09E5A0CE">
                  <w:pPr>
                    <w:spacing w:line="300" w:lineRule="exact"/>
                    <w:jc w:val="center"/>
                    <w:rPr>
                      <w:szCs w:val="21"/>
                    </w:rPr>
                  </w:pPr>
                  <w:r>
                    <w:rPr>
                      <w:rFonts w:hint="eastAsia"/>
                      <w:szCs w:val="21"/>
                    </w:rPr>
                    <w:t>0</w:t>
                  </w:r>
                </w:p>
              </w:tc>
              <w:tc>
                <w:tcPr>
                  <w:tcW w:w="927" w:type="pct"/>
                  <w:shd w:val="clear" w:color="auto" w:fill="auto"/>
                  <w:vAlign w:val="center"/>
                </w:tcPr>
                <w:p w14:paraId="05F794B8">
                  <w:pPr>
                    <w:spacing w:line="300" w:lineRule="exact"/>
                    <w:jc w:val="center"/>
                    <w:rPr>
                      <w:szCs w:val="21"/>
                    </w:rPr>
                  </w:pPr>
                  <w:r>
                    <w:rPr>
                      <w:rFonts w:hint="eastAsia"/>
                      <w:szCs w:val="21"/>
                    </w:rPr>
                    <w:t>1</w:t>
                  </w:r>
                  <w:r>
                    <w:rPr>
                      <w:szCs w:val="21"/>
                    </w:rPr>
                    <w:t>00</w:t>
                  </w:r>
                </w:p>
              </w:tc>
              <w:tc>
                <w:tcPr>
                  <w:tcW w:w="687" w:type="pct"/>
                  <w:shd w:val="clear" w:color="auto" w:fill="auto"/>
                  <w:vAlign w:val="center"/>
                </w:tcPr>
                <w:p w14:paraId="32772AA3">
                  <w:pPr>
                    <w:spacing w:line="300" w:lineRule="exact"/>
                    <w:jc w:val="center"/>
                    <w:rPr>
                      <w:szCs w:val="21"/>
                    </w:rPr>
                  </w:pPr>
                  <w:r>
                    <w:rPr>
                      <w:rFonts w:hint="eastAsia"/>
                      <w:szCs w:val="21"/>
                    </w:rPr>
                    <w:t>1</w:t>
                  </w:r>
                  <w:r>
                    <w:rPr>
                      <w:szCs w:val="21"/>
                    </w:rPr>
                    <w:t>00</w:t>
                  </w:r>
                </w:p>
              </w:tc>
            </w:tr>
            <w:tr w14:paraId="3B6A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1A3CF9E0">
                  <w:pPr>
                    <w:spacing w:line="300" w:lineRule="exact"/>
                    <w:jc w:val="center"/>
                    <w:rPr>
                      <w:szCs w:val="21"/>
                    </w:rPr>
                  </w:pPr>
                  <w:r>
                    <w:rPr>
                      <w:rFonts w:hint="eastAsia"/>
                      <w:szCs w:val="21"/>
                    </w:rPr>
                    <w:t>9</w:t>
                  </w:r>
                </w:p>
              </w:tc>
              <w:tc>
                <w:tcPr>
                  <w:tcW w:w="1686" w:type="pct"/>
                  <w:shd w:val="clear" w:color="auto" w:fill="auto"/>
                  <w:vAlign w:val="center"/>
                </w:tcPr>
                <w:p w14:paraId="6D302A1C">
                  <w:pPr>
                    <w:spacing w:line="300" w:lineRule="exact"/>
                    <w:jc w:val="center"/>
                    <w:rPr>
                      <w:szCs w:val="21"/>
                    </w:rPr>
                  </w:pPr>
                  <w:r>
                    <w:rPr>
                      <w:rFonts w:hint="eastAsia"/>
                      <w:szCs w:val="21"/>
                    </w:rPr>
                    <w:t>汽车用空调压缩机端盖</w:t>
                  </w:r>
                </w:p>
              </w:tc>
              <w:tc>
                <w:tcPr>
                  <w:tcW w:w="590" w:type="pct"/>
                  <w:vAlign w:val="center"/>
                </w:tcPr>
                <w:p w14:paraId="31A1B9FC">
                  <w:pPr>
                    <w:spacing w:line="300" w:lineRule="exact"/>
                    <w:jc w:val="center"/>
                    <w:rPr>
                      <w:szCs w:val="21"/>
                    </w:rPr>
                  </w:pPr>
                  <w:r>
                    <w:rPr>
                      <w:rFonts w:hint="eastAsia"/>
                      <w:szCs w:val="21"/>
                    </w:rPr>
                    <w:t>万件/年</w:t>
                  </w:r>
                </w:p>
              </w:tc>
              <w:tc>
                <w:tcPr>
                  <w:tcW w:w="674" w:type="pct"/>
                  <w:shd w:val="clear" w:color="auto" w:fill="auto"/>
                  <w:vAlign w:val="center"/>
                </w:tcPr>
                <w:p w14:paraId="00A6FE70">
                  <w:pPr>
                    <w:spacing w:line="300" w:lineRule="exact"/>
                    <w:jc w:val="center"/>
                    <w:rPr>
                      <w:szCs w:val="21"/>
                    </w:rPr>
                  </w:pPr>
                  <w:r>
                    <w:rPr>
                      <w:rFonts w:hint="eastAsia"/>
                      <w:szCs w:val="21"/>
                    </w:rPr>
                    <w:t>0</w:t>
                  </w:r>
                </w:p>
              </w:tc>
              <w:tc>
                <w:tcPr>
                  <w:tcW w:w="927" w:type="pct"/>
                  <w:shd w:val="clear" w:color="auto" w:fill="auto"/>
                  <w:vAlign w:val="center"/>
                </w:tcPr>
                <w:p w14:paraId="4C69E0E1">
                  <w:pPr>
                    <w:spacing w:line="300" w:lineRule="exact"/>
                    <w:jc w:val="center"/>
                    <w:rPr>
                      <w:szCs w:val="21"/>
                    </w:rPr>
                  </w:pPr>
                  <w:r>
                    <w:rPr>
                      <w:rFonts w:hint="eastAsia"/>
                      <w:szCs w:val="21"/>
                    </w:rPr>
                    <w:t>1</w:t>
                  </w:r>
                  <w:r>
                    <w:rPr>
                      <w:szCs w:val="21"/>
                    </w:rPr>
                    <w:t>00</w:t>
                  </w:r>
                </w:p>
              </w:tc>
              <w:tc>
                <w:tcPr>
                  <w:tcW w:w="687" w:type="pct"/>
                  <w:shd w:val="clear" w:color="auto" w:fill="auto"/>
                  <w:vAlign w:val="center"/>
                </w:tcPr>
                <w:p w14:paraId="7E63F0BA">
                  <w:pPr>
                    <w:spacing w:line="300" w:lineRule="exact"/>
                    <w:jc w:val="center"/>
                    <w:rPr>
                      <w:szCs w:val="21"/>
                    </w:rPr>
                  </w:pPr>
                  <w:r>
                    <w:rPr>
                      <w:rFonts w:hint="eastAsia"/>
                      <w:szCs w:val="21"/>
                    </w:rPr>
                    <w:t>1</w:t>
                  </w:r>
                  <w:r>
                    <w:rPr>
                      <w:szCs w:val="21"/>
                    </w:rPr>
                    <w:t>00</w:t>
                  </w:r>
                </w:p>
              </w:tc>
            </w:tr>
            <w:tr w14:paraId="2553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pct"/>
                  <w:gridSpan w:val="2"/>
                  <w:shd w:val="clear" w:color="auto" w:fill="auto"/>
                  <w:vAlign w:val="center"/>
                </w:tcPr>
                <w:p w14:paraId="7F0B5A50">
                  <w:pPr>
                    <w:spacing w:line="300" w:lineRule="exact"/>
                    <w:jc w:val="center"/>
                    <w:rPr>
                      <w:szCs w:val="21"/>
                    </w:rPr>
                  </w:pPr>
                  <w:r>
                    <w:rPr>
                      <w:szCs w:val="21"/>
                    </w:rPr>
                    <w:t>合计</w:t>
                  </w:r>
                </w:p>
              </w:tc>
              <w:tc>
                <w:tcPr>
                  <w:tcW w:w="590" w:type="pct"/>
                  <w:vAlign w:val="center"/>
                </w:tcPr>
                <w:p w14:paraId="7FF16D96">
                  <w:pPr>
                    <w:spacing w:line="300" w:lineRule="exact"/>
                    <w:jc w:val="center"/>
                    <w:rPr>
                      <w:szCs w:val="21"/>
                    </w:rPr>
                  </w:pPr>
                  <w:r>
                    <w:rPr>
                      <w:rFonts w:hint="eastAsia"/>
                      <w:szCs w:val="21"/>
                    </w:rPr>
                    <w:t>/</w:t>
                  </w:r>
                </w:p>
              </w:tc>
              <w:tc>
                <w:tcPr>
                  <w:tcW w:w="674" w:type="pct"/>
                  <w:shd w:val="clear" w:color="auto" w:fill="auto"/>
                  <w:vAlign w:val="center"/>
                </w:tcPr>
                <w:p w14:paraId="6154E497">
                  <w:pPr>
                    <w:spacing w:line="300" w:lineRule="exact"/>
                    <w:jc w:val="center"/>
                    <w:rPr>
                      <w:szCs w:val="21"/>
                    </w:rPr>
                  </w:pPr>
                  <w:r>
                    <w:rPr>
                      <w:szCs w:val="21"/>
                    </w:rPr>
                    <w:fldChar w:fldCharType="begin"/>
                  </w:r>
                  <w:r>
                    <w:rPr>
                      <w:szCs w:val="21"/>
                    </w:rPr>
                    <w:instrText xml:space="preserve"> =SUM(ABOVE) </w:instrText>
                  </w:r>
                  <w:r>
                    <w:rPr>
                      <w:szCs w:val="21"/>
                    </w:rPr>
                    <w:fldChar w:fldCharType="separate"/>
                  </w:r>
                  <w:r>
                    <w:rPr>
                      <w:szCs w:val="21"/>
                    </w:rPr>
                    <w:t>500</w:t>
                  </w:r>
                  <w:r>
                    <w:rPr>
                      <w:szCs w:val="21"/>
                    </w:rPr>
                    <w:fldChar w:fldCharType="end"/>
                  </w:r>
                </w:p>
              </w:tc>
              <w:tc>
                <w:tcPr>
                  <w:tcW w:w="927" w:type="pct"/>
                  <w:shd w:val="clear" w:color="auto" w:fill="auto"/>
                  <w:vAlign w:val="center"/>
                </w:tcPr>
                <w:p w14:paraId="1196892E">
                  <w:pPr>
                    <w:spacing w:line="300" w:lineRule="exact"/>
                    <w:jc w:val="center"/>
                    <w:rPr>
                      <w:szCs w:val="21"/>
                    </w:rPr>
                  </w:pPr>
                  <w:r>
                    <w:rPr>
                      <w:szCs w:val="21"/>
                    </w:rPr>
                    <w:fldChar w:fldCharType="begin"/>
                  </w:r>
                  <w:r>
                    <w:rPr>
                      <w:szCs w:val="21"/>
                    </w:rPr>
                    <w:instrText xml:space="preserve"> =SUM(ABOVE) </w:instrText>
                  </w:r>
                  <w:r>
                    <w:rPr>
                      <w:szCs w:val="21"/>
                    </w:rPr>
                    <w:fldChar w:fldCharType="separate"/>
                  </w:r>
                  <w:r>
                    <w:rPr>
                      <w:szCs w:val="21"/>
                    </w:rPr>
                    <w:t>300</w:t>
                  </w:r>
                  <w:r>
                    <w:rPr>
                      <w:szCs w:val="21"/>
                    </w:rPr>
                    <w:fldChar w:fldCharType="end"/>
                  </w:r>
                </w:p>
              </w:tc>
              <w:tc>
                <w:tcPr>
                  <w:tcW w:w="687" w:type="pct"/>
                  <w:shd w:val="clear" w:color="auto" w:fill="auto"/>
                  <w:vAlign w:val="center"/>
                </w:tcPr>
                <w:p w14:paraId="786FEC9E">
                  <w:pPr>
                    <w:spacing w:line="300" w:lineRule="exact"/>
                    <w:jc w:val="center"/>
                    <w:rPr>
                      <w:szCs w:val="21"/>
                    </w:rPr>
                  </w:pPr>
                  <w:r>
                    <w:rPr>
                      <w:szCs w:val="21"/>
                    </w:rPr>
                    <w:fldChar w:fldCharType="begin"/>
                  </w:r>
                  <w:r>
                    <w:rPr>
                      <w:szCs w:val="21"/>
                    </w:rPr>
                    <w:instrText xml:space="preserve"> </w:instrText>
                  </w:r>
                  <w:r>
                    <w:rPr>
                      <w:rFonts w:hint="eastAsia"/>
                      <w:szCs w:val="21"/>
                    </w:rPr>
                    <w:instrText xml:space="preserve">=SUM(ABOVE)</w:instrText>
                  </w:r>
                  <w:r>
                    <w:rPr>
                      <w:szCs w:val="21"/>
                    </w:rPr>
                    <w:instrText xml:space="preserve"> </w:instrText>
                  </w:r>
                  <w:r>
                    <w:rPr>
                      <w:szCs w:val="21"/>
                    </w:rPr>
                    <w:fldChar w:fldCharType="separate"/>
                  </w:r>
                  <w:r>
                    <w:rPr>
                      <w:szCs w:val="21"/>
                    </w:rPr>
                    <w:t>800</w:t>
                  </w:r>
                  <w:r>
                    <w:rPr>
                      <w:szCs w:val="21"/>
                    </w:rPr>
                    <w:fldChar w:fldCharType="end"/>
                  </w:r>
                </w:p>
              </w:tc>
            </w:tr>
          </w:tbl>
          <w:p w14:paraId="26D3B6FE">
            <w:pPr>
              <w:adjustRightInd w:val="0"/>
              <w:snapToGrid w:val="0"/>
              <w:spacing w:line="360" w:lineRule="auto"/>
              <w:jc w:val="left"/>
              <w:rPr>
                <w:b/>
                <w:sz w:val="24"/>
              </w:rPr>
            </w:pPr>
            <w:r>
              <w:rPr>
                <w:b/>
                <w:sz w:val="24"/>
              </w:rPr>
              <w:t>5、主要生产设施及设施参数</w:t>
            </w:r>
          </w:p>
          <w:p w14:paraId="10A514A6">
            <w:pPr>
              <w:adjustRightInd w:val="0"/>
              <w:snapToGrid w:val="0"/>
              <w:spacing w:line="360" w:lineRule="auto"/>
              <w:ind w:firstLine="480" w:firstLineChars="200"/>
              <w:jc w:val="left"/>
              <w:rPr>
                <w:sz w:val="24"/>
              </w:rPr>
            </w:pPr>
            <w:r>
              <w:rPr>
                <w:rFonts w:hint="eastAsia"/>
                <w:sz w:val="24"/>
              </w:rPr>
              <w:t>项目拟建设熔化工序、压铸工序、表面清理工序、抛丸工序、机加工工序、浸渗工序、清洗工序、检验工序、包装工序、模具维修工序</w:t>
            </w:r>
            <w:r>
              <w:rPr>
                <w:sz w:val="24"/>
              </w:rPr>
              <w:t>，</w:t>
            </w:r>
            <w:r>
              <w:rPr>
                <w:rFonts w:hint="eastAsia"/>
                <w:sz w:val="24"/>
              </w:rPr>
              <w:t>在现有工程已有设备的基础上，新增部分设备</w:t>
            </w:r>
            <w:r>
              <w:rPr>
                <w:sz w:val="24"/>
              </w:rPr>
              <w:t>，目生产设施见表2-3。</w:t>
            </w:r>
          </w:p>
          <w:p w14:paraId="56796E21">
            <w:pPr>
              <w:adjustRightInd w:val="0"/>
              <w:snapToGrid w:val="0"/>
              <w:spacing w:line="360" w:lineRule="auto"/>
              <w:jc w:val="center"/>
              <w:rPr>
                <w:sz w:val="24"/>
              </w:rPr>
            </w:pPr>
            <w:r>
              <w:rPr>
                <w:sz w:val="24"/>
              </w:rPr>
              <w:t>表2-3  项目</w:t>
            </w:r>
            <w:r>
              <w:rPr>
                <w:rFonts w:hint="eastAsia"/>
                <w:sz w:val="24"/>
              </w:rPr>
              <w:t>主要</w:t>
            </w:r>
            <w:r>
              <w:rPr>
                <w:sz w:val="24"/>
              </w:rPr>
              <w:t>生产设施一览表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6"/>
              <w:gridCol w:w="1550"/>
              <w:gridCol w:w="847"/>
              <w:gridCol w:w="987"/>
              <w:gridCol w:w="2752"/>
              <w:gridCol w:w="1533"/>
            </w:tblGrid>
            <w:tr w14:paraId="7B8C3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2DC38C4A">
                  <w:pPr>
                    <w:widowControl/>
                    <w:jc w:val="center"/>
                    <w:rPr>
                      <w:kern w:val="0"/>
                      <w:szCs w:val="21"/>
                    </w:rPr>
                  </w:pPr>
                  <w:r>
                    <w:rPr>
                      <w:kern w:val="0"/>
                      <w:szCs w:val="21"/>
                    </w:rPr>
                    <w:t>序号</w:t>
                  </w:r>
                </w:p>
              </w:tc>
              <w:tc>
                <w:tcPr>
                  <w:tcW w:w="1550" w:type="dxa"/>
                  <w:shd w:val="clear" w:color="auto" w:fill="auto"/>
                  <w:noWrap/>
                  <w:vAlign w:val="center"/>
                </w:tcPr>
                <w:p w14:paraId="3D7CE353">
                  <w:pPr>
                    <w:widowControl/>
                    <w:jc w:val="center"/>
                    <w:rPr>
                      <w:kern w:val="0"/>
                      <w:szCs w:val="21"/>
                    </w:rPr>
                  </w:pPr>
                  <w:r>
                    <w:rPr>
                      <w:kern w:val="0"/>
                      <w:szCs w:val="21"/>
                    </w:rPr>
                    <w:t>设备名称</w:t>
                  </w:r>
                </w:p>
              </w:tc>
              <w:tc>
                <w:tcPr>
                  <w:tcW w:w="847" w:type="dxa"/>
                  <w:shd w:val="clear" w:color="auto" w:fill="auto"/>
                  <w:noWrap/>
                  <w:vAlign w:val="center"/>
                </w:tcPr>
                <w:p w14:paraId="2E366884">
                  <w:pPr>
                    <w:widowControl/>
                    <w:jc w:val="center"/>
                    <w:rPr>
                      <w:kern w:val="0"/>
                      <w:szCs w:val="21"/>
                    </w:rPr>
                  </w:pPr>
                  <w:r>
                    <w:rPr>
                      <w:kern w:val="0"/>
                      <w:szCs w:val="21"/>
                    </w:rPr>
                    <w:t>数量</w:t>
                  </w:r>
                </w:p>
              </w:tc>
              <w:tc>
                <w:tcPr>
                  <w:tcW w:w="987" w:type="dxa"/>
                  <w:shd w:val="clear" w:color="auto" w:fill="auto"/>
                  <w:noWrap/>
                  <w:vAlign w:val="center"/>
                </w:tcPr>
                <w:p w14:paraId="1E9CBF95">
                  <w:pPr>
                    <w:widowControl/>
                    <w:jc w:val="center"/>
                    <w:rPr>
                      <w:kern w:val="0"/>
                      <w:szCs w:val="21"/>
                    </w:rPr>
                  </w:pPr>
                  <w:r>
                    <w:rPr>
                      <w:kern w:val="0"/>
                      <w:szCs w:val="21"/>
                    </w:rPr>
                    <w:t>单位</w:t>
                  </w:r>
                </w:p>
              </w:tc>
              <w:tc>
                <w:tcPr>
                  <w:tcW w:w="2752" w:type="dxa"/>
                  <w:tcBorders>
                    <w:right w:val="single" w:color="auto" w:sz="4" w:space="0"/>
                  </w:tcBorders>
                  <w:shd w:val="clear" w:color="auto" w:fill="auto"/>
                  <w:noWrap/>
                  <w:vAlign w:val="center"/>
                </w:tcPr>
                <w:p w14:paraId="598E6240">
                  <w:pPr>
                    <w:widowControl/>
                    <w:jc w:val="center"/>
                    <w:rPr>
                      <w:kern w:val="0"/>
                      <w:szCs w:val="21"/>
                    </w:rPr>
                  </w:pPr>
                  <w:r>
                    <w:rPr>
                      <w:kern w:val="0"/>
                      <w:szCs w:val="21"/>
                    </w:rPr>
                    <w:t>规格型号</w:t>
                  </w:r>
                </w:p>
              </w:tc>
              <w:tc>
                <w:tcPr>
                  <w:tcW w:w="1533" w:type="dxa"/>
                  <w:tcBorders>
                    <w:left w:val="single" w:color="auto" w:sz="4" w:space="0"/>
                  </w:tcBorders>
                  <w:shd w:val="clear" w:color="auto" w:fill="auto"/>
                  <w:vAlign w:val="center"/>
                </w:tcPr>
                <w:p w14:paraId="02DAF394">
                  <w:pPr>
                    <w:widowControl/>
                    <w:jc w:val="center"/>
                    <w:rPr>
                      <w:kern w:val="0"/>
                      <w:szCs w:val="21"/>
                    </w:rPr>
                  </w:pPr>
                  <w:r>
                    <w:rPr>
                      <w:kern w:val="0"/>
                      <w:szCs w:val="21"/>
                    </w:rPr>
                    <w:t>备注</w:t>
                  </w:r>
                </w:p>
              </w:tc>
            </w:tr>
            <w:tr w14:paraId="4D178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07568FC5">
                  <w:pPr>
                    <w:widowControl/>
                    <w:rPr>
                      <w:kern w:val="0"/>
                      <w:szCs w:val="21"/>
                    </w:rPr>
                  </w:pPr>
                  <w:r>
                    <w:rPr>
                      <w:kern w:val="0"/>
                      <w:szCs w:val="21"/>
                    </w:rPr>
                    <w:t>一、熔化工序</w:t>
                  </w:r>
                </w:p>
              </w:tc>
            </w:tr>
            <w:tr w14:paraId="64C3B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9E5EDBB">
                  <w:pPr>
                    <w:widowControl/>
                    <w:jc w:val="center"/>
                    <w:rPr>
                      <w:kern w:val="0"/>
                      <w:szCs w:val="21"/>
                    </w:rPr>
                  </w:pPr>
                  <w:r>
                    <w:rPr>
                      <w:kern w:val="0"/>
                      <w:szCs w:val="21"/>
                    </w:rPr>
                    <w:t>1</w:t>
                  </w:r>
                </w:p>
              </w:tc>
              <w:tc>
                <w:tcPr>
                  <w:tcW w:w="1550" w:type="dxa"/>
                  <w:shd w:val="clear" w:color="auto" w:fill="auto"/>
                  <w:noWrap/>
                  <w:vAlign w:val="center"/>
                </w:tcPr>
                <w:p w14:paraId="2174D899">
                  <w:pPr>
                    <w:widowControl/>
                    <w:jc w:val="center"/>
                    <w:rPr>
                      <w:kern w:val="0"/>
                      <w:szCs w:val="21"/>
                    </w:rPr>
                  </w:pPr>
                  <w:r>
                    <w:rPr>
                      <w:kern w:val="0"/>
                      <w:szCs w:val="21"/>
                    </w:rPr>
                    <w:t>燃气熔化炉</w:t>
                  </w:r>
                </w:p>
              </w:tc>
              <w:tc>
                <w:tcPr>
                  <w:tcW w:w="847" w:type="dxa"/>
                  <w:shd w:val="clear" w:color="auto" w:fill="auto"/>
                  <w:noWrap/>
                  <w:vAlign w:val="center"/>
                </w:tcPr>
                <w:p w14:paraId="04089EA0">
                  <w:pPr>
                    <w:widowControl/>
                    <w:jc w:val="center"/>
                    <w:rPr>
                      <w:kern w:val="0"/>
                      <w:szCs w:val="21"/>
                    </w:rPr>
                  </w:pPr>
                  <w:r>
                    <w:rPr>
                      <w:kern w:val="0"/>
                      <w:szCs w:val="21"/>
                    </w:rPr>
                    <w:t>2</w:t>
                  </w:r>
                </w:p>
              </w:tc>
              <w:tc>
                <w:tcPr>
                  <w:tcW w:w="987" w:type="dxa"/>
                  <w:shd w:val="clear" w:color="auto" w:fill="auto"/>
                  <w:noWrap/>
                  <w:vAlign w:val="center"/>
                </w:tcPr>
                <w:p w14:paraId="3D7A6685">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192B310">
                  <w:pPr>
                    <w:widowControl/>
                    <w:jc w:val="center"/>
                    <w:rPr>
                      <w:kern w:val="0"/>
                      <w:szCs w:val="21"/>
                    </w:rPr>
                  </w:pPr>
                  <w:r>
                    <w:rPr>
                      <w:rFonts w:hint="eastAsia"/>
                      <w:kern w:val="0"/>
                      <w:szCs w:val="21"/>
                    </w:rPr>
                    <w:t>熔化能力1500 kg/h，</w:t>
                  </w:r>
                  <w:r>
                    <w:rPr>
                      <w:kern w:val="0"/>
                      <w:szCs w:val="21"/>
                    </w:rPr>
                    <w:t>750</w:t>
                  </w:r>
                  <w:r>
                    <w:rPr>
                      <w:rFonts w:hint="eastAsia"/>
                      <w:kern w:val="0"/>
                      <w:szCs w:val="21"/>
                    </w:rPr>
                    <w:t>kg/h</w:t>
                  </w:r>
                </w:p>
              </w:tc>
              <w:tc>
                <w:tcPr>
                  <w:tcW w:w="1533" w:type="dxa"/>
                  <w:vMerge w:val="restart"/>
                  <w:tcBorders>
                    <w:left w:val="single" w:color="auto" w:sz="4" w:space="0"/>
                  </w:tcBorders>
                  <w:shd w:val="clear" w:color="auto" w:fill="auto"/>
                  <w:vAlign w:val="center"/>
                </w:tcPr>
                <w:p w14:paraId="7A387EA8">
                  <w:pPr>
                    <w:widowControl/>
                    <w:jc w:val="center"/>
                    <w:rPr>
                      <w:kern w:val="0"/>
                      <w:szCs w:val="21"/>
                    </w:rPr>
                  </w:pPr>
                  <w:r>
                    <w:rPr>
                      <w:rFonts w:hint="eastAsia"/>
                      <w:kern w:val="0"/>
                      <w:szCs w:val="21"/>
                    </w:rPr>
                    <w:t>新增</w:t>
                  </w:r>
                </w:p>
              </w:tc>
            </w:tr>
            <w:tr w14:paraId="6E4FE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342A0DCD">
                  <w:pPr>
                    <w:widowControl/>
                    <w:jc w:val="center"/>
                    <w:rPr>
                      <w:kern w:val="0"/>
                      <w:szCs w:val="21"/>
                    </w:rPr>
                  </w:pPr>
                  <w:r>
                    <w:rPr>
                      <w:rFonts w:hint="eastAsia"/>
                      <w:kern w:val="0"/>
                      <w:szCs w:val="21"/>
                    </w:rPr>
                    <w:t>2</w:t>
                  </w:r>
                </w:p>
              </w:tc>
              <w:tc>
                <w:tcPr>
                  <w:tcW w:w="1550" w:type="dxa"/>
                  <w:shd w:val="clear" w:color="auto" w:fill="auto"/>
                  <w:noWrap/>
                  <w:vAlign w:val="center"/>
                </w:tcPr>
                <w:p w14:paraId="5737D514">
                  <w:pPr>
                    <w:widowControl/>
                    <w:jc w:val="center"/>
                    <w:rPr>
                      <w:kern w:val="0"/>
                      <w:szCs w:val="21"/>
                    </w:rPr>
                  </w:pPr>
                  <w:r>
                    <w:rPr>
                      <w:kern w:val="0"/>
                      <w:szCs w:val="21"/>
                    </w:rPr>
                    <w:t>燃气保温炉</w:t>
                  </w:r>
                </w:p>
              </w:tc>
              <w:tc>
                <w:tcPr>
                  <w:tcW w:w="847" w:type="dxa"/>
                  <w:shd w:val="clear" w:color="auto" w:fill="auto"/>
                  <w:noWrap/>
                  <w:vAlign w:val="center"/>
                </w:tcPr>
                <w:p w14:paraId="4D056783">
                  <w:pPr>
                    <w:widowControl/>
                    <w:jc w:val="center"/>
                    <w:rPr>
                      <w:kern w:val="0"/>
                      <w:szCs w:val="21"/>
                    </w:rPr>
                  </w:pPr>
                  <w:r>
                    <w:rPr>
                      <w:rFonts w:hint="eastAsia"/>
                      <w:kern w:val="0"/>
                      <w:szCs w:val="21"/>
                    </w:rPr>
                    <w:t>1</w:t>
                  </w:r>
                </w:p>
              </w:tc>
              <w:tc>
                <w:tcPr>
                  <w:tcW w:w="987" w:type="dxa"/>
                  <w:shd w:val="clear" w:color="auto" w:fill="auto"/>
                  <w:noWrap/>
                  <w:vAlign w:val="center"/>
                </w:tcPr>
                <w:p w14:paraId="3172D388">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FFDF26C">
                  <w:pPr>
                    <w:widowControl/>
                    <w:jc w:val="center"/>
                    <w:rPr>
                      <w:kern w:val="0"/>
                      <w:szCs w:val="21"/>
                    </w:rPr>
                  </w:pPr>
                  <w:r>
                    <w:rPr>
                      <w:rFonts w:hint="eastAsia"/>
                      <w:kern w:val="0"/>
                      <w:szCs w:val="21"/>
                    </w:rPr>
                    <w:t>/</w:t>
                  </w:r>
                </w:p>
              </w:tc>
              <w:tc>
                <w:tcPr>
                  <w:tcW w:w="1533" w:type="dxa"/>
                  <w:vMerge w:val="continue"/>
                  <w:tcBorders>
                    <w:left w:val="single" w:color="auto" w:sz="4" w:space="0"/>
                  </w:tcBorders>
                  <w:shd w:val="clear" w:color="auto" w:fill="auto"/>
                  <w:vAlign w:val="center"/>
                </w:tcPr>
                <w:p w14:paraId="4DD879B2">
                  <w:pPr>
                    <w:widowControl/>
                    <w:jc w:val="center"/>
                    <w:rPr>
                      <w:kern w:val="0"/>
                      <w:szCs w:val="21"/>
                    </w:rPr>
                  </w:pPr>
                </w:p>
              </w:tc>
            </w:tr>
            <w:tr w14:paraId="2BD58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8415" w:type="dxa"/>
                  <w:gridSpan w:val="6"/>
                  <w:vAlign w:val="center"/>
                </w:tcPr>
                <w:p w14:paraId="593DDFE2">
                  <w:pPr>
                    <w:widowControl/>
                    <w:rPr>
                      <w:kern w:val="0"/>
                      <w:szCs w:val="21"/>
                    </w:rPr>
                  </w:pPr>
                  <w:r>
                    <w:rPr>
                      <w:kern w:val="0"/>
                      <w:szCs w:val="21"/>
                    </w:rPr>
                    <w:t>二、压铸工序</w:t>
                  </w:r>
                </w:p>
              </w:tc>
            </w:tr>
            <w:tr w14:paraId="51838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218F691F">
                  <w:pPr>
                    <w:jc w:val="center"/>
                    <w:rPr>
                      <w:szCs w:val="21"/>
                    </w:rPr>
                  </w:pPr>
                  <w:r>
                    <w:rPr>
                      <w:szCs w:val="21"/>
                    </w:rPr>
                    <w:t>3</w:t>
                  </w:r>
                </w:p>
              </w:tc>
              <w:tc>
                <w:tcPr>
                  <w:tcW w:w="1550" w:type="dxa"/>
                  <w:shd w:val="clear" w:color="auto" w:fill="auto"/>
                  <w:noWrap/>
                  <w:vAlign w:val="center"/>
                </w:tcPr>
                <w:p w14:paraId="15746CE6">
                  <w:pPr>
                    <w:widowControl/>
                    <w:jc w:val="center"/>
                    <w:rPr>
                      <w:kern w:val="0"/>
                      <w:szCs w:val="21"/>
                    </w:rPr>
                  </w:pPr>
                  <w:r>
                    <w:rPr>
                      <w:kern w:val="0"/>
                      <w:szCs w:val="21"/>
                    </w:rPr>
                    <w:t>压铸机</w:t>
                  </w:r>
                </w:p>
              </w:tc>
              <w:tc>
                <w:tcPr>
                  <w:tcW w:w="847" w:type="dxa"/>
                  <w:shd w:val="clear" w:color="auto" w:fill="auto"/>
                  <w:noWrap/>
                  <w:vAlign w:val="center"/>
                </w:tcPr>
                <w:p w14:paraId="01807884">
                  <w:pPr>
                    <w:widowControl/>
                    <w:jc w:val="center"/>
                    <w:rPr>
                      <w:kern w:val="0"/>
                      <w:szCs w:val="21"/>
                    </w:rPr>
                  </w:pPr>
                  <w:r>
                    <w:rPr>
                      <w:kern w:val="0"/>
                      <w:szCs w:val="21"/>
                    </w:rPr>
                    <w:t>2</w:t>
                  </w:r>
                </w:p>
              </w:tc>
              <w:tc>
                <w:tcPr>
                  <w:tcW w:w="987" w:type="dxa"/>
                  <w:shd w:val="clear" w:color="auto" w:fill="auto"/>
                  <w:noWrap/>
                  <w:vAlign w:val="center"/>
                </w:tcPr>
                <w:p w14:paraId="7CB94DB2">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3083D92E">
                  <w:pPr>
                    <w:widowControl/>
                    <w:jc w:val="center"/>
                    <w:rPr>
                      <w:kern w:val="0"/>
                      <w:szCs w:val="21"/>
                    </w:rPr>
                  </w:pPr>
                  <w:r>
                    <w:rPr>
                      <w:kern w:val="0"/>
                      <w:szCs w:val="21"/>
                    </w:rPr>
                    <w:t>DC800r-MX</w:t>
                  </w:r>
                </w:p>
              </w:tc>
              <w:tc>
                <w:tcPr>
                  <w:tcW w:w="1533" w:type="dxa"/>
                  <w:vMerge w:val="restart"/>
                  <w:tcBorders>
                    <w:left w:val="single" w:color="auto" w:sz="4" w:space="0"/>
                  </w:tcBorders>
                  <w:shd w:val="clear" w:color="auto" w:fill="auto"/>
                  <w:vAlign w:val="center"/>
                </w:tcPr>
                <w:p w14:paraId="1E2E767B">
                  <w:pPr>
                    <w:jc w:val="center"/>
                    <w:rPr>
                      <w:kern w:val="0"/>
                      <w:szCs w:val="21"/>
                    </w:rPr>
                  </w:pPr>
                  <w:r>
                    <w:rPr>
                      <w:rFonts w:hint="eastAsia"/>
                      <w:kern w:val="0"/>
                      <w:szCs w:val="21"/>
                    </w:rPr>
                    <w:t>利旧6台，新增6台</w:t>
                  </w:r>
                </w:p>
              </w:tc>
            </w:tr>
            <w:tr w14:paraId="5092A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83B37A4">
                  <w:pPr>
                    <w:jc w:val="center"/>
                    <w:rPr>
                      <w:szCs w:val="21"/>
                    </w:rPr>
                  </w:pPr>
                  <w:r>
                    <w:rPr>
                      <w:szCs w:val="21"/>
                    </w:rPr>
                    <w:t>4</w:t>
                  </w:r>
                </w:p>
              </w:tc>
              <w:tc>
                <w:tcPr>
                  <w:tcW w:w="1550" w:type="dxa"/>
                  <w:shd w:val="clear" w:color="auto" w:fill="auto"/>
                  <w:noWrap/>
                  <w:vAlign w:val="center"/>
                </w:tcPr>
                <w:p w14:paraId="48631945">
                  <w:pPr>
                    <w:widowControl/>
                    <w:jc w:val="center"/>
                    <w:rPr>
                      <w:kern w:val="0"/>
                      <w:szCs w:val="21"/>
                    </w:rPr>
                  </w:pPr>
                  <w:r>
                    <w:rPr>
                      <w:kern w:val="0"/>
                      <w:szCs w:val="21"/>
                    </w:rPr>
                    <w:t>压铸机</w:t>
                  </w:r>
                </w:p>
              </w:tc>
              <w:tc>
                <w:tcPr>
                  <w:tcW w:w="847" w:type="dxa"/>
                  <w:shd w:val="clear" w:color="auto" w:fill="auto"/>
                  <w:noWrap/>
                  <w:vAlign w:val="center"/>
                </w:tcPr>
                <w:p w14:paraId="11738041">
                  <w:pPr>
                    <w:widowControl/>
                    <w:jc w:val="center"/>
                    <w:rPr>
                      <w:kern w:val="0"/>
                      <w:szCs w:val="21"/>
                    </w:rPr>
                  </w:pPr>
                  <w:r>
                    <w:rPr>
                      <w:kern w:val="0"/>
                      <w:szCs w:val="21"/>
                    </w:rPr>
                    <w:t>2</w:t>
                  </w:r>
                </w:p>
              </w:tc>
              <w:tc>
                <w:tcPr>
                  <w:tcW w:w="987" w:type="dxa"/>
                  <w:shd w:val="clear" w:color="auto" w:fill="auto"/>
                  <w:noWrap/>
                  <w:vAlign w:val="center"/>
                </w:tcPr>
                <w:p w14:paraId="3621763F">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FCDC215">
                  <w:pPr>
                    <w:widowControl/>
                    <w:jc w:val="center"/>
                    <w:rPr>
                      <w:kern w:val="0"/>
                      <w:szCs w:val="21"/>
                    </w:rPr>
                  </w:pPr>
                  <w:r>
                    <w:rPr>
                      <w:kern w:val="0"/>
                      <w:szCs w:val="21"/>
                    </w:rPr>
                    <w:t>UB850-is2</w:t>
                  </w:r>
                </w:p>
              </w:tc>
              <w:tc>
                <w:tcPr>
                  <w:tcW w:w="1533" w:type="dxa"/>
                  <w:vMerge w:val="continue"/>
                  <w:tcBorders>
                    <w:left w:val="single" w:color="auto" w:sz="4" w:space="0"/>
                  </w:tcBorders>
                  <w:shd w:val="clear" w:color="auto" w:fill="auto"/>
                  <w:vAlign w:val="center"/>
                </w:tcPr>
                <w:p w14:paraId="59C5BF54">
                  <w:pPr>
                    <w:jc w:val="center"/>
                    <w:rPr>
                      <w:kern w:val="0"/>
                      <w:szCs w:val="21"/>
                    </w:rPr>
                  </w:pPr>
                </w:p>
              </w:tc>
            </w:tr>
            <w:tr w14:paraId="3ABC3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4E42116">
                  <w:pPr>
                    <w:jc w:val="center"/>
                    <w:rPr>
                      <w:szCs w:val="21"/>
                    </w:rPr>
                  </w:pPr>
                  <w:r>
                    <w:rPr>
                      <w:szCs w:val="21"/>
                    </w:rPr>
                    <w:t>5</w:t>
                  </w:r>
                </w:p>
              </w:tc>
              <w:tc>
                <w:tcPr>
                  <w:tcW w:w="1550" w:type="dxa"/>
                  <w:shd w:val="clear" w:color="auto" w:fill="auto"/>
                  <w:noWrap/>
                  <w:vAlign w:val="center"/>
                </w:tcPr>
                <w:p w14:paraId="6CCABB91">
                  <w:pPr>
                    <w:widowControl/>
                    <w:jc w:val="center"/>
                    <w:rPr>
                      <w:kern w:val="0"/>
                      <w:szCs w:val="21"/>
                    </w:rPr>
                  </w:pPr>
                  <w:r>
                    <w:rPr>
                      <w:kern w:val="0"/>
                      <w:szCs w:val="21"/>
                    </w:rPr>
                    <w:t>压铸机</w:t>
                  </w:r>
                </w:p>
              </w:tc>
              <w:tc>
                <w:tcPr>
                  <w:tcW w:w="847" w:type="dxa"/>
                  <w:shd w:val="clear" w:color="auto" w:fill="auto"/>
                  <w:noWrap/>
                  <w:vAlign w:val="center"/>
                </w:tcPr>
                <w:p w14:paraId="33B95C9E">
                  <w:pPr>
                    <w:widowControl/>
                    <w:jc w:val="center"/>
                    <w:rPr>
                      <w:kern w:val="0"/>
                      <w:szCs w:val="21"/>
                    </w:rPr>
                  </w:pPr>
                  <w:r>
                    <w:rPr>
                      <w:kern w:val="0"/>
                      <w:szCs w:val="21"/>
                    </w:rPr>
                    <w:t>2</w:t>
                  </w:r>
                </w:p>
              </w:tc>
              <w:tc>
                <w:tcPr>
                  <w:tcW w:w="987" w:type="dxa"/>
                  <w:shd w:val="clear" w:color="auto" w:fill="auto"/>
                  <w:noWrap/>
                  <w:vAlign w:val="center"/>
                </w:tcPr>
                <w:p w14:paraId="7CBA5504">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56AE075">
                  <w:pPr>
                    <w:widowControl/>
                    <w:jc w:val="center"/>
                    <w:rPr>
                      <w:kern w:val="0"/>
                      <w:szCs w:val="21"/>
                    </w:rPr>
                  </w:pPr>
                  <w:r>
                    <w:rPr>
                      <w:kern w:val="0"/>
                      <w:szCs w:val="21"/>
                    </w:rPr>
                    <w:t>DC500J-MX</w:t>
                  </w:r>
                </w:p>
              </w:tc>
              <w:tc>
                <w:tcPr>
                  <w:tcW w:w="1533" w:type="dxa"/>
                  <w:vMerge w:val="continue"/>
                  <w:tcBorders>
                    <w:left w:val="single" w:color="auto" w:sz="4" w:space="0"/>
                  </w:tcBorders>
                  <w:shd w:val="clear" w:color="auto" w:fill="auto"/>
                  <w:vAlign w:val="center"/>
                </w:tcPr>
                <w:p w14:paraId="066C52F0">
                  <w:pPr>
                    <w:jc w:val="center"/>
                    <w:rPr>
                      <w:kern w:val="0"/>
                      <w:szCs w:val="21"/>
                    </w:rPr>
                  </w:pPr>
                </w:p>
              </w:tc>
            </w:tr>
            <w:tr w14:paraId="12C11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7561199">
                  <w:pPr>
                    <w:jc w:val="center"/>
                    <w:rPr>
                      <w:szCs w:val="21"/>
                    </w:rPr>
                  </w:pPr>
                  <w:r>
                    <w:rPr>
                      <w:szCs w:val="21"/>
                    </w:rPr>
                    <w:t>6</w:t>
                  </w:r>
                </w:p>
              </w:tc>
              <w:tc>
                <w:tcPr>
                  <w:tcW w:w="1550" w:type="dxa"/>
                  <w:shd w:val="clear" w:color="auto" w:fill="auto"/>
                  <w:noWrap/>
                  <w:vAlign w:val="center"/>
                </w:tcPr>
                <w:p w14:paraId="2D2A96A1">
                  <w:pPr>
                    <w:widowControl/>
                    <w:jc w:val="center"/>
                    <w:rPr>
                      <w:kern w:val="0"/>
                      <w:szCs w:val="21"/>
                    </w:rPr>
                  </w:pPr>
                  <w:r>
                    <w:rPr>
                      <w:kern w:val="0"/>
                      <w:szCs w:val="21"/>
                    </w:rPr>
                    <w:t>压铸机</w:t>
                  </w:r>
                </w:p>
              </w:tc>
              <w:tc>
                <w:tcPr>
                  <w:tcW w:w="847" w:type="dxa"/>
                  <w:shd w:val="clear" w:color="auto" w:fill="auto"/>
                  <w:noWrap/>
                  <w:vAlign w:val="center"/>
                </w:tcPr>
                <w:p w14:paraId="0BC0D85A">
                  <w:pPr>
                    <w:widowControl/>
                    <w:jc w:val="center"/>
                    <w:rPr>
                      <w:kern w:val="0"/>
                      <w:szCs w:val="21"/>
                    </w:rPr>
                  </w:pPr>
                  <w:r>
                    <w:rPr>
                      <w:kern w:val="0"/>
                      <w:szCs w:val="21"/>
                    </w:rPr>
                    <w:t>4</w:t>
                  </w:r>
                </w:p>
              </w:tc>
              <w:tc>
                <w:tcPr>
                  <w:tcW w:w="987" w:type="dxa"/>
                  <w:shd w:val="clear" w:color="auto" w:fill="auto"/>
                  <w:noWrap/>
                  <w:vAlign w:val="center"/>
                </w:tcPr>
                <w:p w14:paraId="14F04B49">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82D0D89">
                  <w:pPr>
                    <w:widowControl/>
                    <w:jc w:val="center"/>
                    <w:rPr>
                      <w:kern w:val="0"/>
                      <w:szCs w:val="21"/>
                    </w:rPr>
                  </w:pPr>
                  <w:r>
                    <w:rPr>
                      <w:kern w:val="0"/>
                      <w:szCs w:val="21"/>
                    </w:rPr>
                    <w:t>DC500J</w:t>
                  </w:r>
                </w:p>
              </w:tc>
              <w:tc>
                <w:tcPr>
                  <w:tcW w:w="1533" w:type="dxa"/>
                  <w:vMerge w:val="continue"/>
                  <w:tcBorders>
                    <w:left w:val="single" w:color="auto" w:sz="4" w:space="0"/>
                  </w:tcBorders>
                  <w:shd w:val="clear" w:color="auto" w:fill="auto"/>
                  <w:vAlign w:val="center"/>
                </w:tcPr>
                <w:p w14:paraId="70BC51E3">
                  <w:pPr>
                    <w:jc w:val="center"/>
                    <w:rPr>
                      <w:kern w:val="0"/>
                      <w:szCs w:val="21"/>
                    </w:rPr>
                  </w:pPr>
                </w:p>
              </w:tc>
            </w:tr>
            <w:tr w14:paraId="2DD54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5D6EAC95">
                  <w:pPr>
                    <w:jc w:val="center"/>
                    <w:rPr>
                      <w:szCs w:val="21"/>
                    </w:rPr>
                  </w:pPr>
                  <w:r>
                    <w:rPr>
                      <w:szCs w:val="21"/>
                    </w:rPr>
                    <w:t>7</w:t>
                  </w:r>
                </w:p>
              </w:tc>
              <w:tc>
                <w:tcPr>
                  <w:tcW w:w="1550" w:type="dxa"/>
                  <w:shd w:val="clear" w:color="auto" w:fill="auto"/>
                  <w:noWrap/>
                  <w:vAlign w:val="center"/>
                </w:tcPr>
                <w:p w14:paraId="38DE6C64">
                  <w:pPr>
                    <w:widowControl/>
                    <w:jc w:val="center"/>
                    <w:rPr>
                      <w:kern w:val="0"/>
                      <w:szCs w:val="21"/>
                    </w:rPr>
                  </w:pPr>
                  <w:r>
                    <w:rPr>
                      <w:kern w:val="0"/>
                      <w:szCs w:val="21"/>
                    </w:rPr>
                    <w:t>压铸机</w:t>
                  </w:r>
                </w:p>
              </w:tc>
              <w:tc>
                <w:tcPr>
                  <w:tcW w:w="847" w:type="dxa"/>
                  <w:shd w:val="clear" w:color="auto" w:fill="auto"/>
                  <w:noWrap/>
                  <w:vAlign w:val="center"/>
                </w:tcPr>
                <w:p w14:paraId="6DD23015">
                  <w:pPr>
                    <w:widowControl/>
                    <w:jc w:val="center"/>
                    <w:rPr>
                      <w:kern w:val="0"/>
                      <w:szCs w:val="21"/>
                    </w:rPr>
                  </w:pPr>
                  <w:r>
                    <w:rPr>
                      <w:kern w:val="0"/>
                      <w:szCs w:val="21"/>
                    </w:rPr>
                    <w:t>2</w:t>
                  </w:r>
                </w:p>
              </w:tc>
              <w:tc>
                <w:tcPr>
                  <w:tcW w:w="987" w:type="dxa"/>
                  <w:shd w:val="clear" w:color="auto" w:fill="auto"/>
                  <w:noWrap/>
                  <w:vAlign w:val="center"/>
                </w:tcPr>
                <w:p w14:paraId="6FB0AF8B">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0E38FC3">
                  <w:pPr>
                    <w:widowControl/>
                    <w:jc w:val="center"/>
                    <w:rPr>
                      <w:kern w:val="0"/>
                      <w:szCs w:val="21"/>
                    </w:rPr>
                  </w:pPr>
                  <w:r>
                    <w:rPr>
                      <w:kern w:val="0"/>
                      <w:szCs w:val="21"/>
                    </w:rPr>
                    <w:t>DC650J</w:t>
                  </w:r>
                </w:p>
              </w:tc>
              <w:tc>
                <w:tcPr>
                  <w:tcW w:w="1533" w:type="dxa"/>
                  <w:vMerge w:val="continue"/>
                  <w:tcBorders>
                    <w:left w:val="single" w:color="auto" w:sz="4" w:space="0"/>
                  </w:tcBorders>
                  <w:shd w:val="clear" w:color="auto" w:fill="auto"/>
                  <w:vAlign w:val="center"/>
                </w:tcPr>
                <w:p w14:paraId="3EC4CAB6">
                  <w:pPr>
                    <w:jc w:val="center"/>
                    <w:rPr>
                      <w:kern w:val="0"/>
                      <w:szCs w:val="21"/>
                    </w:rPr>
                  </w:pPr>
                </w:p>
              </w:tc>
            </w:tr>
            <w:tr w14:paraId="2A573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1ED146A">
                  <w:pPr>
                    <w:jc w:val="center"/>
                    <w:rPr>
                      <w:szCs w:val="21"/>
                    </w:rPr>
                  </w:pPr>
                  <w:r>
                    <w:rPr>
                      <w:szCs w:val="21"/>
                    </w:rPr>
                    <w:t>8</w:t>
                  </w:r>
                </w:p>
              </w:tc>
              <w:tc>
                <w:tcPr>
                  <w:tcW w:w="1550" w:type="dxa"/>
                  <w:shd w:val="clear" w:color="auto" w:fill="auto"/>
                  <w:noWrap/>
                  <w:vAlign w:val="center"/>
                </w:tcPr>
                <w:p w14:paraId="6ECFABCE">
                  <w:pPr>
                    <w:widowControl/>
                    <w:jc w:val="center"/>
                    <w:rPr>
                      <w:kern w:val="0"/>
                      <w:szCs w:val="21"/>
                    </w:rPr>
                  </w:pPr>
                  <w:r>
                    <w:rPr>
                      <w:kern w:val="0"/>
                      <w:szCs w:val="21"/>
                    </w:rPr>
                    <w:t>燃气保温炉</w:t>
                  </w:r>
                </w:p>
              </w:tc>
              <w:tc>
                <w:tcPr>
                  <w:tcW w:w="847" w:type="dxa"/>
                  <w:shd w:val="clear" w:color="auto" w:fill="auto"/>
                  <w:noWrap/>
                  <w:vAlign w:val="center"/>
                </w:tcPr>
                <w:p w14:paraId="5A9FFDA9">
                  <w:pPr>
                    <w:widowControl/>
                    <w:jc w:val="center"/>
                    <w:rPr>
                      <w:kern w:val="0"/>
                      <w:szCs w:val="21"/>
                    </w:rPr>
                  </w:pPr>
                  <w:r>
                    <w:rPr>
                      <w:kern w:val="0"/>
                      <w:szCs w:val="21"/>
                    </w:rPr>
                    <w:t>4</w:t>
                  </w:r>
                </w:p>
              </w:tc>
              <w:tc>
                <w:tcPr>
                  <w:tcW w:w="987" w:type="dxa"/>
                  <w:shd w:val="clear" w:color="auto" w:fill="auto"/>
                  <w:noWrap/>
                  <w:vAlign w:val="center"/>
                </w:tcPr>
                <w:p w14:paraId="5D7B50D7">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906CA70">
                  <w:pPr>
                    <w:widowControl/>
                    <w:jc w:val="center"/>
                    <w:rPr>
                      <w:kern w:val="0"/>
                      <w:szCs w:val="21"/>
                    </w:rPr>
                  </w:pPr>
                  <w:r>
                    <w:rPr>
                      <w:kern w:val="0"/>
                      <w:szCs w:val="21"/>
                    </w:rPr>
                    <w:t>SGK-1000</w:t>
                  </w:r>
                </w:p>
              </w:tc>
              <w:tc>
                <w:tcPr>
                  <w:tcW w:w="1533" w:type="dxa"/>
                  <w:vMerge w:val="restart"/>
                  <w:tcBorders>
                    <w:left w:val="single" w:color="auto" w:sz="4" w:space="0"/>
                  </w:tcBorders>
                  <w:shd w:val="clear" w:color="auto" w:fill="auto"/>
                  <w:vAlign w:val="center"/>
                </w:tcPr>
                <w:p w14:paraId="4E8B55CC">
                  <w:pPr>
                    <w:jc w:val="center"/>
                    <w:rPr>
                      <w:kern w:val="0"/>
                      <w:szCs w:val="21"/>
                    </w:rPr>
                  </w:pPr>
                  <w:r>
                    <w:rPr>
                      <w:rFonts w:hint="eastAsia"/>
                      <w:kern w:val="0"/>
                      <w:szCs w:val="21"/>
                    </w:rPr>
                    <w:t>利旧6台，新增6台</w:t>
                  </w:r>
                </w:p>
              </w:tc>
            </w:tr>
            <w:tr w14:paraId="2B582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0B1A4B0">
                  <w:pPr>
                    <w:jc w:val="center"/>
                    <w:rPr>
                      <w:szCs w:val="21"/>
                    </w:rPr>
                  </w:pPr>
                  <w:r>
                    <w:rPr>
                      <w:szCs w:val="21"/>
                    </w:rPr>
                    <w:t>9</w:t>
                  </w:r>
                </w:p>
              </w:tc>
              <w:tc>
                <w:tcPr>
                  <w:tcW w:w="1550" w:type="dxa"/>
                  <w:shd w:val="clear" w:color="auto" w:fill="auto"/>
                  <w:noWrap/>
                  <w:vAlign w:val="center"/>
                </w:tcPr>
                <w:p w14:paraId="1A1C2563">
                  <w:pPr>
                    <w:widowControl/>
                    <w:jc w:val="center"/>
                    <w:rPr>
                      <w:kern w:val="0"/>
                      <w:szCs w:val="21"/>
                    </w:rPr>
                  </w:pPr>
                  <w:r>
                    <w:rPr>
                      <w:kern w:val="0"/>
                      <w:szCs w:val="21"/>
                    </w:rPr>
                    <w:t>燃气保温炉</w:t>
                  </w:r>
                </w:p>
              </w:tc>
              <w:tc>
                <w:tcPr>
                  <w:tcW w:w="847" w:type="dxa"/>
                  <w:shd w:val="clear" w:color="auto" w:fill="auto"/>
                  <w:noWrap/>
                  <w:vAlign w:val="center"/>
                </w:tcPr>
                <w:p w14:paraId="337C490B">
                  <w:pPr>
                    <w:widowControl/>
                    <w:jc w:val="center"/>
                    <w:rPr>
                      <w:kern w:val="0"/>
                      <w:szCs w:val="21"/>
                    </w:rPr>
                  </w:pPr>
                  <w:r>
                    <w:rPr>
                      <w:kern w:val="0"/>
                      <w:szCs w:val="21"/>
                    </w:rPr>
                    <w:t>8</w:t>
                  </w:r>
                </w:p>
              </w:tc>
              <w:tc>
                <w:tcPr>
                  <w:tcW w:w="987" w:type="dxa"/>
                  <w:shd w:val="clear" w:color="auto" w:fill="auto"/>
                  <w:noWrap/>
                  <w:vAlign w:val="center"/>
                </w:tcPr>
                <w:p w14:paraId="748A6117">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92E423F">
                  <w:pPr>
                    <w:widowControl/>
                    <w:jc w:val="center"/>
                    <w:rPr>
                      <w:kern w:val="0"/>
                      <w:szCs w:val="21"/>
                    </w:rPr>
                  </w:pPr>
                  <w:r>
                    <w:rPr>
                      <w:kern w:val="0"/>
                      <w:szCs w:val="21"/>
                    </w:rPr>
                    <w:t>SGK-850</w:t>
                  </w:r>
                </w:p>
              </w:tc>
              <w:tc>
                <w:tcPr>
                  <w:tcW w:w="1533" w:type="dxa"/>
                  <w:vMerge w:val="continue"/>
                  <w:tcBorders>
                    <w:left w:val="single" w:color="auto" w:sz="4" w:space="0"/>
                  </w:tcBorders>
                  <w:shd w:val="clear" w:color="auto" w:fill="auto"/>
                  <w:vAlign w:val="center"/>
                </w:tcPr>
                <w:p w14:paraId="3E26841D">
                  <w:pPr>
                    <w:widowControl/>
                    <w:jc w:val="center"/>
                    <w:rPr>
                      <w:kern w:val="0"/>
                      <w:szCs w:val="21"/>
                    </w:rPr>
                  </w:pPr>
                </w:p>
              </w:tc>
            </w:tr>
            <w:tr w14:paraId="4D6A6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462B8E3">
                  <w:pPr>
                    <w:jc w:val="center"/>
                    <w:rPr>
                      <w:szCs w:val="21"/>
                    </w:rPr>
                  </w:pPr>
                  <w:r>
                    <w:rPr>
                      <w:szCs w:val="21"/>
                    </w:rPr>
                    <w:t>10</w:t>
                  </w:r>
                </w:p>
              </w:tc>
              <w:tc>
                <w:tcPr>
                  <w:tcW w:w="1550" w:type="dxa"/>
                  <w:shd w:val="clear" w:color="auto" w:fill="auto"/>
                  <w:noWrap/>
                  <w:vAlign w:val="center"/>
                </w:tcPr>
                <w:p w14:paraId="39ABCA70">
                  <w:pPr>
                    <w:widowControl/>
                    <w:jc w:val="center"/>
                    <w:rPr>
                      <w:kern w:val="0"/>
                      <w:szCs w:val="21"/>
                    </w:rPr>
                  </w:pPr>
                  <w:r>
                    <w:rPr>
                      <w:kern w:val="0"/>
                      <w:szCs w:val="21"/>
                    </w:rPr>
                    <w:t>喷雾机器人</w:t>
                  </w:r>
                </w:p>
              </w:tc>
              <w:tc>
                <w:tcPr>
                  <w:tcW w:w="847" w:type="dxa"/>
                  <w:shd w:val="clear" w:color="auto" w:fill="auto"/>
                  <w:noWrap/>
                  <w:vAlign w:val="center"/>
                </w:tcPr>
                <w:p w14:paraId="332A6DD5">
                  <w:pPr>
                    <w:widowControl/>
                    <w:jc w:val="center"/>
                    <w:rPr>
                      <w:kern w:val="0"/>
                      <w:szCs w:val="21"/>
                    </w:rPr>
                  </w:pPr>
                  <w:r>
                    <w:rPr>
                      <w:kern w:val="0"/>
                      <w:szCs w:val="21"/>
                    </w:rPr>
                    <w:t>12</w:t>
                  </w:r>
                </w:p>
              </w:tc>
              <w:tc>
                <w:tcPr>
                  <w:tcW w:w="987" w:type="dxa"/>
                  <w:shd w:val="clear" w:color="auto" w:fill="auto"/>
                  <w:noWrap/>
                  <w:vAlign w:val="center"/>
                </w:tcPr>
                <w:p w14:paraId="1844E237">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D990482">
                  <w:pPr>
                    <w:widowControl/>
                    <w:jc w:val="center"/>
                    <w:rPr>
                      <w:kern w:val="0"/>
                      <w:szCs w:val="21"/>
                    </w:rPr>
                  </w:pPr>
                  <w:r>
                    <w:rPr>
                      <w:kern w:val="0"/>
                      <w:szCs w:val="21"/>
                    </w:rPr>
                    <w:t>R-30iA A05B-2552-B350</w:t>
                  </w:r>
                </w:p>
              </w:tc>
              <w:tc>
                <w:tcPr>
                  <w:tcW w:w="1533" w:type="dxa"/>
                  <w:tcBorders>
                    <w:left w:val="single" w:color="auto" w:sz="4" w:space="0"/>
                  </w:tcBorders>
                  <w:shd w:val="clear" w:color="auto" w:fill="auto"/>
                  <w:vAlign w:val="center"/>
                </w:tcPr>
                <w:p w14:paraId="2AF3F004">
                  <w:pPr>
                    <w:widowControl/>
                    <w:jc w:val="center"/>
                    <w:rPr>
                      <w:kern w:val="0"/>
                      <w:szCs w:val="21"/>
                    </w:rPr>
                  </w:pPr>
                  <w:r>
                    <w:rPr>
                      <w:rFonts w:hint="eastAsia"/>
                      <w:kern w:val="0"/>
                      <w:szCs w:val="21"/>
                    </w:rPr>
                    <w:t>利旧6台，新增6台</w:t>
                  </w:r>
                </w:p>
              </w:tc>
            </w:tr>
            <w:tr w14:paraId="6FE4D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4C560CD">
                  <w:pPr>
                    <w:jc w:val="center"/>
                    <w:rPr>
                      <w:szCs w:val="21"/>
                    </w:rPr>
                  </w:pPr>
                  <w:r>
                    <w:rPr>
                      <w:szCs w:val="21"/>
                    </w:rPr>
                    <w:t>11</w:t>
                  </w:r>
                </w:p>
              </w:tc>
              <w:tc>
                <w:tcPr>
                  <w:tcW w:w="1550" w:type="dxa"/>
                  <w:shd w:val="clear" w:color="auto" w:fill="auto"/>
                  <w:noWrap/>
                  <w:vAlign w:val="center"/>
                </w:tcPr>
                <w:p w14:paraId="06B977DC">
                  <w:pPr>
                    <w:widowControl/>
                    <w:jc w:val="center"/>
                    <w:rPr>
                      <w:kern w:val="0"/>
                      <w:szCs w:val="21"/>
                    </w:rPr>
                  </w:pPr>
                  <w:r>
                    <w:rPr>
                      <w:kern w:val="0"/>
                      <w:szCs w:val="21"/>
                    </w:rPr>
                    <w:t>取件机器人</w:t>
                  </w:r>
                </w:p>
              </w:tc>
              <w:tc>
                <w:tcPr>
                  <w:tcW w:w="847" w:type="dxa"/>
                  <w:shd w:val="clear" w:color="auto" w:fill="auto"/>
                  <w:noWrap/>
                  <w:vAlign w:val="center"/>
                </w:tcPr>
                <w:p w14:paraId="7190DDE9">
                  <w:pPr>
                    <w:widowControl/>
                    <w:jc w:val="center"/>
                    <w:rPr>
                      <w:kern w:val="0"/>
                      <w:szCs w:val="21"/>
                    </w:rPr>
                  </w:pPr>
                  <w:r>
                    <w:rPr>
                      <w:kern w:val="0"/>
                      <w:szCs w:val="21"/>
                    </w:rPr>
                    <w:t>12</w:t>
                  </w:r>
                </w:p>
              </w:tc>
              <w:tc>
                <w:tcPr>
                  <w:tcW w:w="987" w:type="dxa"/>
                  <w:shd w:val="clear" w:color="auto" w:fill="auto"/>
                  <w:noWrap/>
                  <w:vAlign w:val="center"/>
                </w:tcPr>
                <w:p w14:paraId="75449D2F">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5922BB4">
                  <w:pPr>
                    <w:widowControl/>
                    <w:jc w:val="center"/>
                    <w:rPr>
                      <w:kern w:val="0"/>
                      <w:szCs w:val="21"/>
                    </w:rPr>
                  </w:pPr>
                  <w:r>
                    <w:rPr>
                      <w:kern w:val="0"/>
                      <w:szCs w:val="21"/>
                    </w:rPr>
                    <w:t>"M710iC R-30iB</w:t>
                  </w:r>
                </w:p>
                <w:p w14:paraId="207A744F">
                  <w:pPr>
                    <w:widowControl/>
                    <w:jc w:val="center"/>
                    <w:rPr>
                      <w:kern w:val="0"/>
                      <w:szCs w:val="21"/>
                    </w:rPr>
                  </w:pPr>
                  <w:r>
                    <w:rPr>
                      <w:kern w:val="0"/>
                      <w:szCs w:val="21"/>
                    </w:rPr>
                    <w:t>A05B-2610-B202"</w:t>
                  </w:r>
                </w:p>
              </w:tc>
              <w:tc>
                <w:tcPr>
                  <w:tcW w:w="1533" w:type="dxa"/>
                  <w:tcBorders>
                    <w:left w:val="single" w:color="auto" w:sz="4" w:space="0"/>
                  </w:tcBorders>
                  <w:shd w:val="clear" w:color="auto" w:fill="auto"/>
                  <w:vAlign w:val="center"/>
                </w:tcPr>
                <w:p w14:paraId="50E8B871">
                  <w:pPr>
                    <w:widowControl/>
                    <w:jc w:val="center"/>
                    <w:rPr>
                      <w:kern w:val="0"/>
                      <w:szCs w:val="21"/>
                    </w:rPr>
                  </w:pPr>
                  <w:r>
                    <w:rPr>
                      <w:rFonts w:hint="eastAsia"/>
                      <w:kern w:val="0"/>
                      <w:szCs w:val="21"/>
                    </w:rPr>
                    <w:t>利旧6台，新增6台</w:t>
                  </w:r>
                </w:p>
              </w:tc>
            </w:tr>
            <w:tr w14:paraId="02139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2AEB896D">
                  <w:pPr>
                    <w:widowControl/>
                    <w:jc w:val="center"/>
                    <w:rPr>
                      <w:kern w:val="0"/>
                      <w:szCs w:val="21"/>
                    </w:rPr>
                  </w:pPr>
                  <w:r>
                    <w:rPr>
                      <w:szCs w:val="21"/>
                    </w:rPr>
                    <w:t>12</w:t>
                  </w:r>
                </w:p>
              </w:tc>
              <w:tc>
                <w:tcPr>
                  <w:tcW w:w="1550" w:type="dxa"/>
                  <w:shd w:val="clear" w:color="auto" w:fill="auto"/>
                  <w:noWrap/>
                  <w:vAlign w:val="center"/>
                </w:tcPr>
                <w:p w14:paraId="3E4699B3">
                  <w:pPr>
                    <w:widowControl/>
                    <w:jc w:val="center"/>
                    <w:rPr>
                      <w:kern w:val="0"/>
                      <w:szCs w:val="21"/>
                    </w:rPr>
                  </w:pPr>
                  <w:r>
                    <w:rPr>
                      <w:kern w:val="0"/>
                      <w:szCs w:val="21"/>
                    </w:rPr>
                    <w:t>传送带</w:t>
                  </w:r>
                </w:p>
              </w:tc>
              <w:tc>
                <w:tcPr>
                  <w:tcW w:w="847" w:type="dxa"/>
                  <w:shd w:val="clear" w:color="auto" w:fill="auto"/>
                  <w:noWrap/>
                  <w:vAlign w:val="center"/>
                </w:tcPr>
                <w:p w14:paraId="59B45B49">
                  <w:pPr>
                    <w:widowControl/>
                    <w:jc w:val="center"/>
                    <w:rPr>
                      <w:kern w:val="0"/>
                      <w:szCs w:val="21"/>
                    </w:rPr>
                  </w:pPr>
                  <w:r>
                    <w:rPr>
                      <w:kern w:val="0"/>
                      <w:szCs w:val="21"/>
                    </w:rPr>
                    <w:t>12</w:t>
                  </w:r>
                </w:p>
              </w:tc>
              <w:tc>
                <w:tcPr>
                  <w:tcW w:w="987" w:type="dxa"/>
                  <w:shd w:val="clear" w:color="auto" w:fill="auto"/>
                  <w:noWrap/>
                  <w:vAlign w:val="center"/>
                </w:tcPr>
                <w:p w14:paraId="0E4A4588">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3B9B21E">
                  <w:pPr>
                    <w:widowControl/>
                    <w:jc w:val="center"/>
                    <w:rPr>
                      <w:kern w:val="0"/>
                      <w:szCs w:val="21"/>
                    </w:rPr>
                  </w:pPr>
                  <w:r>
                    <w:rPr>
                      <w:kern w:val="0"/>
                      <w:szCs w:val="21"/>
                    </w:rPr>
                    <w:t>非标</w:t>
                  </w:r>
                </w:p>
              </w:tc>
              <w:tc>
                <w:tcPr>
                  <w:tcW w:w="1533" w:type="dxa"/>
                  <w:tcBorders>
                    <w:left w:val="single" w:color="auto" w:sz="4" w:space="0"/>
                  </w:tcBorders>
                  <w:shd w:val="clear" w:color="auto" w:fill="auto"/>
                  <w:vAlign w:val="center"/>
                </w:tcPr>
                <w:p w14:paraId="467D0F45">
                  <w:pPr>
                    <w:widowControl/>
                    <w:jc w:val="center"/>
                    <w:rPr>
                      <w:kern w:val="0"/>
                      <w:szCs w:val="21"/>
                    </w:rPr>
                  </w:pPr>
                  <w:r>
                    <w:rPr>
                      <w:rFonts w:hint="eastAsia"/>
                      <w:kern w:val="0"/>
                      <w:szCs w:val="21"/>
                    </w:rPr>
                    <w:t>利旧6台，新增6台</w:t>
                  </w:r>
                </w:p>
              </w:tc>
            </w:tr>
            <w:tr w14:paraId="1384D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0307947B">
                  <w:pPr>
                    <w:jc w:val="center"/>
                    <w:rPr>
                      <w:szCs w:val="21"/>
                    </w:rPr>
                  </w:pPr>
                  <w:r>
                    <w:rPr>
                      <w:szCs w:val="21"/>
                    </w:rPr>
                    <w:t>13</w:t>
                  </w:r>
                </w:p>
              </w:tc>
              <w:tc>
                <w:tcPr>
                  <w:tcW w:w="1550" w:type="dxa"/>
                  <w:shd w:val="clear" w:color="auto" w:fill="auto"/>
                  <w:noWrap/>
                  <w:vAlign w:val="center"/>
                </w:tcPr>
                <w:p w14:paraId="1FEFA9EE">
                  <w:pPr>
                    <w:widowControl/>
                    <w:jc w:val="center"/>
                    <w:rPr>
                      <w:kern w:val="0"/>
                      <w:szCs w:val="21"/>
                    </w:rPr>
                  </w:pPr>
                  <w:r>
                    <w:rPr>
                      <w:kern w:val="0"/>
                      <w:szCs w:val="21"/>
                    </w:rPr>
                    <w:t>冷水机组</w:t>
                  </w:r>
                </w:p>
              </w:tc>
              <w:tc>
                <w:tcPr>
                  <w:tcW w:w="847" w:type="dxa"/>
                  <w:shd w:val="clear" w:color="auto" w:fill="auto"/>
                  <w:noWrap/>
                  <w:vAlign w:val="center"/>
                </w:tcPr>
                <w:p w14:paraId="625FFC07">
                  <w:pPr>
                    <w:widowControl/>
                    <w:jc w:val="center"/>
                    <w:rPr>
                      <w:kern w:val="0"/>
                      <w:szCs w:val="21"/>
                    </w:rPr>
                  </w:pPr>
                  <w:r>
                    <w:rPr>
                      <w:kern w:val="0"/>
                      <w:szCs w:val="21"/>
                    </w:rPr>
                    <w:t>2</w:t>
                  </w:r>
                </w:p>
              </w:tc>
              <w:tc>
                <w:tcPr>
                  <w:tcW w:w="987" w:type="dxa"/>
                  <w:shd w:val="clear" w:color="auto" w:fill="auto"/>
                  <w:noWrap/>
                  <w:vAlign w:val="center"/>
                </w:tcPr>
                <w:p w14:paraId="5DEAA626">
                  <w:pPr>
                    <w:widowControl/>
                    <w:jc w:val="center"/>
                    <w:rPr>
                      <w:kern w:val="0"/>
                      <w:szCs w:val="21"/>
                    </w:rPr>
                  </w:pPr>
                  <w:r>
                    <w:rPr>
                      <w:kern w:val="0"/>
                      <w:szCs w:val="21"/>
                    </w:rPr>
                    <w:t>套</w:t>
                  </w:r>
                </w:p>
              </w:tc>
              <w:tc>
                <w:tcPr>
                  <w:tcW w:w="2752" w:type="dxa"/>
                  <w:tcBorders>
                    <w:right w:val="single" w:color="auto" w:sz="4" w:space="0"/>
                  </w:tcBorders>
                  <w:shd w:val="clear" w:color="auto" w:fill="auto"/>
                  <w:noWrap/>
                  <w:vAlign w:val="center"/>
                </w:tcPr>
                <w:p w14:paraId="288E21A5">
                  <w:pPr>
                    <w:widowControl/>
                    <w:jc w:val="center"/>
                    <w:rPr>
                      <w:kern w:val="0"/>
                      <w:szCs w:val="21"/>
                    </w:rPr>
                  </w:pPr>
                  <w:r>
                    <w:rPr>
                      <w:kern w:val="0"/>
                      <w:szCs w:val="21"/>
                    </w:rPr>
                    <w:t>WL-80</w:t>
                  </w:r>
                </w:p>
              </w:tc>
              <w:tc>
                <w:tcPr>
                  <w:tcW w:w="1533" w:type="dxa"/>
                  <w:tcBorders>
                    <w:left w:val="single" w:color="auto" w:sz="4" w:space="0"/>
                  </w:tcBorders>
                  <w:shd w:val="clear" w:color="auto" w:fill="auto"/>
                  <w:vAlign w:val="center"/>
                </w:tcPr>
                <w:p w14:paraId="474060E6">
                  <w:pPr>
                    <w:widowControl/>
                    <w:jc w:val="center"/>
                    <w:rPr>
                      <w:kern w:val="0"/>
                      <w:szCs w:val="21"/>
                    </w:rPr>
                  </w:pPr>
                  <w:r>
                    <w:rPr>
                      <w:rFonts w:hint="eastAsia"/>
                      <w:kern w:val="0"/>
                      <w:szCs w:val="21"/>
                    </w:rPr>
                    <w:t>/</w:t>
                  </w:r>
                </w:p>
              </w:tc>
            </w:tr>
            <w:tr w14:paraId="36A9A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E9A52F7">
                  <w:pPr>
                    <w:jc w:val="center"/>
                    <w:rPr>
                      <w:szCs w:val="21"/>
                    </w:rPr>
                  </w:pPr>
                  <w:r>
                    <w:rPr>
                      <w:kern w:val="0"/>
                      <w:szCs w:val="21"/>
                    </w:rPr>
                    <w:t>14</w:t>
                  </w:r>
                </w:p>
              </w:tc>
              <w:tc>
                <w:tcPr>
                  <w:tcW w:w="1550" w:type="dxa"/>
                  <w:shd w:val="clear" w:color="auto" w:fill="auto"/>
                  <w:noWrap/>
                  <w:vAlign w:val="center"/>
                </w:tcPr>
                <w:p w14:paraId="144D2F28">
                  <w:pPr>
                    <w:widowControl/>
                    <w:jc w:val="center"/>
                    <w:rPr>
                      <w:kern w:val="0"/>
                      <w:szCs w:val="21"/>
                    </w:rPr>
                  </w:pPr>
                  <w:r>
                    <w:rPr>
                      <w:kern w:val="0"/>
                      <w:szCs w:val="21"/>
                    </w:rPr>
                    <w:t>行车</w:t>
                  </w:r>
                </w:p>
              </w:tc>
              <w:tc>
                <w:tcPr>
                  <w:tcW w:w="847" w:type="dxa"/>
                  <w:shd w:val="clear" w:color="auto" w:fill="auto"/>
                  <w:noWrap/>
                  <w:vAlign w:val="center"/>
                </w:tcPr>
                <w:p w14:paraId="67C76AC6">
                  <w:pPr>
                    <w:widowControl/>
                    <w:jc w:val="center"/>
                    <w:rPr>
                      <w:kern w:val="0"/>
                      <w:szCs w:val="21"/>
                    </w:rPr>
                  </w:pPr>
                  <w:r>
                    <w:rPr>
                      <w:kern w:val="0"/>
                      <w:szCs w:val="21"/>
                    </w:rPr>
                    <w:t>2</w:t>
                  </w:r>
                </w:p>
              </w:tc>
              <w:tc>
                <w:tcPr>
                  <w:tcW w:w="987" w:type="dxa"/>
                  <w:shd w:val="clear" w:color="auto" w:fill="auto"/>
                  <w:noWrap/>
                  <w:vAlign w:val="center"/>
                </w:tcPr>
                <w:p w14:paraId="30DC248B">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F129465">
                  <w:pPr>
                    <w:widowControl/>
                    <w:jc w:val="center"/>
                    <w:rPr>
                      <w:kern w:val="0"/>
                      <w:szCs w:val="21"/>
                    </w:rPr>
                  </w:pPr>
                  <w:r>
                    <w:rPr>
                      <w:kern w:val="0"/>
                      <w:szCs w:val="21"/>
                    </w:rPr>
                    <w:t>主吊10T、副吊5吨</w:t>
                  </w:r>
                </w:p>
              </w:tc>
              <w:tc>
                <w:tcPr>
                  <w:tcW w:w="1533" w:type="dxa"/>
                  <w:tcBorders>
                    <w:left w:val="single" w:color="auto" w:sz="4" w:space="0"/>
                  </w:tcBorders>
                  <w:shd w:val="clear" w:color="auto" w:fill="auto"/>
                  <w:vAlign w:val="center"/>
                </w:tcPr>
                <w:p w14:paraId="16A031A7">
                  <w:pPr>
                    <w:widowControl/>
                    <w:jc w:val="center"/>
                    <w:rPr>
                      <w:kern w:val="0"/>
                      <w:szCs w:val="21"/>
                    </w:rPr>
                  </w:pPr>
                  <w:r>
                    <w:rPr>
                      <w:rFonts w:hint="eastAsia"/>
                      <w:kern w:val="0"/>
                      <w:szCs w:val="21"/>
                    </w:rPr>
                    <w:t>/</w:t>
                  </w:r>
                </w:p>
              </w:tc>
            </w:tr>
            <w:tr w14:paraId="62B34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4FBBEED8">
                  <w:pPr>
                    <w:jc w:val="center"/>
                    <w:rPr>
                      <w:szCs w:val="21"/>
                    </w:rPr>
                  </w:pPr>
                  <w:r>
                    <w:rPr>
                      <w:rFonts w:hint="eastAsia"/>
                      <w:kern w:val="0"/>
                      <w:szCs w:val="21"/>
                    </w:rPr>
                    <w:t>1</w:t>
                  </w:r>
                  <w:r>
                    <w:rPr>
                      <w:kern w:val="0"/>
                      <w:szCs w:val="21"/>
                    </w:rPr>
                    <w:t>5</w:t>
                  </w:r>
                </w:p>
              </w:tc>
              <w:tc>
                <w:tcPr>
                  <w:tcW w:w="1550" w:type="dxa"/>
                  <w:shd w:val="clear" w:color="auto" w:fill="auto"/>
                  <w:noWrap/>
                  <w:vAlign w:val="center"/>
                </w:tcPr>
                <w:p w14:paraId="04E9BF6E">
                  <w:pPr>
                    <w:widowControl/>
                    <w:jc w:val="center"/>
                    <w:rPr>
                      <w:kern w:val="0"/>
                      <w:szCs w:val="21"/>
                    </w:rPr>
                  </w:pPr>
                  <w:r>
                    <w:rPr>
                      <w:kern w:val="0"/>
                      <w:szCs w:val="21"/>
                    </w:rPr>
                    <w:t>时效炉</w:t>
                  </w:r>
                </w:p>
              </w:tc>
              <w:tc>
                <w:tcPr>
                  <w:tcW w:w="847" w:type="dxa"/>
                  <w:shd w:val="clear" w:color="auto" w:fill="auto"/>
                  <w:noWrap/>
                  <w:vAlign w:val="center"/>
                </w:tcPr>
                <w:p w14:paraId="4D3D455A">
                  <w:pPr>
                    <w:widowControl/>
                    <w:jc w:val="center"/>
                    <w:rPr>
                      <w:kern w:val="0"/>
                      <w:szCs w:val="21"/>
                    </w:rPr>
                  </w:pPr>
                  <w:r>
                    <w:rPr>
                      <w:kern w:val="0"/>
                      <w:szCs w:val="21"/>
                    </w:rPr>
                    <w:t>1</w:t>
                  </w:r>
                </w:p>
              </w:tc>
              <w:tc>
                <w:tcPr>
                  <w:tcW w:w="987" w:type="dxa"/>
                  <w:shd w:val="clear" w:color="auto" w:fill="auto"/>
                  <w:noWrap/>
                  <w:vAlign w:val="center"/>
                </w:tcPr>
                <w:p w14:paraId="56DA7D22">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6E73838">
                  <w:pPr>
                    <w:widowControl/>
                    <w:jc w:val="center"/>
                    <w:rPr>
                      <w:kern w:val="0"/>
                      <w:szCs w:val="21"/>
                    </w:rPr>
                  </w:pPr>
                  <w:r>
                    <w:rPr>
                      <w:rFonts w:hint="eastAsia"/>
                      <w:kern w:val="0"/>
                      <w:szCs w:val="21"/>
                    </w:rPr>
                    <w:t>/</w:t>
                  </w:r>
                </w:p>
              </w:tc>
              <w:tc>
                <w:tcPr>
                  <w:tcW w:w="1533" w:type="dxa"/>
                  <w:tcBorders>
                    <w:left w:val="single" w:color="auto" w:sz="4" w:space="0"/>
                  </w:tcBorders>
                  <w:shd w:val="clear" w:color="auto" w:fill="auto"/>
                  <w:vAlign w:val="center"/>
                </w:tcPr>
                <w:p w14:paraId="374AE5D3">
                  <w:pPr>
                    <w:widowControl/>
                    <w:jc w:val="center"/>
                    <w:rPr>
                      <w:kern w:val="0"/>
                      <w:szCs w:val="21"/>
                    </w:rPr>
                  </w:pPr>
                  <w:r>
                    <w:rPr>
                      <w:kern w:val="0"/>
                      <w:szCs w:val="21"/>
                    </w:rPr>
                    <w:t>利旧</w:t>
                  </w:r>
                </w:p>
              </w:tc>
            </w:tr>
            <w:tr w14:paraId="0F737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366B70F1">
                  <w:pPr>
                    <w:widowControl/>
                    <w:jc w:val="center"/>
                    <w:rPr>
                      <w:kern w:val="0"/>
                      <w:szCs w:val="21"/>
                    </w:rPr>
                  </w:pPr>
                  <w:r>
                    <w:rPr>
                      <w:kern w:val="0"/>
                      <w:szCs w:val="21"/>
                    </w:rPr>
                    <w:t>三、表面清理</w:t>
                  </w:r>
                </w:p>
              </w:tc>
            </w:tr>
            <w:tr w14:paraId="5FFDE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F125221">
                  <w:pPr>
                    <w:widowControl/>
                    <w:jc w:val="center"/>
                    <w:rPr>
                      <w:kern w:val="0"/>
                      <w:szCs w:val="21"/>
                    </w:rPr>
                  </w:pPr>
                  <w:r>
                    <w:rPr>
                      <w:szCs w:val="21"/>
                    </w:rPr>
                    <w:t>16</w:t>
                  </w:r>
                </w:p>
              </w:tc>
              <w:tc>
                <w:tcPr>
                  <w:tcW w:w="1550" w:type="dxa"/>
                  <w:shd w:val="clear" w:color="auto" w:fill="auto"/>
                  <w:noWrap/>
                  <w:vAlign w:val="center"/>
                </w:tcPr>
                <w:p w14:paraId="56323322">
                  <w:pPr>
                    <w:widowControl/>
                    <w:jc w:val="center"/>
                    <w:rPr>
                      <w:kern w:val="0"/>
                      <w:szCs w:val="21"/>
                    </w:rPr>
                  </w:pPr>
                  <w:r>
                    <w:rPr>
                      <w:kern w:val="0"/>
                      <w:szCs w:val="21"/>
                    </w:rPr>
                    <w:t>清理台</w:t>
                  </w:r>
                </w:p>
              </w:tc>
              <w:tc>
                <w:tcPr>
                  <w:tcW w:w="847" w:type="dxa"/>
                  <w:shd w:val="clear" w:color="auto" w:fill="auto"/>
                  <w:noWrap/>
                  <w:vAlign w:val="center"/>
                </w:tcPr>
                <w:p w14:paraId="2BC5B96F">
                  <w:pPr>
                    <w:widowControl/>
                    <w:jc w:val="center"/>
                    <w:rPr>
                      <w:kern w:val="0"/>
                      <w:szCs w:val="21"/>
                    </w:rPr>
                  </w:pPr>
                  <w:r>
                    <w:rPr>
                      <w:kern w:val="0"/>
                      <w:szCs w:val="21"/>
                    </w:rPr>
                    <w:t>18</w:t>
                  </w:r>
                </w:p>
              </w:tc>
              <w:tc>
                <w:tcPr>
                  <w:tcW w:w="987" w:type="dxa"/>
                  <w:shd w:val="clear" w:color="auto" w:fill="auto"/>
                  <w:noWrap/>
                  <w:vAlign w:val="center"/>
                </w:tcPr>
                <w:p w14:paraId="2024E562">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2FADA27">
                  <w:pPr>
                    <w:widowControl/>
                    <w:jc w:val="center"/>
                    <w:rPr>
                      <w:kern w:val="0"/>
                      <w:szCs w:val="21"/>
                    </w:rPr>
                  </w:pPr>
                  <w:r>
                    <w:rPr>
                      <w:kern w:val="0"/>
                      <w:szCs w:val="21"/>
                    </w:rPr>
                    <w:t>/</w:t>
                  </w:r>
                </w:p>
              </w:tc>
              <w:tc>
                <w:tcPr>
                  <w:tcW w:w="1533" w:type="dxa"/>
                  <w:tcBorders>
                    <w:left w:val="single" w:color="auto" w:sz="4" w:space="0"/>
                  </w:tcBorders>
                  <w:shd w:val="clear" w:color="auto" w:fill="auto"/>
                  <w:vAlign w:val="center"/>
                </w:tcPr>
                <w:p w14:paraId="30F8162B">
                  <w:pPr>
                    <w:widowControl/>
                    <w:jc w:val="center"/>
                    <w:rPr>
                      <w:kern w:val="0"/>
                      <w:szCs w:val="21"/>
                    </w:rPr>
                  </w:pPr>
                  <w:r>
                    <w:rPr>
                      <w:kern w:val="0"/>
                      <w:szCs w:val="21"/>
                    </w:rPr>
                    <w:t>人工清理毛刺</w:t>
                  </w:r>
                </w:p>
              </w:tc>
            </w:tr>
            <w:tr w14:paraId="22F2F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754DBFB3">
                  <w:pPr>
                    <w:widowControl/>
                    <w:rPr>
                      <w:kern w:val="0"/>
                      <w:szCs w:val="21"/>
                    </w:rPr>
                  </w:pPr>
                  <w:r>
                    <w:rPr>
                      <w:kern w:val="0"/>
                      <w:szCs w:val="21"/>
                    </w:rPr>
                    <w:t>四、抛丸工序</w:t>
                  </w:r>
                </w:p>
              </w:tc>
            </w:tr>
            <w:tr w14:paraId="7967E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5E332080">
                  <w:pPr>
                    <w:widowControl/>
                    <w:jc w:val="center"/>
                    <w:rPr>
                      <w:kern w:val="0"/>
                      <w:szCs w:val="21"/>
                    </w:rPr>
                  </w:pPr>
                  <w:r>
                    <w:rPr>
                      <w:szCs w:val="21"/>
                    </w:rPr>
                    <w:t>17</w:t>
                  </w:r>
                </w:p>
              </w:tc>
              <w:tc>
                <w:tcPr>
                  <w:tcW w:w="1550" w:type="dxa"/>
                  <w:shd w:val="clear" w:color="auto" w:fill="auto"/>
                  <w:noWrap/>
                  <w:vAlign w:val="center"/>
                </w:tcPr>
                <w:p w14:paraId="6558FBF0">
                  <w:pPr>
                    <w:widowControl/>
                    <w:jc w:val="center"/>
                    <w:rPr>
                      <w:kern w:val="0"/>
                      <w:szCs w:val="21"/>
                    </w:rPr>
                  </w:pPr>
                  <w:r>
                    <w:rPr>
                      <w:kern w:val="0"/>
                      <w:szCs w:val="21"/>
                    </w:rPr>
                    <w:t>抛丸机</w:t>
                  </w:r>
                </w:p>
              </w:tc>
              <w:tc>
                <w:tcPr>
                  <w:tcW w:w="847" w:type="dxa"/>
                  <w:shd w:val="clear" w:color="auto" w:fill="auto"/>
                  <w:noWrap/>
                  <w:vAlign w:val="center"/>
                </w:tcPr>
                <w:p w14:paraId="42E50999">
                  <w:pPr>
                    <w:widowControl/>
                    <w:jc w:val="center"/>
                    <w:rPr>
                      <w:kern w:val="0"/>
                      <w:szCs w:val="21"/>
                    </w:rPr>
                  </w:pPr>
                  <w:r>
                    <w:rPr>
                      <w:kern w:val="0"/>
                      <w:szCs w:val="21"/>
                    </w:rPr>
                    <w:t>4</w:t>
                  </w:r>
                </w:p>
              </w:tc>
              <w:tc>
                <w:tcPr>
                  <w:tcW w:w="987" w:type="dxa"/>
                  <w:shd w:val="clear" w:color="auto" w:fill="auto"/>
                  <w:noWrap/>
                  <w:vAlign w:val="center"/>
                </w:tcPr>
                <w:p w14:paraId="3D85637E">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1034DDF">
                  <w:pPr>
                    <w:widowControl/>
                    <w:jc w:val="center"/>
                    <w:rPr>
                      <w:kern w:val="0"/>
                      <w:szCs w:val="21"/>
                    </w:rPr>
                  </w:pPr>
                  <w:r>
                    <w:rPr>
                      <w:kern w:val="0"/>
                      <w:szCs w:val="21"/>
                    </w:rPr>
                    <w:t>ORB10/12A</w:t>
                  </w:r>
                </w:p>
              </w:tc>
              <w:tc>
                <w:tcPr>
                  <w:tcW w:w="1533" w:type="dxa"/>
                  <w:tcBorders>
                    <w:left w:val="single" w:color="auto" w:sz="4" w:space="0"/>
                  </w:tcBorders>
                  <w:shd w:val="clear" w:color="auto" w:fill="auto"/>
                  <w:vAlign w:val="center"/>
                </w:tcPr>
                <w:p w14:paraId="1E932C5B">
                  <w:pPr>
                    <w:widowControl/>
                    <w:jc w:val="center"/>
                    <w:rPr>
                      <w:kern w:val="0"/>
                      <w:szCs w:val="21"/>
                    </w:rPr>
                  </w:pPr>
                  <w:r>
                    <w:rPr>
                      <w:kern w:val="0"/>
                      <w:szCs w:val="21"/>
                    </w:rPr>
                    <w:t>利旧</w:t>
                  </w:r>
                  <w:r>
                    <w:rPr>
                      <w:rFonts w:hint="eastAsia"/>
                      <w:kern w:val="0"/>
                      <w:szCs w:val="21"/>
                    </w:rPr>
                    <w:t>3台，新增1台</w:t>
                  </w:r>
                </w:p>
              </w:tc>
            </w:tr>
            <w:tr w14:paraId="113D0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4D5C8055">
                  <w:pPr>
                    <w:widowControl/>
                    <w:rPr>
                      <w:kern w:val="0"/>
                      <w:szCs w:val="21"/>
                    </w:rPr>
                  </w:pPr>
                  <w:r>
                    <w:rPr>
                      <w:kern w:val="0"/>
                      <w:szCs w:val="21"/>
                    </w:rPr>
                    <w:t>五、机械加工工序</w:t>
                  </w:r>
                </w:p>
              </w:tc>
            </w:tr>
            <w:tr w14:paraId="6A8A1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3D159D6C">
                  <w:pPr>
                    <w:jc w:val="center"/>
                    <w:rPr>
                      <w:szCs w:val="21"/>
                    </w:rPr>
                  </w:pPr>
                  <w:r>
                    <w:rPr>
                      <w:szCs w:val="21"/>
                    </w:rPr>
                    <w:t>18</w:t>
                  </w:r>
                </w:p>
              </w:tc>
              <w:tc>
                <w:tcPr>
                  <w:tcW w:w="1550" w:type="dxa"/>
                  <w:shd w:val="clear" w:color="auto" w:fill="auto"/>
                  <w:noWrap/>
                  <w:vAlign w:val="center"/>
                </w:tcPr>
                <w:p w14:paraId="4C911A33">
                  <w:pPr>
                    <w:widowControl/>
                    <w:jc w:val="center"/>
                    <w:rPr>
                      <w:kern w:val="0"/>
                      <w:szCs w:val="21"/>
                    </w:rPr>
                  </w:pPr>
                  <w:r>
                    <w:rPr>
                      <w:szCs w:val="21"/>
                    </w:rPr>
                    <w:t>车铣复合</w:t>
                  </w:r>
                </w:p>
              </w:tc>
              <w:tc>
                <w:tcPr>
                  <w:tcW w:w="847" w:type="dxa"/>
                  <w:shd w:val="clear" w:color="auto" w:fill="auto"/>
                  <w:noWrap/>
                  <w:vAlign w:val="center"/>
                </w:tcPr>
                <w:p w14:paraId="13B85584">
                  <w:pPr>
                    <w:widowControl/>
                    <w:jc w:val="center"/>
                    <w:rPr>
                      <w:kern w:val="0"/>
                      <w:szCs w:val="21"/>
                    </w:rPr>
                  </w:pPr>
                  <w:r>
                    <w:rPr>
                      <w:kern w:val="0"/>
                      <w:szCs w:val="21"/>
                    </w:rPr>
                    <w:t>12</w:t>
                  </w:r>
                </w:p>
              </w:tc>
              <w:tc>
                <w:tcPr>
                  <w:tcW w:w="987" w:type="dxa"/>
                  <w:shd w:val="clear" w:color="auto" w:fill="auto"/>
                  <w:noWrap/>
                  <w:vAlign w:val="center"/>
                </w:tcPr>
                <w:p w14:paraId="6DBE11F2">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3F4F2DE7">
                  <w:pPr>
                    <w:widowControl/>
                    <w:jc w:val="center"/>
                    <w:rPr>
                      <w:kern w:val="0"/>
                      <w:szCs w:val="21"/>
                    </w:rPr>
                  </w:pPr>
                  <w:r>
                    <w:rPr>
                      <w:szCs w:val="21"/>
                    </w:rPr>
                    <w:t>E160LMC/ QT-COMPACT 100MYL/ TSL-450M/ TSL-390M</w:t>
                  </w:r>
                </w:p>
              </w:tc>
              <w:tc>
                <w:tcPr>
                  <w:tcW w:w="1533" w:type="dxa"/>
                  <w:tcBorders>
                    <w:left w:val="single" w:color="auto" w:sz="4" w:space="0"/>
                  </w:tcBorders>
                  <w:shd w:val="clear" w:color="auto" w:fill="auto"/>
                  <w:vAlign w:val="center"/>
                </w:tcPr>
                <w:p w14:paraId="0A3CEFFD">
                  <w:pPr>
                    <w:widowControl/>
                    <w:jc w:val="center"/>
                    <w:rPr>
                      <w:kern w:val="0"/>
                      <w:szCs w:val="21"/>
                    </w:rPr>
                  </w:pPr>
                  <w:r>
                    <w:rPr>
                      <w:kern w:val="0"/>
                      <w:szCs w:val="21"/>
                    </w:rPr>
                    <w:t>利旧6台，新增6台</w:t>
                  </w:r>
                </w:p>
              </w:tc>
            </w:tr>
            <w:tr w14:paraId="1CD97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4" w:hRule="atLeast"/>
                <w:jc w:val="center"/>
              </w:trPr>
              <w:tc>
                <w:tcPr>
                  <w:tcW w:w="746" w:type="dxa"/>
                  <w:vAlign w:val="center"/>
                </w:tcPr>
                <w:p w14:paraId="3C12A434">
                  <w:pPr>
                    <w:jc w:val="center"/>
                    <w:rPr>
                      <w:szCs w:val="21"/>
                    </w:rPr>
                  </w:pPr>
                  <w:r>
                    <w:rPr>
                      <w:szCs w:val="21"/>
                    </w:rPr>
                    <w:t>19</w:t>
                  </w:r>
                </w:p>
              </w:tc>
              <w:tc>
                <w:tcPr>
                  <w:tcW w:w="1550" w:type="dxa"/>
                  <w:shd w:val="clear" w:color="auto" w:fill="auto"/>
                  <w:noWrap/>
                  <w:vAlign w:val="center"/>
                </w:tcPr>
                <w:p w14:paraId="3A28D2E1">
                  <w:pPr>
                    <w:widowControl/>
                    <w:jc w:val="center"/>
                    <w:rPr>
                      <w:kern w:val="0"/>
                      <w:szCs w:val="21"/>
                    </w:rPr>
                  </w:pPr>
                  <w:r>
                    <w:rPr>
                      <w:szCs w:val="21"/>
                    </w:rPr>
                    <w:t>加工中心</w:t>
                  </w:r>
                </w:p>
              </w:tc>
              <w:tc>
                <w:tcPr>
                  <w:tcW w:w="847" w:type="dxa"/>
                  <w:shd w:val="clear" w:color="auto" w:fill="auto"/>
                  <w:noWrap/>
                  <w:vAlign w:val="center"/>
                </w:tcPr>
                <w:p w14:paraId="0CDB20AB">
                  <w:pPr>
                    <w:jc w:val="center"/>
                    <w:rPr>
                      <w:szCs w:val="21"/>
                    </w:rPr>
                  </w:pPr>
                  <w:r>
                    <w:rPr>
                      <w:szCs w:val="21"/>
                    </w:rPr>
                    <w:t>32</w:t>
                  </w:r>
                </w:p>
              </w:tc>
              <w:tc>
                <w:tcPr>
                  <w:tcW w:w="987" w:type="dxa"/>
                  <w:shd w:val="clear" w:color="auto" w:fill="auto"/>
                  <w:noWrap/>
                  <w:vAlign w:val="center"/>
                </w:tcPr>
                <w:p w14:paraId="14FE6E01">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3C19CF2">
                  <w:pPr>
                    <w:jc w:val="center"/>
                    <w:rPr>
                      <w:szCs w:val="21"/>
                    </w:rPr>
                  </w:pPr>
                  <w:r>
                    <w:rPr>
                      <w:szCs w:val="21"/>
                    </w:rPr>
                    <w:t>VTC-40C/ VH850L3/ LCV0855L/ VMC850/ KF5608</w:t>
                  </w:r>
                </w:p>
              </w:tc>
              <w:tc>
                <w:tcPr>
                  <w:tcW w:w="1533" w:type="dxa"/>
                  <w:tcBorders>
                    <w:left w:val="single" w:color="auto" w:sz="4" w:space="0"/>
                  </w:tcBorders>
                  <w:shd w:val="clear" w:color="auto" w:fill="auto"/>
                  <w:vAlign w:val="center"/>
                </w:tcPr>
                <w:p w14:paraId="5BC04EA9">
                  <w:pPr>
                    <w:widowControl/>
                    <w:jc w:val="center"/>
                    <w:rPr>
                      <w:kern w:val="0"/>
                      <w:szCs w:val="21"/>
                    </w:rPr>
                  </w:pPr>
                  <w:r>
                    <w:rPr>
                      <w:kern w:val="0"/>
                      <w:szCs w:val="21"/>
                    </w:rPr>
                    <w:t>利旧16台，新增16台</w:t>
                  </w:r>
                </w:p>
              </w:tc>
            </w:tr>
            <w:tr w14:paraId="0B390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49FCEFBA">
                  <w:pPr>
                    <w:jc w:val="center"/>
                    <w:rPr>
                      <w:szCs w:val="21"/>
                    </w:rPr>
                  </w:pPr>
                  <w:r>
                    <w:rPr>
                      <w:szCs w:val="21"/>
                    </w:rPr>
                    <w:t>20</w:t>
                  </w:r>
                </w:p>
              </w:tc>
              <w:tc>
                <w:tcPr>
                  <w:tcW w:w="1550" w:type="dxa"/>
                  <w:shd w:val="clear" w:color="auto" w:fill="auto"/>
                  <w:noWrap/>
                  <w:vAlign w:val="center"/>
                </w:tcPr>
                <w:p w14:paraId="223DA3FA">
                  <w:pPr>
                    <w:jc w:val="center"/>
                    <w:rPr>
                      <w:szCs w:val="21"/>
                    </w:rPr>
                  </w:pPr>
                  <w:r>
                    <w:rPr>
                      <w:szCs w:val="21"/>
                    </w:rPr>
                    <w:t>立车</w:t>
                  </w:r>
                </w:p>
              </w:tc>
              <w:tc>
                <w:tcPr>
                  <w:tcW w:w="847" w:type="dxa"/>
                  <w:shd w:val="clear" w:color="auto" w:fill="auto"/>
                  <w:noWrap/>
                  <w:vAlign w:val="center"/>
                </w:tcPr>
                <w:p w14:paraId="57E1A5C8">
                  <w:pPr>
                    <w:jc w:val="center"/>
                    <w:rPr>
                      <w:szCs w:val="21"/>
                    </w:rPr>
                  </w:pPr>
                  <w:r>
                    <w:rPr>
                      <w:szCs w:val="21"/>
                    </w:rPr>
                    <w:t>12</w:t>
                  </w:r>
                </w:p>
              </w:tc>
              <w:tc>
                <w:tcPr>
                  <w:tcW w:w="987" w:type="dxa"/>
                  <w:shd w:val="clear" w:color="auto" w:fill="auto"/>
                  <w:noWrap/>
                  <w:vAlign w:val="center"/>
                </w:tcPr>
                <w:p w14:paraId="20D524A1">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53EDA972">
                  <w:pPr>
                    <w:jc w:val="center"/>
                    <w:rPr>
                      <w:szCs w:val="21"/>
                    </w:rPr>
                  </w:pPr>
                  <w:r>
                    <w:rPr>
                      <w:szCs w:val="21"/>
                    </w:rPr>
                    <w:t>KV-200B/CNCLC30</w:t>
                  </w:r>
                </w:p>
              </w:tc>
              <w:tc>
                <w:tcPr>
                  <w:tcW w:w="1533" w:type="dxa"/>
                  <w:tcBorders>
                    <w:left w:val="single" w:color="auto" w:sz="4" w:space="0"/>
                  </w:tcBorders>
                  <w:shd w:val="clear" w:color="auto" w:fill="auto"/>
                  <w:vAlign w:val="center"/>
                </w:tcPr>
                <w:p w14:paraId="57DBF248">
                  <w:pPr>
                    <w:widowControl/>
                    <w:jc w:val="center"/>
                    <w:rPr>
                      <w:kern w:val="0"/>
                      <w:szCs w:val="21"/>
                    </w:rPr>
                  </w:pPr>
                  <w:r>
                    <w:rPr>
                      <w:kern w:val="0"/>
                      <w:szCs w:val="21"/>
                    </w:rPr>
                    <w:t>利旧6台，新增6台</w:t>
                  </w:r>
                </w:p>
              </w:tc>
            </w:tr>
            <w:tr w14:paraId="037B0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4E507A1F">
                  <w:pPr>
                    <w:jc w:val="center"/>
                    <w:rPr>
                      <w:szCs w:val="21"/>
                    </w:rPr>
                  </w:pPr>
                  <w:r>
                    <w:rPr>
                      <w:szCs w:val="21"/>
                    </w:rPr>
                    <w:t>21</w:t>
                  </w:r>
                </w:p>
              </w:tc>
              <w:tc>
                <w:tcPr>
                  <w:tcW w:w="1550" w:type="dxa"/>
                  <w:shd w:val="clear" w:color="auto" w:fill="auto"/>
                  <w:noWrap/>
                  <w:vAlign w:val="center"/>
                </w:tcPr>
                <w:p w14:paraId="1292BA22">
                  <w:pPr>
                    <w:widowControl/>
                    <w:jc w:val="center"/>
                    <w:rPr>
                      <w:kern w:val="0"/>
                      <w:szCs w:val="21"/>
                    </w:rPr>
                  </w:pPr>
                  <w:r>
                    <w:rPr>
                      <w:szCs w:val="21"/>
                    </w:rPr>
                    <w:t>卧式车床</w:t>
                  </w:r>
                </w:p>
              </w:tc>
              <w:tc>
                <w:tcPr>
                  <w:tcW w:w="847" w:type="dxa"/>
                  <w:shd w:val="clear" w:color="auto" w:fill="auto"/>
                  <w:noWrap/>
                  <w:vAlign w:val="center"/>
                </w:tcPr>
                <w:p w14:paraId="3760A3F3">
                  <w:pPr>
                    <w:jc w:val="center"/>
                    <w:rPr>
                      <w:szCs w:val="21"/>
                    </w:rPr>
                  </w:pPr>
                  <w:r>
                    <w:rPr>
                      <w:szCs w:val="21"/>
                    </w:rPr>
                    <w:t>16</w:t>
                  </w:r>
                </w:p>
              </w:tc>
              <w:tc>
                <w:tcPr>
                  <w:tcW w:w="987" w:type="dxa"/>
                  <w:shd w:val="clear" w:color="auto" w:fill="auto"/>
                  <w:noWrap/>
                  <w:vAlign w:val="center"/>
                </w:tcPr>
                <w:p w14:paraId="4B284B1D">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C2B213E">
                  <w:pPr>
                    <w:jc w:val="center"/>
                    <w:rPr>
                      <w:szCs w:val="21"/>
                    </w:rPr>
                  </w:pPr>
                  <w:r>
                    <w:rPr>
                      <w:szCs w:val="21"/>
                    </w:rPr>
                    <w:t>C2-360HK/GT20/HTC-4235</w:t>
                  </w:r>
                </w:p>
              </w:tc>
              <w:tc>
                <w:tcPr>
                  <w:tcW w:w="1533" w:type="dxa"/>
                  <w:tcBorders>
                    <w:left w:val="single" w:color="auto" w:sz="4" w:space="0"/>
                  </w:tcBorders>
                  <w:shd w:val="clear" w:color="auto" w:fill="auto"/>
                  <w:vAlign w:val="center"/>
                </w:tcPr>
                <w:p w14:paraId="14D20DBE">
                  <w:pPr>
                    <w:widowControl/>
                    <w:jc w:val="center"/>
                    <w:rPr>
                      <w:kern w:val="0"/>
                      <w:szCs w:val="21"/>
                    </w:rPr>
                  </w:pPr>
                  <w:r>
                    <w:rPr>
                      <w:kern w:val="0"/>
                      <w:szCs w:val="21"/>
                    </w:rPr>
                    <w:t>利旧8台，新增8台</w:t>
                  </w:r>
                </w:p>
              </w:tc>
            </w:tr>
            <w:tr w14:paraId="771A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2B6D96BE">
                  <w:pPr>
                    <w:jc w:val="center"/>
                    <w:rPr>
                      <w:szCs w:val="21"/>
                    </w:rPr>
                  </w:pPr>
                  <w:r>
                    <w:rPr>
                      <w:rFonts w:hint="eastAsia"/>
                      <w:szCs w:val="21"/>
                    </w:rPr>
                    <w:t>2</w:t>
                  </w:r>
                  <w:r>
                    <w:rPr>
                      <w:szCs w:val="21"/>
                    </w:rPr>
                    <w:t>2</w:t>
                  </w:r>
                </w:p>
              </w:tc>
              <w:tc>
                <w:tcPr>
                  <w:tcW w:w="1550" w:type="dxa"/>
                  <w:shd w:val="clear" w:color="auto" w:fill="auto"/>
                  <w:noWrap/>
                  <w:vAlign w:val="center"/>
                </w:tcPr>
                <w:p w14:paraId="1D47FD6B">
                  <w:pPr>
                    <w:jc w:val="center"/>
                    <w:rPr>
                      <w:szCs w:val="21"/>
                    </w:rPr>
                  </w:pPr>
                  <w:r>
                    <w:rPr>
                      <w:szCs w:val="21"/>
                    </w:rPr>
                    <w:t>钻攻中心</w:t>
                  </w:r>
                </w:p>
              </w:tc>
              <w:tc>
                <w:tcPr>
                  <w:tcW w:w="847" w:type="dxa"/>
                  <w:shd w:val="clear" w:color="auto" w:fill="auto"/>
                  <w:noWrap/>
                  <w:vAlign w:val="center"/>
                </w:tcPr>
                <w:p w14:paraId="40D11A97">
                  <w:pPr>
                    <w:jc w:val="center"/>
                    <w:rPr>
                      <w:szCs w:val="21"/>
                    </w:rPr>
                  </w:pPr>
                  <w:r>
                    <w:rPr>
                      <w:szCs w:val="21"/>
                    </w:rPr>
                    <w:t>68</w:t>
                  </w:r>
                </w:p>
              </w:tc>
              <w:tc>
                <w:tcPr>
                  <w:tcW w:w="987" w:type="dxa"/>
                  <w:shd w:val="clear" w:color="auto" w:fill="auto"/>
                  <w:noWrap/>
                  <w:vAlign w:val="center"/>
                </w:tcPr>
                <w:p w14:paraId="3193BE73">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32DA29C7">
                  <w:pPr>
                    <w:jc w:val="center"/>
                    <w:rPr>
                      <w:szCs w:val="21"/>
                    </w:rPr>
                  </w:pPr>
                  <w:r>
                    <w:rPr>
                      <w:szCs w:val="21"/>
                    </w:rPr>
                    <w:t>TCS2DNz/S500Z1/BF-T600/S500Z2N</w:t>
                  </w:r>
                </w:p>
              </w:tc>
              <w:tc>
                <w:tcPr>
                  <w:tcW w:w="1533" w:type="dxa"/>
                  <w:tcBorders>
                    <w:left w:val="single" w:color="auto" w:sz="4" w:space="0"/>
                  </w:tcBorders>
                  <w:shd w:val="clear" w:color="auto" w:fill="auto"/>
                  <w:vAlign w:val="center"/>
                </w:tcPr>
                <w:p w14:paraId="752926C8">
                  <w:pPr>
                    <w:widowControl/>
                    <w:jc w:val="center"/>
                    <w:rPr>
                      <w:kern w:val="0"/>
                      <w:szCs w:val="21"/>
                    </w:rPr>
                  </w:pPr>
                  <w:r>
                    <w:rPr>
                      <w:kern w:val="0"/>
                      <w:szCs w:val="21"/>
                    </w:rPr>
                    <w:t>利旧35台，新增33台</w:t>
                  </w:r>
                </w:p>
              </w:tc>
            </w:tr>
            <w:tr w14:paraId="469AE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4ACECD99">
                  <w:pPr>
                    <w:widowControl/>
                    <w:rPr>
                      <w:kern w:val="0"/>
                      <w:szCs w:val="21"/>
                    </w:rPr>
                  </w:pPr>
                  <w:r>
                    <w:rPr>
                      <w:kern w:val="0"/>
                      <w:szCs w:val="21"/>
                    </w:rPr>
                    <w:t>六</w:t>
                  </w:r>
                  <w:r>
                    <w:rPr>
                      <w:rFonts w:hint="eastAsia"/>
                      <w:kern w:val="0"/>
                      <w:szCs w:val="21"/>
                    </w:rPr>
                    <w:t>、</w:t>
                  </w:r>
                  <w:r>
                    <w:rPr>
                      <w:kern w:val="0"/>
                      <w:szCs w:val="21"/>
                    </w:rPr>
                    <w:t>氦检工序</w:t>
                  </w:r>
                </w:p>
              </w:tc>
            </w:tr>
            <w:tr w14:paraId="1A424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D4F0075">
                  <w:pPr>
                    <w:widowControl/>
                    <w:jc w:val="center"/>
                    <w:rPr>
                      <w:kern w:val="0"/>
                      <w:szCs w:val="21"/>
                    </w:rPr>
                  </w:pPr>
                  <w:r>
                    <w:rPr>
                      <w:kern w:val="0"/>
                      <w:szCs w:val="21"/>
                    </w:rPr>
                    <w:t>23</w:t>
                  </w:r>
                </w:p>
              </w:tc>
              <w:tc>
                <w:tcPr>
                  <w:tcW w:w="1550" w:type="dxa"/>
                  <w:shd w:val="clear" w:color="auto" w:fill="auto"/>
                  <w:noWrap/>
                  <w:vAlign w:val="center"/>
                </w:tcPr>
                <w:p w14:paraId="28E34125">
                  <w:pPr>
                    <w:jc w:val="center"/>
                    <w:rPr>
                      <w:szCs w:val="21"/>
                    </w:rPr>
                  </w:pPr>
                  <w:r>
                    <w:rPr>
                      <w:bCs/>
                      <w:szCs w:val="21"/>
                    </w:rPr>
                    <w:t>氦检机</w:t>
                  </w:r>
                </w:p>
              </w:tc>
              <w:tc>
                <w:tcPr>
                  <w:tcW w:w="847" w:type="dxa"/>
                  <w:shd w:val="clear" w:color="auto" w:fill="auto"/>
                  <w:noWrap/>
                  <w:vAlign w:val="center"/>
                </w:tcPr>
                <w:p w14:paraId="043B264A">
                  <w:pPr>
                    <w:jc w:val="center"/>
                    <w:rPr>
                      <w:szCs w:val="21"/>
                    </w:rPr>
                  </w:pPr>
                  <w:r>
                    <w:rPr>
                      <w:szCs w:val="21"/>
                    </w:rPr>
                    <w:t>2</w:t>
                  </w:r>
                </w:p>
              </w:tc>
              <w:tc>
                <w:tcPr>
                  <w:tcW w:w="987" w:type="dxa"/>
                  <w:shd w:val="clear" w:color="auto" w:fill="auto"/>
                  <w:noWrap/>
                  <w:vAlign w:val="center"/>
                </w:tcPr>
                <w:p w14:paraId="1B112C83">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3177C7D">
                  <w:pPr>
                    <w:jc w:val="center"/>
                    <w:rPr>
                      <w:szCs w:val="21"/>
                    </w:rPr>
                  </w:pPr>
                  <w:r>
                    <w:rPr>
                      <w:szCs w:val="21"/>
                    </w:rPr>
                    <w:t>/</w:t>
                  </w:r>
                </w:p>
              </w:tc>
              <w:tc>
                <w:tcPr>
                  <w:tcW w:w="1533" w:type="dxa"/>
                  <w:tcBorders>
                    <w:left w:val="single" w:color="auto" w:sz="4" w:space="0"/>
                  </w:tcBorders>
                  <w:shd w:val="clear" w:color="auto" w:fill="auto"/>
                  <w:vAlign w:val="center"/>
                </w:tcPr>
                <w:p w14:paraId="68223568">
                  <w:pPr>
                    <w:widowControl/>
                    <w:jc w:val="center"/>
                    <w:rPr>
                      <w:kern w:val="0"/>
                      <w:szCs w:val="21"/>
                    </w:rPr>
                  </w:pPr>
                  <w:r>
                    <w:rPr>
                      <w:kern w:val="0"/>
                      <w:szCs w:val="21"/>
                    </w:rPr>
                    <w:t>新增</w:t>
                  </w:r>
                </w:p>
              </w:tc>
            </w:tr>
            <w:tr w14:paraId="55E8E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3AD51ED5">
                  <w:pPr>
                    <w:widowControl/>
                    <w:rPr>
                      <w:kern w:val="0"/>
                      <w:szCs w:val="21"/>
                    </w:rPr>
                  </w:pPr>
                  <w:r>
                    <w:rPr>
                      <w:rFonts w:hint="eastAsia"/>
                      <w:kern w:val="0"/>
                      <w:szCs w:val="21"/>
                    </w:rPr>
                    <w:t>七</w:t>
                  </w:r>
                  <w:r>
                    <w:rPr>
                      <w:kern w:val="0"/>
                      <w:szCs w:val="21"/>
                    </w:rPr>
                    <w:t>、浸渗工序</w:t>
                  </w:r>
                </w:p>
              </w:tc>
            </w:tr>
            <w:tr w14:paraId="0FE9D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4374EAD">
                  <w:pPr>
                    <w:widowControl/>
                    <w:jc w:val="center"/>
                    <w:rPr>
                      <w:kern w:val="0"/>
                      <w:szCs w:val="21"/>
                    </w:rPr>
                  </w:pPr>
                  <w:r>
                    <w:rPr>
                      <w:szCs w:val="21"/>
                    </w:rPr>
                    <w:t>24</w:t>
                  </w:r>
                </w:p>
              </w:tc>
              <w:tc>
                <w:tcPr>
                  <w:tcW w:w="1550" w:type="dxa"/>
                  <w:shd w:val="clear" w:color="auto" w:fill="auto"/>
                  <w:noWrap/>
                  <w:vAlign w:val="center"/>
                </w:tcPr>
                <w:p w14:paraId="4E721684">
                  <w:pPr>
                    <w:widowControl/>
                    <w:jc w:val="center"/>
                    <w:rPr>
                      <w:kern w:val="0"/>
                      <w:szCs w:val="21"/>
                    </w:rPr>
                  </w:pPr>
                  <w:r>
                    <w:rPr>
                      <w:kern w:val="0"/>
                      <w:szCs w:val="21"/>
                    </w:rPr>
                    <w:t>浸渗系统</w:t>
                  </w:r>
                </w:p>
              </w:tc>
              <w:tc>
                <w:tcPr>
                  <w:tcW w:w="847" w:type="dxa"/>
                  <w:shd w:val="clear" w:color="auto" w:fill="auto"/>
                  <w:noWrap/>
                  <w:vAlign w:val="center"/>
                </w:tcPr>
                <w:p w14:paraId="168D74CB">
                  <w:pPr>
                    <w:widowControl/>
                    <w:jc w:val="center"/>
                    <w:rPr>
                      <w:kern w:val="0"/>
                      <w:szCs w:val="21"/>
                    </w:rPr>
                  </w:pPr>
                  <w:r>
                    <w:rPr>
                      <w:kern w:val="0"/>
                      <w:szCs w:val="21"/>
                    </w:rPr>
                    <w:t>2</w:t>
                  </w:r>
                </w:p>
              </w:tc>
              <w:tc>
                <w:tcPr>
                  <w:tcW w:w="987" w:type="dxa"/>
                  <w:shd w:val="clear" w:color="auto" w:fill="auto"/>
                  <w:noWrap/>
                  <w:vAlign w:val="center"/>
                </w:tcPr>
                <w:p w14:paraId="16C0CCE1">
                  <w:pPr>
                    <w:widowControl/>
                    <w:jc w:val="center"/>
                    <w:rPr>
                      <w:kern w:val="0"/>
                      <w:szCs w:val="21"/>
                    </w:rPr>
                  </w:pPr>
                  <w:r>
                    <w:rPr>
                      <w:kern w:val="0"/>
                      <w:szCs w:val="21"/>
                    </w:rPr>
                    <w:t>套</w:t>
                  </w:r>
                </w:p>
              </w:tc>
              <w:tc>
                <w:tcPr>
                  <w:tcW w:w="2752" w:type="dxa"/>
                  <w:tcBorders>
                    <w:right w:val="single" w:color="auto" w:sz="4" w:space="0"/>
                  </w:tcBorders>
                  <w:shd w:val="clear" w:color="auto" w:fill="auto"/>
                  <w:noWrap/>
                  <w:vAlign w:val="center"/>
                </w:tcPr>
                <w:p w14:paraId="43F97BFD">
                  <w:pPr>
                    <w:widowControl/>
                    <w:jc w:val="center"/>
                    <w:rPr>
                      <w:kern w:val="0"/>
                      <w:szCs w:val="21"/>
                    </w:rPr>
                  </w:pPr>
                  <w:r>
                    <w:rPr>
                      <w:kern w:val="0"/>
                      <w:szCs w:val="21"/>
                    </w:rPr>
                    <w:t>非标</w:t>
                  </w:r>
                </w:p>
              </w:tc>
              <w:tc>
                <w:tcPr>
                  <w:tcW w:w="1533" w:type="dxa"/>
                  <w:tcBorders>
                    <w:left w:val="single" w:color="auto" w:sz="4" w:space="0"/>
                  </w:tcBorders>
                  <w:shd w:val="clear" w:color="auto" w:fill="auto"/>
                  <w:vAlign w:val="center"/>
                </w:tcPr>
                <w:p w14:paraId="2539F116">
                  <w:pPr>
                    <w:widowControl/>
                    <w:jc w:val="center"/>
                    <w:rPr>
                      <w:kern w:val="0"/>
                      <w:szCs w:val="21"/>
                    </w:rPr>
                  </w:pPr>
                  <w:r>
                    <w:rPr>
                      <w:kern w:val="0"/>
                      <w:szCs w:val="21"/>
                    </w:rPr>
                    <w:t>利旧</w:t>
                  </w:r>
                </w:p>
              </w:tc>
            </w:tr>
            <w:tr w14:paraId="465F1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EE9267C">
                  <w:pPr>
                    <w:jc w:val="center"/>
                    <w:rPr>
                      <w:szCs w:val="21"/>
                    </w:rPr>
                  </w:pPr>
                  <w:r>
                    <w:rPr>
                      <w:szCs w:val="21"/>
                    </w:rPr>
                    <w:t>25</w:t>
                  </w:r>
                </w:p>
              </w:tc>
              <w:tc>
                <w:tcPr>
                  <w:tcW w:w="1550" w:type="dxa"/>
                  <w:shd w:val="clear" w:color="auto" w:fill="auto"/>
                  <w:noWrap/>
                  <w:vAlign w:val="center"/>
                </w:tcPr>
                <w:p w14:paraId="75986EDC">
                  <w:pPr>
                    <w:widowControl/>
                    <w:jc w:val="center"/>
                    <w:rPr>
                      <w:kern w:val="0"/>
                      <w:szCs w:val="21"/>
                    </w:rPr>
                  </w:pPr>
                  <w:r>
                    <w:rPr>
                      <w:kern w:val="0"/>
                      <w:szCs w:val="21"/>
                    </w:rPr>
                    <w:t>气动打标机</w:t>
                  </w:r>
                </w:p>
              </w:tc>
              <w:tc>
                <w:tcPr>
                  <w:tcW w:w="847" w:type="dxa"/>
                  <w:shd w:val="clear" w:color="auto" w:fill="auto"/>
                  <w:noWrap/>
                  <w:vAlign w:val="center"/>
                </w:tcPr>
                <w:p w14:paraId="5051E327">
                  <w:pPr>
                    <w:widowControl/>
                    <w:jc w:val="center"/>
                    <w:rPr>
                      <w:kern w:val="0"/>
                      <w:szCs w:val="21"/>
                    </w:rPr>
                  </w:pPr>
                  <w:r>
                    <w:rPr>
                      <w:kern w:val="0"/>
                      <w:szCs w:val="21"/>
                    </w:rPr>
                    <w:t>2</w:t>
                  </w:r>
                </w:p>
              </w:tc>
              <w:tc>
                <w:tcPr>
                  <w:tcW w:w="987" w:type="dxa"/>
                  <w:shd w:val="clear" w:color="auto" w:fill="auto"/>
                  <w:noWrap/>
                  <w:vAlign w:val="center"/>
                </w:tcPr>
                <w:p w14:paraId="3AB06DC3">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35D0B4D">
                  <w:pPr>
                    <w:widowControl/>
                    <w:jc w:val="center"/>
                    <w:rPr>
                      <w:kern w:val="0"/>
                      <w:szCs w:val="21"/>
                    </w:rPr>
                  </w:pPr>
                  <w:r>
                    <w:rPr>
                      <w:kern w:val="0"/>
                      <w:szCs w:val="21"/>
                    </w:rPr>
                    <w:t>JD2000</w:t>
                  </w:r>
                </w:p>
              </w:tc>
              <w:tc>
                <w:tcPr>
                  <w:tcW w:w="1533" w:type="dxa"/>
                  <w:tcBorders>
                    <w:left w:val="single" w:color="auto" w:sz="4" w:space="0"/>
                  </w:tcBorders>
                  <w:shd w:val="clear" w:color="auto" w:fill="auto"/>
                  <w:vAlign w:val="center"/>
                </w:tcPr>
                <w:p w14:paraId="7E3E9EAC">
                  <w:pPr>
                    <w:widowControl/>
                    <w:jc w:val="center"/>
                    <w:rPr>
                      <w:kern w:val="0"/>
                      <w:szCs w:val="21"/>
                    </w:rPr>
                  </w:pPr>
                  <w:r>
                    <w:rPr>
                      <w:kern w:val="0"/>
                      <w:szCs w:val="21"/>
                    </w:rPr>
                    <w:t>利旧</w:t>
                  </w:r>
                </w:p>
              </w:tc>
            </w:tr>
            <w:tr w14:paraId="2A399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245ADDEE">
                  <w:pPr>
                    <w:widowControl/>
                    <w:rPr>
                      <w:kern w:val="0"/>
                      <w:szCs w:val="21"/>
                    </w:rPr>
                  </w:pPr>
                  <w:r>
                    <w:rPr>
                      <w:rFonts w:hint="eastAsia"/>
                      <w:bCs/>
                      <w:szCs w:val="21"/>
                    </w:rPr>
                    <w:t>八</w:t>
                  </w:r>
                  <w:r>
                    <w:rPr>
                      <w:bCs/>
                      <w:szCs w:val="21"/>
                    </w:rPr>
                    <w:t>、清洗工序</w:t>
                  </w:r>
                </w:p>
              </w:tc>
            </w:tr>
            <w:tr w14:paraId="55182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D550D04">
                  <w:pPr>
                    <w:widowControl/>
                    <w:jc w:val="center"/>
                    <w:rPr>
                      <w:kern w:val="0"/>
                      <w:szCs w:val="21"/>
                    </w:rPr>
                  </w:pPr>
                  <w:r>
                    <w:rPr>
                      <w:kern w:val="0"/>
                      <w:szCs w:val="21"/>
                    </w:rPr>
                    <w:t>26</w:t>
                  </w:r>
                </w:p>
              </w:tc>
              <w:tc>
                <w:tcPr>
                  <w:tcW w:w="1550" w:type="dxa"/>
                  <w:shd w:val="clear" w:color="auto" w:fill="auto"/>
                  <w:noWrap/>
                  <w:vAlign w:val="center"/>
                </w:tcPr>
                <w:p w14:paraId="22CA326F">
                  <w:pPr>
                    <w:widowControl/>
                    <w:jc w:val="center"/>
                    <w:rPr>
                      <w:kern w:val="0"/>
                      <w:szCs w:val="21"/>
                    </w:rPr>
                  </w:pPr>
                  <w:r>
                    <w:rPr>
                      <w:szCs w:val="21"/>
                    </w:rPr>
                    <w:t>超声波清洗机</w:t>
                  </w:r>
                </w:p>
              </w:tc>
              <w:tc>
                <w:tcPr>
                  <w:tcW w:w="847" w:type="dxa"/>
                  <w:shd w:val="clear" w:color="auto" w:fill="auto"/>
                  <w:noWrap/>
                  <w:vAlign w:val="center"/>
                </w:tcPr>
                <w:p w14:paraId="7EB3D95F">
                  <w:pPr>
                    <w:jc w:val="center"/>
                    <w:rPr>
                      <w:szCs w:val="21"/>
                    </w:rPr>
                  </w:pPr>
                  <w:r>
                    <w:rPr>
                      <w:szCs w:val="21"/>
                    </w:rPr>
                    <w:t>2</w:t>
                  </w:r>
                </w:p>
              </w:tc>
              <w:tc>
                <w:tcPr>
                  <w:tcW w:w="987" w:type="dxa"/>
                  <w:shd w:val="clear" w:color="auto" w:fill="auto"/>
                  <w:noWrap/>
                  <w:vAlign w:val="center"/>
                </w:tcPr>
                <w:p w14:paraId="710C632F">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41ECACB">
                  <w:pPr>
                    <w:widowControl/>
                    <w:jc w:val="center"/>
                    <w:rPr>
                      <w:kern w:val="0"/>
                      <w:szCs w:val="21"/>
                    </w:rPr>
                  </w:pPr>
                  <w:r>
                    <w:rPr>
                      <w:szCs w:val="21"/>
                    </w:rPr>
                    <w:t>JP-2012</w:t>
                  </w:r>
                </w:p>
              </w:tc>
              <w:tc>
                <w:tcPr>
                  <w:tcW w:w="1533" w:type="dxa"/>
                  <w:tcBorders>
                    <w:left w:val="single" w:color="auto" w:sz="4" w:space="0"/>
                  </w:tcBorders>
                  <w:shd w:val="clear" w:color="auto" w:fill="auto"/>
                  <w:vAlign w:val="center"/>
                </w:tcPr>
                <w:p w14:paraId="6C2631D9">
                  <w:pPr>
                    <w:widowControl/>
                    <w:jc w:val="center"/>
                    <w:rPr>
                      <w:kern w:val="0"/>
                      <w:szCs w:val="21"/>
                    </w:rPr>
                  </w:pPr>
                  <w:r>
                    <w:rPr>
                      <w:kern w:val="0"/>
                      <w:szCs w:val="21"/>
                    </w:rPr>
                    <w:t>利旧1台，新增1台</w:t>
                  </w:r>
                </w:p>
              </w:tc>
            </w:tr>
            <w:tr w14:paraId="0757F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7EDCE736">
                  <w:pPr>
                    <w:widowControl/>
                    <w:rPr>
                      <w:kern w:val="0"/>
                      <w:szCs w:val="21"/>
                    </w:rPr>
                  </w:pPr>
                  <w:r>
                    <w:rPr>
                      <w:rFonts w:hint="eastAsia"/>
                      <w:bCs/>
                      <w:szCs w:val="21"/>
                    </w:rPr>
                    <w:t>九</w:t>
                  </w:r>
                  <w:r>
                    <w:rPr>
                      <w:bCs/>
                      <w:szCs w:val="21"/>
                    </w:rPr>
                    <w:t>、检验工序</w:t>
                  </w:r>
                </w:p>
              </w:tc>
            </w:tr>
            <w:tr w14:paraId="6B67E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147B2929">
                  <w:pPr>
                    <w:jc w:val="center"/>
                    <w:rPr>
                      <w:szCs w:val="21"/>
                    </w:rPr>
                  </w:pPr>
                  <w:r>
                    <w:rPr>
                      <w:szCs w:val="21"/>
                    </w:rPr>
                    <w:t>27</w:t>
                  </w:r>
                </w:p>
              </w:tc>
              <w:tc>
                <w:tcPr>
                  <w:tcW w:w="1550" w:type="dxa"/>
                  <w:shd w:val="clear" w:color="auto" w:fill="auto"/>
                  <w:noWrap/>
                  <w:vAlign w:val="center"/>
                </w:tcPr>
                <w:p w14:paraId="15F37907">
                  <w:pPr>
                    <w:widowControl/>
                    <w:jc w:val="center"/>
                    <w:rPr>
                      <w:kern w:val="0"/>
                      <w:szCs w:val="21"/>
                    </w:rPr>
                  </w:pPr>
                  <w:r>
                    <w:rPr>
                      <w:szCs w:val="21"/>
                    </w:rPr>
                    <w:t>水检机</w:t>
                  </w:r>
                </w:p>
              </w:tc>
              <w:tc>
                <w:tcPr>
                  <w:tcW w:w="847" w:type="dxa"/>
                  <w:shd w:val="clear" w:color="auto" w:fill="auto"/>
                  <w:noWrap/>
                  <w:vAlign w:val="center"/>
                </w:tcPr>
                <w:p w14:paraId="617F608F">
                  <w:pPr>
                    <w:jc w:val="center"/>
                    <w:rPr>
                      <w:szCs w:val="21"/>
                    </w:rPr>
                  </w:pPr>
                  <w:r>
                    <w:rPr>
                      <w:szCs w:val="21"/>
                    </w:rPr>
                    <w:t>1</w:t>
                  </w:r>
                </w:p>
              </w:tc>
              <w:tc>
                <w:tcPr>
                  <w:tcW w:w="987" w:type="dxa"/>
                  <w:shd w:val="clear" w:color="auto" w:fill="auto"/>
                  <w:noWrap/>
                  <w:vAlign w:val="center"/>
                </w:tcPr>
                <w:p w14:paraId="63CC0471">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4B7D65D">
                  <w:pPr>
                    <w:jc w:val="center"/>
                    <w:rPr>
                      <w:szCs w:val="21"/>
                    </w:rPr>
                  </w:pPr>
                  <w:r>
                    <w:rPr>
                      <w:szCs w:val="21"/>
                    </w:rPr>
                    <w:t>BZ-729SC/BZJ800-CM</w:t>
                  </w:r>
                </w:p>
              </w:tc>
              <w:tc>
                <w:tcPr>
                  <w:tcW w:w="1533" w:type="dxa"/>
                  <w:tcBorders>
                    <w:left w:val="single" w:color="auto" w:sz="4" w:space="0"/>
                  </w:tcBorders>
                  <w:shd w:val="clear" w:color="auto" w:fill="auto"/>
                  <w:vAlign w:val="center"/>
                </w:tcPr>
                <w:p w14:paraId="326C044B">
                  <w:pPr>
                    <w:widowControl/>
                    <w:jc w:val="center"/>
                    <w:rPr>
                      <w:kern w:val="0"/>
                      <w:szCs w:val="21"/>
                    </w:rPr>
                  </w:pPr>
                  <w:r>
                    <w:rPr>
                      <w:kern w:val="0"/>
                      <w:szCs w:val="21"/>
                    </w:rPr>
                    <w:t>利旧</w:t>
                  </w:r>
                </w:p>
              </w:tc>
            </w:tr>
            <w:tr w14:paraId="5B5CC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30A3AA3">
                  <w:pPr>
                    <w:jc w:val="center"/>
                    <w:rPr>
                      <w:szCs w:val="21"/>
                    </w:rPr>
                  </w:pPr>
                  <w:r>
                    <w:rPr>
                      <w:szCs w:val="21"/>
                    </w:rPr>
                    <w:t>28</w:t>
                  </w:r>
                </w:p>
              </w:tc>
              <w:tc>
                <w:tcPr>
                  <w:tcW w:w="1550" w:type="dxa"/>
                  <w:shd w:val="clear" w:color="auto" w:fill="auto"/>
                  <w:noWrap/>
                  <w:vAlign w:val="center"/>
                </w:tcPr>
                <w:p w14:paraId="2B1DC658">
                  <w:pPr>
                    <w:widowControl/>
                    <w:jc w:val="center"/>
                    <w:rPr>
                      <w:kern w:val="0"/>
                      <w:szCs w:val="21"/>
                    </w:rPr>
                  </w:pPr>
                  <w:r>
                    <w:rPr>
                      <w:szCs w:val="21"/>
                    </w:rPr>
                    <w:t>探伤仪</w:t>
                  </w:r>
                </w:p>
              </w:tc>
              <w:tc>
                <w:tcPr>
                  <w:tcW w:w="847" w:type="dxa"/>
                  <w:shd w:val="clear" w:color="auto" w:fill="auto"/>
                  <w:noWrap/>
                  <w:vAlign w:val="center"/>
                </w:tcPr>
                <w:p w14:paraId="223036CC">
                  <w:pPr>
                    <w:widowControl/>
                    <w:jc w:val="center"/>
                    <w:rPr>
                      <w:kern w:val="0"/>
                      <w:szCs w:val="21"/>
                    </w:rPr>
                  </w:pPr>
                  <w:r>
                    <w:rPr>
                      <w:kern w:val="0"/>
                      <w:szCs w:val="21"/>
                    </w:rPr>
                    <w:t>1</w:t>
                  </w:r>
                </w:p>
              </w:tc>
              <w:tc>
                <w:tcPr>
                  <w:tcW w:w="987" w:type="dxa"/>
                  <w:shd w:val="clear" w:color="auto" w:fill="auto"/>
                  <w:noWrap/>
                  <w:vAlign w:val="center"/>
                </w:tcPr>
                <w:p w14:paraId="4F1F9E04">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D41B153">
                  <w:pPr>
                    <w:jc w:val="center"/>
                    <w:rPr>
                      <w:szCs w:val="21"/>
                    </w:rPr>
                  </w:pPr>
                  <w:r>
                    <w:rPr>
                      <w:szCs w:val="21"/>
                    </w:rPr>
                    <w:t>UNC160</w:t>
                  </w:r>
                </w:p>
              </w:tc>
              <w:tc>
                <w:tcPr>
                  <w:tcW w:w="1533" w:type="dxa"/>
                  <w:tcBorders>
                    <w:left w:val="single" w:color="auto" w:sz="4" w:space="0"/>
                  </w:tcBorders>
                  <w:shd w:val="clear" w:color="auto" w:fill="auto"/>
                  <w:vAlign w:val="center"/>
                </w:tcPr>
                <w:p w14:paraId="0E448D42">
                  <w:pPr>
                    <w:widowControl/>
                    <w:jc w:val="center"/>
                    <w:rPr>
                      <w:kern w:val="0"/>
                      <w:szCs w:val="21"/>
                    </w:rPr>
                  </w:pPr>
                  <w:r>
                    <w:rPr>
                      <w:kern w:val="0"/>
                      <w:szCs w:val="21"/>
                    </w:rPr>
                    <w:t>利旧</w:t>
                  </w:r>
                </w:p>
              </w:tc>
            </w:tr>
            <w:tr w14:paraId="52308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30CFB38B">
                  <w:pPr>
                    <w:jc w:val="center"/>
                    <w:rPr>
                      <w:szCs w:val="21"/>
                    </w:rPr>
                  </w:pPr>
                  <w:r>
                    <w:rPr>
                      <w:szCs w:val="21"/>
                    </w:rPr>
                    <w:t>29</w:t>
                  </w:r>
                </w:p>
              </w:tc>
              <w:tc>
                <w:tcPr>
                  <w:tcW w:w="1550" w:type="dxa"/>
                  <w:shd w:val="clear" w:color="auto" w:fill="auto"/>
                  <w:noWrap/>
                  <w:vAlign w:val="center"/>
                </w:tcPr>
                <w:p w14:paraId="0748E464">
                  <w:pPr>
                    <w:jc w:val="center"/>
                    <w:rPr>
                      <w:szCs w:val="21"/>
                    </w:rPr>
                  </w:pPr>
                  <w:r>
                    <w:rPr>
                      <w:szCs w:val="21"/>
                    </w:rPr>
                    <w:t>三坐标机</w:t>
                  </w:r>
                </w:p>
              </w:tc>
              <w:tc>
                <w:tcPr>
                  <w:tcW w:w="847" w:type="dxa"/>
                  <w:shd w:val="clear" w:color="auto" w:fill="auto"/>
                  <w:noWrap/>
                  <w:vAlign w:val="center"/>
                </w:tcPr>
                <w:p w14:paraId="39D9EB1A">
                  <w:pPr>
                    <w:widowControl/>
                    <w:jc w:val="center"/>
                    <w:rPr>
                      <w:kern w:val="0"/>
                      <w:szCs w:val="21"/>
                    </w:rPr>
                  </w:pPr>
                  <w:r>
                    <w:rPr>
                      <w:kern w:val="0"/>
                      <w:szCs w:val="21"/>
                    </w:rPr>
                    <w:t>1</w:t>
                  </w:r>
                </w:p>
              </w:tc>
              <w:tc>
                <w:tcPr>
                  <w:tcW w:w="987" w:type="dxa"/>
                  <w:shd w:val="clear" w:color="auto" w:fill="auto"/>
                  <w:noWrap/>
                  <w:vAlign w:val="center"/>
                </w:tcPr>
                <w:p w14:paraId="44E14FE8">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1C04719">
                  <w:pPr>
                    <w:jc w:val="center"/>
                    <w:rPr>
                      <w:szCs w:val="21"/>
                    </w:rPr>
                  </w:pPr>
                  <w:r>
                    <w:rPr>
                      <w:szCs w:val="21"/>
                    </w:rPr>
                    <w:t>MF-32</w:t>
                  </w:r>
                </w:p>
              </w:tc>
              <w:tc>
                <w:tcPr>
                  <w:tcW w:w="1533" w:type="dxa"/>
                  <w:tcBorders>
                    <w:left w:val="single" w:color="auto" w:sz="4" w:space="0"/>
                  </w:tcBorders>
                  <w:shd w:val="clear" w:color="auto" w:fill="auto"/>
                  <w:vAlign w:val="center"/>
                </w:tcPr>
                <w:p w14:paraId="69043429">
                  <w:pPr>
                    <w:widowControl/>
                    <w:jc w:val="center"/>
                    <w:rPr>
                      <w:kern w:val="0"/>
                      <w:szCs w:val="21"/>
                    </w:rPr>
                  </w:pPr>
                  <w:r>
                    <w:rPr>
                      <w:kern w:val="0"/>
                      <w:szCs w:val="21"/>
                    </w:rPr>
                    <w:t>利旧</w:t>
                  </w:r>
                </w:p>
              </w:tc>
            </w:tr>
            <w:tr w14:paraId="3A9C1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7B8AA95C">
                  <w:pPr>
                    <w:jc w:val="center"/>
                    <w:rPr>
                      <w:szCs w:val="21"/>
                    </w:rPr>
                  </w:pPr>
                  <w:r>
                    <w:rPr>
                      <w:szCs w:val="21"/>
                    </w:rPr>
                    <w:t>30</w:t>
                  </w:r>
                </w:p>
              </w:tc>
              <w:tc>
                <w:tcPr>
                  <w:tcW w:w="1550" w:type="dxa"/>
                  <w:shd w:val="clear" w:color="auto" w:fill="auto"/>
                  <w:noWrap/>
                  <w:vAlign w:val="center"/>
                </w:tcPr>
                <w:p w14:paraId="2236F866">
                  <w:pPr>
                    <w:jc w:val="center"/>
                    <w:rPr>
                      <w:szCs w:val="21"/>
                    </w:rPr>
                  </w:pPr>
                  <w:r>
                    <w:rPr>
                      <w:szCs w:val="21"/>
                    </w:rPr>
                    <w:t>硬度检测仪</w:t>
                  </w:r>
                </w:p>
              </w:tc>
              <w:tc>
                <w:tcPr>
                  <w:tcW w:w="847" w:type="dxa"/>
                  <w:shd w:val="clear" w:color="auto" w:fill="auto"/>
                  <w:noWrap/>
                  <w:vAlign w:val="center"/>
                </w:tcPr>
                <w:p w14:paraId="3FA0203D">
                  <w:pPr>
                    <w:widowControl/>
                    <w:jc w:val="center"/>
                    <w:rPr>
                      <w:kern w:val="0"/>
                      <w:szCs w:val="21"/>
                    </w:rPr>
                  </w:pPr>
                  <w:r>
                    <w:rPr>
                      <w:kern w:val="0"/>
                      <w:szCs w:val="21"/>
                    </w:rPr>
                    <w:t>1</w:t>
                  </w:r>
                </w:p>
              </w:tc>
              <w:tc>
                <w:tcPr>
                  <w:tcW w:w="987" w:type="dxa"/>
                  <w:shd w:val="clear" w:color="auto" w:fill="auto"/>
                  <w:noWrap/>
                  <w:vAlign w:val="center"/>
                </w:tcPr>
                <w:p w14:paraId="07E75513">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2E3075B">
                  <w:pPr>
                    <w:jc w:val="center"/>
                    <w:rPr>
                      <w:szCs w:val="21"/>
                    </w:rPr>
                  </w:pPr>
                  <w:r>
                    <w:rPr>
                      <w:szCs w:val="21"/>
                    </w:rPr>
                    <w:t>/</w:t>
                  </w:r>
                </w:p>
              </w:tc>
              <w:tc>
                <w:tcPr>
                  <w:tcW w:w="1533" w:type="dxa"/>
                  <w:tcBorders>
                    <w:left w:val="single" w:color="auto" w:sz="4" w:space="0"/>
                  </w:tcBorders>
                  <w:shd w:val="clear" w:color="auto" w:fill="auto"/>
                  <w:vAlign w:val="center"/>
                </w:tcPr>
                <w:p w14:paraId="3979B489">
                  <w:pPr>
                    <w:widowControl/>
                    <w:jc w:val="center"/>
                    <w:rPr>
                      <w:kern w:val="0"/>
                      <w:szCs w:val="21"/>
                    </w:rPr>
                  </w:pPr>
                  <w:r>
                    <w:rPr>
                      <w:kern w:val="0"/>
                      <w:szCs w:val="21"/>
                    </w:rPr>
                    <w:t>利旧</w:t>
                  </w:r>
                </w:p>
              </w:tc>
            </w:tr>
            <w:tr w14:paraId="20E66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70146F52">
                  <w:pPr>
                    <w:jc w:val="center"/>
                    <w:rPr>
                      <w:szCs w:val="21"/>
                    </w:rPr>
                  </w:pPr>
                  <w:r>
                    <w:rPr>
                      <w:szCs w:val="21"/>
                    </w:rPr>
                    <w:t>31</w:t>
                  </w:r>
                </w:p>
              </w:tc>
              <w:tc>
                <w:tcPr>
                  <w:tcW w:w="1550" w:type="dxa"/>
                  <w:shd w:val="clear" w:color="auto" w:fill="auto"/>
                  <w:noWrap/>
                  <w:vAlign w:val="center"/>
                </w:tcPr>
                <w:p w14:paraId="3B0F58D2">
                  <w:pPr>
                    <w:jc w:val="center"/>
                    <w:rPr>
                      <w:szCs w:val="21"/>
                    </w:rPr>
                  </w:pPr>
                  <w:r>
                    <w:rPr>
                      <w:szCs w:val="21"/>
                    </w:rPr>
                    <w:t>轮廓仪</w:t>
                  </w:r>
                </w:p>
              </w:tc>
              <w:tc>
                <w:tcPr>
                  <w:tcW w:w="847" w:type="dxa"/>
                  <w:shd w:val="clear" w:color="auto" w:fill="auto"/>
                  <w:noWrap/>
                  <w:vAlign w:val="center"/>
                </w:tcPr>
                <w:p w14:paraId="74D70D42">
                  <w:pPr>
                    <w:widowControl/>
                    <w:jc w:val="center"/>
                    <w:rPr>
                      <w:kern w:val="0"/>
                      <w:szCs w:val="21"/>
                    </w:rPr>
                  </w:pPr>
                  <w:r>
                    <w:rPr>
                      <w:kern w:val="0"/>
                      <w:szCs w:val="21"/>
                    </w:rPr>
                    <w:t>1</w:t>
                  </w:r>
                </w:p>
              </w:tc>
              <w:tc>
                <w:tcPr>
                  <w:tcW w:w="987" w:type="dxa"/>
                  <w:shd w:val="clear" w:color="auto" w:fill="auto"/>
                  <w:noWrap/>
                  <w:vAlign w:val="center"/>
                </w:tcPr>
                <w:p w14:paraId="7C696CE5">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3E8286D">
                  <w:pPr>
                    <w:jc w:val="center"/>
                    <w:rPr>
                      <w:szCs w:val="21"/>
                    </w:rPr>
                  </w:pPr>
                  <w:r>
                    <w:rPr>
                      <w:szCs w:val="21"/>
                    </w:rPr>
                    <w:t>MMD-100B</w:t>
                  </w:r>
                </w:p>
              </w:tc>
              <w:tc>
                <w:tcPr>
                  <w:tcW w:w="1533" w:type="dxa"/>
                  <w:tcBorders>
                    <w:left w:val="single" w:color="auto" w:sz="4" w:space="0"/>
                  </w:tcBorders>
                  <w:shd w:val="clear" w:color="auto" w:fill="auto"/>
                  <w:vAlign w:val="center"/>
                </w:tcPr>
                <w:p w14:paraId="251AC976">
                  <w:pPr>
                    <w:widowControl/>
                    <w:jc w:val="center"/>
                    <w:rPr>
                      <w:kern w:val="0"/>
                      <w:szCs w:val="21"/>
                    </w:rPr>
                  </w:pPr>
                  <w:r>
                    <w:rPr>
                      <w:kern w:val="0"/>
                      <w:szCs w:val="21"/>
                    </w:rPr>
                    <w:t>利旧</w:t>
                  </w:r>
                </w:p>
              </w:tc>
            </w:tr>
            <w:tr w14:paraId="6E87A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44D353E3">
                  <w:pPr>
                    <w:jc w:val="center"/>
                    <w:rPr>
                      <w:szCs w:val="21"/>
                    </w:rPr>
                  </w:pPr>
                  <w:r>
                    <w:rPr>
                      <w:szCs w:val="21"/>
                    </w:rPr>
                    <w:t>32</w:t>
                  </w:r>
                </w:p>
              </w:tc>
              <w:tc>
                <w:tcPr>
                  <w:tcW w:w="1550" w:type="dxa"/>
                  <w:shd w:val="clear" w:color="auto" w:fill="auto"/>
                  <w:noWrap/>
                  <w:vAlign w:val="center"/>
                </w:tcPr>
                <w:p w14:paraId="3D4A16E2">
                  <w:pPr>
                    <w:jc w:val="center"/>
                    <w:rPr>
                      <w:szCs w:val="21"/>
                    </w:rPr>
                  </w:pPr>
                  <w:r>
                    <w:rPr>
                      <w:szCs w:val="21"/>
                    </w:rPr>
                    <w:t>粗糙度仪</w:t>
                  </w:r>
                </w:p>
              </w:tc>
              <w:tc>
                <w:tcPr>
                  <w:tcW w:w="847" w:type="dxa"/>
                  <w:shd w:val="clear" w:color="auto" w:fill="auto"/>
                  <w:noWrap/>
                  <w:vAlign w:val="center"/>
                </w:tcPr>
                <w:p w14:paraId="7B2E5AD3">
                  <w:pPr>
                    <w:widowControl/>
                    <w:jc w:val="center"/>
                    <w:rPr>
                      <w:kern w:val="0"/>
                      <w:szCs w:val="21"/>
                    </w:rPr>
                  </w:pPr>
                  <w:r>
                    <w:rPr>
                      <w:kern w:val="0"/>
                      <w:szCs w:val="21"/>
                    </w:rPr>
                    <w:t>1</w:t>
                  </w:r>
                </w:p>
              </w:tc>
              <w:tc>
                <w:tcPr>
                  <w:tcW w:w="987" w:type="dxa"/>
                  <w:shd w:val="clear" w:color="auto" w:fill="auto"/>
                  <w:noWrap/>
                  <w:vAlign w:val="center"/>
                </w:tcPr>
                <w:p w14:paraId="23826AE3">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11B1C00">
                  <w:pPr>
                    <w:jc w:val="center"/>
                    <w:rPr>
                      <w:szCs w:val="21"/>
                    </w:rPr>
                  </w:pPr>
                  <w:r>
                    <w:rPr>
                      <w:szCs w:val="21"/>
                    </w:rPr>
                    <w:t>SJ-411</w:t>
                  </w:r>
                </w:p>
              </w:tc>
              <w:tc>
                <w:tcPr>
                  <w:tcW w:w="1533" w:type="dxa"/>
                  <w:tcBorders>
                    <w:left w:val="single" w:color="auto" w:sz="4" w:space="0"/>
                  </w:tcBorders>
                  <w:shd w:val="clear" w:color="auto" w:fill="auto"/>
                  <w:vAlign w:val="center"/>
                </w:tcPr>
                <w:p w14:paraId="530D9BA6">
                  <w:pPr>
                    <w:widowControl/>
                    <w:jc w:val="center"/>
                    <w:rPr>
                      <w:kern w:val="0"/>
                      <w:szCs w:val="21"/>
                    </w:rPr>
                  </w:pPr>
                  <w:r>
                    <w:rPr>
                      <w:kern w:val="0"/>
                      <w:szCs w:val="21"/>
                    </w:rPr>
                    <w:t>利旧</w:t>
                  </w:r>
                </w:p>
              </w:tc>
            </w:tr>
            <w:tr w14:paraId="18F07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1256DBC0">
                  <w:pPr>
                    <w:jc w:val="center"/>
                    <w:rPr>
                      <w:szCs w:val="21"/>
                    </w:rPr>
                  </w:pPr>
                  <w:r>
                    <w:rPr>
                      <w:szCs w:val="21"/>
                    </w:rPr>
                    <w:t>33</w:t>
                  </w:r>
                </w:p>
              </w:tc>
              <w:tc>
                <w:tcPr>
                  <w:tcW w:w="1550" w:type="dxa"/>
                  <w:shd w:val="clear" w:color="auto" w:fill="auto"/>
                  <w:noWrap/>
                  <w:vAlign w:val="center"/>
                </w:tcPr>
                <w:p w14:paraId="3542FD91">
                  <w:pPr>
                    <w:jc w:val="center"/>
                    <w:rPr>
                      <w:szCs w:val="21"/>
                    </w:rPr>
                  </w:pPr>
                  <w:r>
                    <w:rPr>
                      <w:szCs w:val="21"/>
                    </w:rPr>
                    <w:t>手动圆柱台</w:t>
                  </w:r>
                </w:p>
              </w:tc>
              <w:tc>
                <w:tcPr>
                  <w:tcW w:w="847" w:type="dxa"/>
                  <w:shd w:val="clear" w:color="auto" w:fill="auto"/>
                  <w:noWrap/>
                  <w:vAlign w:val="center"/>
                </w:tcPr>
                <w:p w14:paraId="665CA5C2">
                  <w:pPr>
                    <w:widowControl/>
                    <w:jc w:val="center"/>
                    <w:rPr>
                      <w:kern w:val="0"/>
                      <w:szCs w:val="21"/>
                    </w:rPr>
                  </w:pPr>
                  <w:r>
                    <w:rPr>
                      <w:kern w:val="0"/>
                      <w:szCs w:val="21"/>
                    </w:rPr>
                    <w:t>1</w:t>
                  </w:r>
                </w:p>
              </w:tc>
              <w:tc>
                <w:tcPr>
                  <w:tcW w:w="987" w:type="dxa"/>
                  <w:shd w:val="clear" w:color="auto" w:fill="auto"/>
                  <w:noWrap/>
                  <w:vAlign w:val="center"/>
                </w:tcPr>
                <w:p w14:paraId="0AEA1173">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356F0FF">
                  <w:pPr>
                    <w:jc w:val="center"/>
                    <w:rPr>
                      <w:szCs w:val="21"/>
                    </w:rPr>
                  </w:pPr>
                  <w:r>
                    <w:rPr>
                      <w:szCs w:val="21"/>
                    </w:rPr>
                    <w:t>178-039</w:t>
                  </w:r>
                </w:p>
              </w:tc>
              <w:tc>
                <w:tcPr>
                  <w:tcW w:w="1533" w:type="dxa"/>
                  <w:tcBorders>
                    <w:left w:val="single" w:color="auto" w:sz="4" w:space="0"/>
                  </w:tcBorders>
                  <w:shd w:val="clear" w:color="auto" w:fill="auto"/>
                  <w:vAlign w:val="center"/>
                </w:tcPr>
                <w:p w14:paraId="66004E99">
                  <w:pPr>
                    <w:widowControl/>
                    <w:jc w:val="center"/>
                    <w:rPr>
                      <w:kern w:val="0"/>
                      <w:szCs w:val="21"/>
                    </w:rPr>
                  </w:pPr>
                  <w:r>
                    <w:rPr>
                      <w:kern w:val="0"/>
                      <w:szCs w:val="21"/>
                    </w:rPr>
                    <w:t>利旧</w:t>
                  </w:r>
                </w:p>
              </w:tc>
            </w:tr>
            <w:tr w14:paraId="74749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31F6D38A">
                  <w:pPr>
                    <w:jc w:val="center"/>
                    <w:rPr>
                      <w:szCs w:val="21"/>
                    </w:rPr>
                  </w:pPr>
                  <w:r>
                    <w:rPr>
                      <w:szCs w:val="21"/>
                    </w:rPr>
                    <w:t>34</w:t>
                  </w:r>
                </w:p>
              </w:tc>
              <w:tc>
                <w:tcPr>
                  <w:tcW w:w="1550" w:type="dxa"/>
                  <w:shd w:val="clear" w:color="auto" w:fill="auto"/>
                  <w:noWrap/>
                  <w:vAlign w:val="center"/>
                </w:tcPr>
                <w:p w14:paraId="5E2014D0">
                  <w:pPr>
                    <w:jc w:val="center"/>
                    <w:rPr>
                      <w:szCs w:val="21"/>
                    </w:rPr>
                  </w:pPr>
                  <w:r>
                    <w:rPr>
                      <w:szCs w:val="21"/>
                    </w:rPr>
                    <w:t>电子式气动量仪</w:t>
                  </w:r>
                </w:p>
              </w:tc>
              <w:tc>
                <w:tcPr>
                  <w:tcW w:w="847" w:type="dxa"/>
                  <w:shd w:val="clear" w:color="auto" w:fill="auto"/>
                  <w:noWrap/>
                  <w:vAlign w:val="center"/>
                </w:tcPr>
                <w:p w14:paraId="5D85C511">
                  <w:pPr>
                    <w:jc w:val="center"/>
                    <w:rPr>
                      <w:szCs w:val="21"/>
                    </w:rPr>
                  </w:pPr>
                  <w:r>
                    <w:rPr>
                      <w:szCs w:val="21"/>
                    </w:rPr>
                    <w:t>9</w:t>
                  </w:r>
                </w:p>
              </w:tc>
              <w:tc>
                <w:tcPr>
                  <w:tcW w:w="987" w:type="dxa"/>
                  <w:shd w:val="clear" w:color="auto" w:fill="auto"/>
                  <w:noWrap/>
                  <w:vAlign w:val="center"/>
                </w:tcPr>
                <w:p w14:paraId="0FE4A2E3">
                  <w:pPr>
                    <w:jc w:val="center"/>
                    <w:rPr>
                      <w:szCs w:val="21"/>
                    </w:rPr>
                  </w:pPr>
                  <w:r>
                    <w:rPr>
                      <w:kern w:val="0"/>
                      <w:szCs w:val="21"/>
                    </w:rPr>
                    <w:t>台</w:t>
                  </w:r>
                </w:p>
              </w:tc>
              <w:tc>
                <w:tcPr>
                  <w:tcW w:w="2752" w:type="dxa"/>
                  <w:tcBorders>
                    <w:right w:val="single" w:color="auto" w:sz="4" w:space="0"/>
                  </w:tcBorders>
                  <w:shd w:val="clear" w:color="auto" w:fill="auto"/>
                  <w:noWrap/>
                  <w:vAlign w:val="center"/>
                </w:tcPr>
                <w:p w14:paraId="7CD8953F">
                  <w:pPr>
                    <w:jc w:val="center"/>
                    <w:rPr>
                      <w:szCs w:val="21"/>
                    </w:rPr>
                  </w:pPr>
                  <w:r>
                    <w:rPr>
                      <w:szCs w:val="21"/>
                    </w:rPr>
                    <w:t>AEC-300</w:t>
                  </w:r>
                </w:p>
              </w:tc>
              <w:tc>
                <w:tcPr>
                  <w:tcW w:w="1533" w:type="dxa"/>
                  <w:tcBorders>
                    <w:left w:val="single" w:color="auto" w:sz="4" w:space="0"/>
                  </w:tcBorders>
                  <w:shd w:val="clear" w:color="auto" w:fill="auto"/>
                  <w:vAlign w:val="center"/>
                </w:tcPr>
                <w:p w14:paraId="19B9F98B">
                  <w:pPr>
                    <w:widowControl/>
                    <w:jc w:val="center"/>
                    <w:rPr>
                      <w:kern w:val="0"/>
                      <w:szCs w:val="21"/>
                    </w:rPr>
                  </w:pPr>
                  <w:r>
                    <w:rPr>
                      <w:kern w:val="0"/>
                      <w:szCs w:val="21"/>
                    </w:rPr>
                    <w:t>利旧</w:t>
                  </w:r>
                </w:p>
              </w:tc>
            </w:tr>
            <w:tr w14:paraId="2AE9B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2427D0E0">
                  <w:pPr>
                    <w:widowControl/>
                    <w:jc w:val="center"/>
                    <w:rPr>
                      <w:kern w:val="0"/>
                      <w:szCs w:val="21"/>
                    </w:rPr>
                  </w:pPr>
                  <w:r>
                    <w:rPr>
                      <w:szCs w:val="21"/>
                    </w:rPr>
                    <w:t>35</w:t>
                  </w:r>
                </w:p>
              </w:tc>
              <w:tc>
                <w:tcPr>
                  <w:tcW w:w="1550" w:type="dxa"/>
                  <w:shd w:val="clear" w:color="auto" w:fill="auto"/>
                  <w:noWrap/>
                  <w:vAlign w:val="center"/>
                </w:tcPr>
                <w:p w14:paraId="7DBA5C5D">
                  <w:pPr>
                    <w:jc w:val="center"/>
                    <w:rPr>
                      <w:szCs w:val="21"/>
                    </w:rPr>
                  </w:pPr>
                  <w:r>
                    <w:rPr>
                      <w:szCs w:val="21"/>
                    </w:rPr>
                    <w:t>光谱仪</w:t>
                  </w:r>
                </w:p>
              </w:tc>
              <w:tc>
                <w:tcPr>
                  <w:tcW w:w="847" w:type="dxa"/>
                  <w:shd w:val="clear" w:color="auto" w:fill="auto"/>
                  <w:noWrap/>
                  <w:vAlign w:val="center"/>
                </w:tcPr>
                <w:p w14:paraId="6F8DD4DB">
                  <w:pPr>
                    <w:jc w:val="center"/>
                    <w:rPr>
                      <w:szCs w:val="21"/>
                    </w:rPr>
                  </w:pPr>
                  <w:r>
                    <w:rPr>
                      <w:szCs w:val="21"/>
                    </w:rPr>
                    <w:t>1</w:t>
                  </w:r>
                </w:p>
              </w:tc>
              <w:tc>
                <w:tcPr>
                  <w:tcW w:w="987" w:type="dxa"/>
                  <w:shd w:val="clear" w:color="auto" w:fill="auto"/>
                  <w:noWrap/>
                  <w:vAlign w:val="center"/>
                </w:tcPr>
                <w:p w14:paraId="5A47F793">
                  <w:pPr>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A9FE036">
                  <w:pPr>
                    <w:jc w:val="center"/>
                    <w:rPr>
                      <w:szCs w:val="21"/>
                    </w:rPr>
                  </w:pPr>
                  <w:r>
                    <w:rPr>
                      <w:szCs w:val="21"/>
                    </w:rPr>
                    <w:t>/</w:t>
                  </w:r>
                </w:p>
              </w:tc>
              <w:tc>
                <w:tcPr>
                  <w:tcW w:w="1533" w:type="dxa"/>
                  <w:tcBorders>
                    <w:left w:val="single" w:color="auto" w:sz="4" w:space="0"/>
                  </w:tcBorders>
                  <w:shd w:val="clear" w:color="auto" w:fill="auto"/>
                  <w:vAlign w:val="center"/>
                </w:tcPr>
                <w:p w14:paraId="5EC2B72A">
                  <w:pPr>
                    <w:widowControl/>
                    <w:jc w:val="center"/>
                    <w:rPr>
                      <w:kern w:val="0"/>
                      <w:szCs w:val="21"/>
                    </w:rPr>
                  </w:pPr>
                  <w:r>
                    <w:rPr>
                      <w:kern w:val="0"/>
                      <w:szCs w:val="21"/>
                    </w:rPr>
                    <w:t>新增</w:t>
                  </w:r>
                </w:p>
              </w:tc>
            </w:tr>
            <w:tr w14:paraId="313A6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7DEA3BBC">
                  <w:pPr>
                    <w:jc w:val="center"/>
                    <w:rPr>
                      <w:szCs w:val="21"/>
                    </w:rPr>
                  </w:pPr>
                  <w:r>
                    <w:rPr>
                      <w:szCs w:val="21"/>
                    </w:rPr>
                    <w:t>36</w:t>
                  </w:r>
                </w:p>
              </w:tc>
              <w:tc>
                <w:tcPr>
                  <w:tcW w:w="1550" w:type="dxa"/>
                  <w:shd w:val="clear" w:color="auto" w:fill="auto"/>
                  <w:noWrap/>
                  <w:vAlign w:val="center"/>
                </w:tcPr>
                <w:p w14:paraId="7C3DFB27">
                  <w:pPr>
                    <w:jc w:val="center"/>
                    <w:rPr>
                      <w:szCs w:val="21"/>
                    </w:rPr>
                  </w:pPr>
                  <w:r>
                    <w:rPr>
                      <w:szCs w:val="21"/>
                    </w:rPr>
                    <w:t>万能试验机</w:t>
                  </w:r>
                </w:p>
              </w:tc>
              <w:tc>
                <w:tcPr>
                  <w:tcW w:w="847" w:type="dxa"/>
                  <w:shd w:val="clear" w:color="auto" w:fill="auto"/>
                  <w:noWrap/>
                  <w:vAlign w:val="center"/>
                </w:tcPr>
                <w:p w14:paraId="39C86090">
                  <w:pPr>
                    <w:jc w:val="center"/>
                    <w:rPr>
                      <w:szCs w:val="21"/>
                    </w:rPr>
                  </w:pPr>
                  <w:r>
                    <w:rPr>
                      <w:szCs w:val="21"/>
                    </w:rPr>
                    <w:t>1</w:t>
                  </w:r>
                </w:p>
              </w:tc>
              <w:tc>
                <w:tcPr>
                  <w:tcW w:w="987" w:type="dxa"/>
                  <w:shd w:val="clear" w:color="auto" w:fill="auto"/>
                  <w:noWrap/>
                  <w:vAlign w:val="center"/>
                </w:tcPr>
                <w:p w14:paraId="16250FDF">
                  <w:pPr>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926983B">
                  <w:pPr>
                    <w:jc w:val="center"/>
                    <w:rPr>
                      <w:szCs w:val="21"/>
                    </w:rPr>
                  </w:pPr>
                  <w:r>
                    <w:rPr>
                      <w:szCs w:val="21"/>
                    </w:rPr>
                    <w:t>/</w:t>
                  </w:r>
                </w:p>
              </w:tc>
              <w:tc>
                <w:tcPr>
                  <w:tcW w:w="1533" w:type="dxa"/>
                  <w:tcBorders>
                    <w:left w:val="single" w:color="auto" w:sz="4" w:space="0"/>
                  </w:tcBorders>
                  <w:shd w:val="clear" w:color="auto" w:fill="auto"/>
                  <w:vAlign w:val="center"/>
                </w:tcPr>
                <w:p w14:paraId="435FAB7B">
                  <w:pPr>
                    <w:widowControl/>
                    <w:jc w:val="center"/>
                    <w:rPr>
                      <w:kern w:val="0"/>
                      <w:szCs w:val="21"/>
                    </w:rPr>
                  </w:pPr>
                  <w:r>
                    <w:rPr>
                      <w:kern w:val="0"/>
                      <w:szCs w:val="21"/>
                    </w:rPr>
                    <w:t>新增</w:t>
                  </w:r>
                </w:p>
              </w:tc>
            </w:tr>
            <w:tr w14:paraId="04387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45317AA6">
                  <w:pPr>
                    <w:widowControl/>
                    <w:rPr>
                      <w:kern w:val="0"/>
                      <w:szCs w:val="21"/>
                    </w:rPr>
                  </w:pPr>
                  <w:r>
                    <w:rPr>
                      <w:kern w:val="0"/>
                      <w:szCs w:val="21"/>
                    </w:rPr>
                    <w:t>十、包装工序</w:t>
                  </w:r>
                </w:p>
              </w:tc>
            </w:tr>
            <w:tr w14:paraId="07EFB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1CC37C24">
                  <w:pPr>
                    <w:widowControl/>
                    <w:jc w:val="center"/>
                    <w:rPr>
                      <w:kern w:val="0"/>
                      <w:szCs w:val="21"/>
                    </w:rPr>
                  </w:pPr>
                  <w:r>
                    <w:rPr>
                      <w:szCs w:val="21"/>
                    </w:rPr>
                    <w:t>37</w:t>
                  </w:r>
                </w:p>
              </w:tc>
              <w:tc>
                <w:tcPr>
                  <w:tcW w:w="1550" w:type="dxa"/>
                  <w:shd w:val="clear" w:color="auto" w:fill="auto"/>
                  <w:noWrap/>
                  <w:vAlign w:val="center"/>
                </w:tcPr>
                <w:p w14:paraId="0A7A22E5">
                  <w:pPr>
                    <w:widowControl/>
                    <w:jc w:val="center"/>
                    <w:rPr>
                      <w:kern w:val="0"/>
                      <w:szCs w:val="21"/>
                    </w:rPr>
                  </w:pPr>
                  <w:r>
                    <w:rPr>
                      <w:kern w:val="0"/>
                      <w:szCs w:val="21"/>
                    </w:rPr>
                    <w:t>打包机</w:t>
                  </w:r>
                </w:p>
              </w:tc>
              <w:tc>
                <w:tcPr>
                  <w:tcW w:w="847" w:type="dxa"/>
                  <w:shd w:val="clear" w:color="auto" w:fill="auto"/>
                  <w:noWrap/>
                  <w:vAlign w:val="center"/>
                </w:tcPr>
                <w:p w14:paraId="22A4EB19">
                  <w:pPr>
                    <w:widowControl/>
                    <w:jc w:val="center"/>
                    <w:rPr>
                      <w:kern w:val="0"/>
                      <w:szCs w:val="21"/>
                    </w:rPr>
                  </w:pPr>
                  <w:r>
                    <w:rPr>
                      <w:kern w:val="0"/>
                      <w:szCs w:val="21"/>
                    </w:rPr>
                    <w:t>2</w:t>
                  </w:r>
                </w:p>
              </w:tc>
              <w:tc>
                <w:tcPr>
                  <w:tcW w:w="987" w:type="dxa"/>
                  <w:shd w:val="clear" w:color="auto" w:fill="auto"/>
                  <w:noWrap/>
                  <w:vAlign w:val="center"/>
                </w:tcPr>
                <w:p w14:paraId="644B5541">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DB0EC65">
                  <w:pPr>
                    <w:widowControl/>
                    <w:jc w:val="center"/>
                    <w:rPr>
                      <w:kern w:val="0"/>
                      <w:szCs w:val="21"/>
                    </w:rPr>
                  </w:pPr>
                  <w:r>
                    <w:rPr>
                      <w:kern w:val="0"/>
                      <w:szCs w:val="21"/>
                    </w:rPr>
                    <w:t>/</w:t>
                  </w:r>
                </w:p>
              </w:tc>
              <w:tc>
                <w:tcPr>
                  <w:tcW w:w="1533" w:type="dxa"/>
                  <w:tcBorders>
                    <w:left w:val="single" w:color="auto" w:sz="4" w:space="0"/>
                  </w:tcBorders>
                  <w:shd w:val="clear" w:color="auto" w:fill="auto"/>
                  <w:vAlign w:val="center"/>
                </w:tcPr>
                <w:p w14:paraId="5765585D">
                  <w:pPr>
                    <w:widowControl/>
                    <w:jc w:val="center"/>
                    <w:rPr>
                      <w:kern w:val="0"/>
                      <w:szCs w:val="21"/>
                    </w:rPr>
                  </w:pPr>
                  <w:r>
                    <w:rPr>
                      <w:kern w:val="0"/>
                      <w:szCs w:val="21"/>
                    </w:rPr>
                    <w:t>新增</w:t>
                  </w:r>
                </w:p>
              </w:tc>
            </w:tr>
            <w:tr w14:paraId="7AE0D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71A8F9B">
                  <w:pPr>
                    <w:jc w:val="center"/>
                    <w:rPr>
                      <w:szCs w:val="21"/>
                    </w:rPr>
                  </w:pPr>
                  <w:r>
                    <w:rPr>
                      <w:szCs w:val="21"/>
                    </w:rPr>
                    <w:t>38</w:t>
                  </w:r>
                </w:p>
              </w:tc>
              <w:tc>
                <w:tcPr>
                  <w:tcW w:w="1550" w:type="dxa"/>
                  <w:shd w:val="clear" w:color="auto" w:fill="auto"/>
                  <w:noWrap/>
                  <w:vAlign w:val="center"/>
                </w:tcPr>
                <w:p w14:paraId="7E75BEDC">
                  <w:pPr>
                    <w:widowControl/>
                    <w:jc w:val="center"/>
                    <w:rPr>
                      <w:kern w:val="0"/>
                      <w:szCs w:val="21"/>
                    </w:rPr>
                  </w:pPr>
                  <w:r>
                    <w:rPr>
                      <w:kern w:val="0"/>
                      <w:szCs w:val="21"/>
                    </w:rPr>
                    <w:t>叉车</w:t>
                  </w:r>
                </w:p>
              </w:tc>
              <w:tc>
                <w:tcPr>
                  <w:tcW w:w="847" w:type="dxa"/>
                  <w:shd w:val="clear" w:color="auto" w:fill="auto"/>
                  <w:noWrap/>
                  <w:vAlign w:val="center"/>
                </w:tcPr>
                <w:p w14:paraId="3B9A3159">
                  <w:pPr>
                    <w:widowControl/>
                    <w:jc w:val="center"/>
                    <w:rPr>
                      <w:kern w:val="0"/>
                      <w:szCs w:val="21"/>
                    </w:rPr>
                  </w:pPr>
                  <w:r>
                    <w:rPr>
                      <w:kern w:val="0"/>
                      <w:szCs w:val="21"/>
                    </w:rPr>
                    <w:t>2</w:t>
                  </w:r>
                </w:p>
              </w:tc>
              <w:tc>
                <w:tcPr>
                  <w:tcW w:w="987" w:type="dxa"/>
                  <w:shd w:val="clear" w:color="auto" w:fill="auto"/>
                  <w:noWrap/>
                  <w:vAlign w:val="center"/>
                </w:tcPr>
                <w:p w14:paraId="615EF50B">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2D28D57">
                  <w:pPr>
                    <w:widowControl/>
                    <w:jc w:val="center"/>
                    <w:rPr>
                      <w:kern w:val="0"/>
                      <w:szCs w:val="21"/>
                    </w:rPr>
                  </w:pPr>
                  <w:r>
                    <w:rPr>
                      <w:kern w:val="0"/>
                      <w:szCs w:val="21"/>
                    </w:rPr>
                    <w:t>/</w:t>
                  </w:r>
                </w:p>
              </w:tc>
              <w:tc>
                <w:tcPr>
                  <w:tcW w:w="1533" w:type="dxa"/>
                  <w:tcBorders>
                    <w:left w:val="single" w:color="auto" w:sz="4" w:space="0"/>
                  </w:tcBorders>
                  <w:shd w:val="clear" w:color="auto" w:fill="auto"/>
                  <w:vAlign w:val="center"/>
                </w:tcPr>
                <w:p w14:paraId="15C33074">
                  <w:pPr>
                    <w:widowControl/>
                    <w:jc w:val="center"/>
                    <w:rPr>
                      <w:kern w:val="0"/>
                      <w:szCs w:val="21"/>
                    </w:rPr>
                  </w:pPr>
                  <w:r>
                    <w:rPr>
                      <w:kern w:val="0"/>
                      <w:szCs w:val="21"/>
                    </w:rPr>
                    <w:t>利旧</w:t>
                  </w:r>
                </w:p>
              </w:tc>
            </w:tr>
            <w:tr w14:paraId="1F71E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8415" w:type="dxa"/>
                  <w:gridSpan w:val="6"/>
                  <w:vAlign w:val="center"/>
                </w:tcPr>
                <w:p w14:paraId="53150E4D">
                  <w:pPr>
                    <w:widowControl/>
                    <w:rPr>
                      <w:kern w:val="0"/>
                      <w:szCs w:val="21"/>
                    </w:rPr>
                  </w:pPr>
                  <w:r>
                    <w:rPr>
                      <w:kern w:val="0"/>
                      <w:szCs w:val="21"/>
                    </w:rPr>
                    <w:t>十一、</w:t>
                  </w:r>
                  <w:r>
                    <w:rPr>
                      <w:bCs/>
                      <w:szCs w:val="21"/>
                    </w:rPr>
                    <w:t>模具维修工序</w:t>
                  </w:r>
                </w:p>
              </w:tc>
            </w:tr>
            <w:tr w14:paraId="0ED9B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13009BA2">
                  <w:pPr>
                    <w:jc w:val="center"/>
                    <w:rPr>
                      <w:szCs w:val="21"/>
                    </w:rPr>
                  </w:pPr>
                  <w:r>
                    <w:rPr>
                      <w:szCs w:val="21"/>
                    </w:rPr>
                    <w:t>39</w:t>
                  </w:r>
                </w:p>
              </w:tc>
              <w:tc>
                <w:tcPr>
                  <w:tcW w:w="1550" w:type="dxa"/>
                  <w:shd w:val="clear" w:color="auto" w:fill="auto"/>
                  <w:noWrap/>
                  <w:vAlign w:val="center"/>
                </w:tcPr>
                <w:p w14:paraId="5EC0342A">
                  <w:pPr>
                    <w:widowControl/>
                    <w:jc w:val="center"/>
                    <w:rPr>
                      <w:kern w:val="0"/>
                      <w:szCs w:val="21"/>
                    </w:rPr>
                  </w:pPr>
                  <w:r>
                    <w:rPr>
                      <w:szCs w:val="21"/>
                    </w:rPr>
                    <w:t>快丝线切割机床</w:t>
                  </w:r>
                </w:p>
              </w:tc>
              <w:tc>
                <w:tcPr>
                  <w:tcW w:w="847" w:type="dxa"/>
                  <w:shd w:val="clear" w:color="auto" w:fill="auto"/>
                  <w:noWrap/>
                  <w:vAlign w:val="center"/>
                </w:tcPr>
                <w:p w14:paraId="5EE9C464">
                  <w:pPr>
                    <w:widowControl/>
                    <w:jc w:val="center"/>
                    <w:rPr>
                      <w:kern w:val="0"/>
                      <w:szCs w:val="21"/>
                    </w:rPr>
                  </w:pPr>
                  <w:r>
                    <w:rPr>
                      <w:kern w:val="0"/>
                      <w:szCs w:val="21"/>
                    </w:rPr>
                    <w:t>1</w:t>
                  </w:r>
                </w:p>
              </w:tc>
              <w:tc>
                <w:tcPr>
                  <w:tcW w:w="987" w:type="dxa"/>
                  <w:shd w:val="clear" w:color="auto" w:fill="auto"/>
                  <w:noWrap/>
                  <w:vAlign w:val="center"/>
                </w:tcPr>
                <w:p w14:paraId="57FB31BA">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35B83196">
                  <w:pPr>
                    <w:jc w:val="center"/>
                    <w:rPr>
                      <w:szCs w:val="21"/>
                    </w:rPr>
                  </w:pPr>
                  <w:r>
                    <w:rPr>
                      <w:szCs w:val="21"/>
                    </w:rPr>
                    <w:t>DK-7745 (450*500)</w:t>
                  </w:r>
                </w:p>
              </w:tc>
              <w:tc>
                <w:tcPr>
                  <w:tcW w:w="1533" w:type="dxa"/>
                  <w:tcBorders>
                    <w:left w:val="single" w:color="auto" w:sz="4" w:space="0"/>
                  </w:tcBorders>
                  <w:shd w:val="clear" w:color="auto" w:fill="auto"/>
                  <w:vAlign w:val="center"/>
                </w:tcPr>
                <w:p w14:paraId="105B8409">
                  <w:pPr>
                    <w:widowControl/>
                    <w:jc w:val="center"/>
                    <w:rPr>
                      <w:kern w:val="0"/>
                      <w:szCs w:val="21"/>
                    </w:rPr>
                  </w:pPr>
                  <w:r>
                    <w:rPr>
                      <w:kern w:val="0"/>
                      <w:szCs w:val="21"/>
                    </w:rPr>
                    <w:t>利旧</w:t>
                  </w:r>
                </w:p>
              </w:tc>
            </w:tr>
            <w:tr w14:paraId="7CC26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60C7D120">
                  <w:pPr>
                    <w:jc w:val="center"/>
                    <w:rPr>
                      <w:szCs w:val="21"/>
                    </w:rPr>
                  </w:pPr>
                  <w:r>
                    <w:rPr>
                      <w:szCs w:val="21"/>
                    </w:rPr>
                    <w:t>40</w:t>
                  </w:r>
                </w:p>
              </w:tc>
              <w:tc>
                <w:tcPr>
                  <w:tcW w:w="1550" w:type="dxa"/>
                  <w:shd w:val="clear" w:color="auto" w:fill="auto"/>
                  <w:noWrap/>
                  <w:vAlign w:val="center"/>
                </w:tcPr>
                <w:p w14:paraId="4DCACDC0">
                  <w:pPr>
                    <w:jc w:val="center"/>
                    <w:rPr>
                      <w:szCs w:val="21"/>
                    </w:rPr>
                  </w:pPr>
                  <w:r>
                    <w:rPr>
                      <w:szCs w:val="21"/>
                    </w:rPr>
                    <w:t>平面磨床</w:t>
                  </w:r>
                </w:p>
              </w:tc>
              <w:tc>
                <w:tcPr>
                  <w:tcW w:w="847" w:type="dxa"/>
                  <w:shd w:val="clear" w:color="auto" w:fill="auto"/>
                  <w:noWrap/>
                  <w:vAlign w:val="center"/>
                </w:tcPr>
                <w:p w14:paraId="794BFFFC">
                  <w:pPr>
                    <w:widowControl/>
                    <w:jc w:val="center"/>
                    <w:rPr>
                      <w:kern w:val="0"/>
                      <w:szCs w:val="21"/>
                    </w:rPr>
                  </w:pPr>
                  <w:r>
                    <w:rPr>
                      <w:kern w:val="0"/>
                      <w:szCs w:val="21"/>
                    </w:rPr>
                    <w:t>1</w:t>
                  </w:r>
                </w:p>
              </w:tc>
              <w:tc>
                <w:tcPr>
                  <w:tcW w:w="987" w:type="dxa"/>
                  <w:shd w:val="clear" w:color="auto" w:fill="auto"/>
                  <w:noWrap/>
                  <w:vAlign w:val="center"/>
                </w:tcPr>
                <w:p w14:paraId="3D06227B">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4602DA4">
                  <w:pPr>
                    <w:jc w:val="center"/>
                    <w:rPr>
                      <w:szCs w:val="21"/>
                    </w:rPr>
                  </w:pPr>
                  <w:r>
                    <w:rPr>
                      <w:szCs w:val="21"/>
                    </w:rPr>
                    <w:t>isen-450</w:t>
                  </w:r>
                </w:p>
              </w:tc>
              <w:tc>
                <w:tcPr>
                  <w:tcW w:w="1533" w:type="dxa"/>
                  <w:tcBorders>
                    <w:left w:val="single" w:color="auto" w:sz="4" w:space="0"/>
                  </w:tcBorders>
                  <w:shd w:val="clear" w:color="auto" w:fill="auto"/>
                  <w:vAlign w:val="center"/>
                </w:tcPr>
                <w:p w14:paraId="79FDCD8D">
                  <w:pPr>
                    <w:widowControl/>
                    <w:jc w:val="center"/>
                    <w:rPr>
                      <w:kern w:val="0"/>
                      <w:szCs w:val="21"/>
                    </w:rPr>
                  </w:pPr>
                  <w:r>
                    <w:rPr>
                      <w:kern w:val="0"/>
                      <w:szCs w:val="21"/>
                    </w:rPr>
                    <w:t>利旧</w:t>
                  </w:r>
                </w:p>
              </w:tc>
            </w:tr>
            <w:tr w14:paraId="2A8A2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17856B2A">
                  <w:pPr>
                    <w:jc w:val="center"/>
                    <w:rPr>
                      <w:szCs w:val="21"/>
                    </w:rPr>
                  </w:pPr>
                  <w:r>
                    <w:rPr>
                      <w:szCs w:val="21"/>
                    </w:rPr>
                    <w:t>41</w:t>
                  </w:r>
                </w:p>
              </w:tc>
              <w:tc>
                <w:tcPr>
                  <w:tcW w:w="1550" w:type="dxa"/>
                  <w:shd w:val="clear" w:color="auto" w:fill="auto"/>
                  <w:noWrap/>
                  <w:vAlign w:val="center"/>
                </w:tcPr>
                <w:p w14:paraId="2ECE447C">
                  <w:pPr>
                    <w:jc w:val="center"/>
                    <w:rPr>
                      <w:szCs w:val="21"/>
                    </w:rPr>
                  </w:pPr>
                  <w:r>
                    <w:rPr>
                      <w:szCs w:val="21"/>
                    </w:rPr>
                    <w:t>立式炮塔铣床</w:t>
                  </w:r>
                </w:p>
              </w:tc>
              <w:tc>
                <w:tcPr>
                  <w:tcW w:w="847" w:type="dxa"/>
                  <w:shd w:val="clear" w:color="auto" w:fill="auto"/>
                  <w:noWrap/>
                  <w:vAlign w:val="center"/>
                </w:tcPr>
                <w:p w14:paraId="5D7DE16B">
                  <w:pPr>
                    <w:widowControl/>
                    <w:jc w:val="center"/>
                    <w:rPr>
                      <w:kern w:val="0"/>
                      <w:szCs w:val="21"/>
                    </w:rPr>
                  </w:pPr>
                  <w:r>
                    <w:rPr>
                      <w:kern w:val="0"/>
                      <w:szCs w:val="21"/>
                    </w:rPr>
                    <w:t>1</w:t>
                  </w:r>
                </w:p>
              </w:tc>
              <w:tc>
                <w:tcPr>
                  <w:tcW w:w="987" w:type="dxa"/>
                  <w:shd w:val="clear" w:color="auto" w:fill="auto"/>
                  <w:noWrap/>
                  <w:vAlign w:val="center"/>
                </w:tcPr>
                <w:p w14:paraId="498425B6">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2203D2D">
                  <w:pPr>
                    <w:jc w:val="center"/>
                    <w:rPr>
                      <w:szCs w:val="21"/>
                    </w:rPr>
                  </w:pPr>
                  <w:r>
                    <w:rPr>
                      <w:szCs w:val="21"/>
                    </w:rPr>
                    <w:t>旭正TOM-3HG</w:t>
                  </w:r>
                </w:p>
              </w:tc>
              <w:tc>
                <w:tcPr>
                  <w:tcW w:w="1533" w:type="dxa"/>
                  <w:tcBorders>
                    <w:left w:val="single" w:color="auto" w:sz="4" w:space="0"/>
                  </w:tcBorders>
                  <w:shd w:val="clear" w:color="auto" w:fill="auto"/>
                  <w:vAlign w:val="center"/>
                </w:tcPr>
                <w:p w14:paraId="206F81EE">
                  <w:pPr>
                    <w:widowControl/>
                    <w:jc w:val="center"/>
                    <w:rPr>
                      <w:kern w:val="0"/>
                      <w:szCs w:val="21"/>
                    </w:rPr>
                  </w:pPr>
                  <w:r>
                    <w:rPr>
                      <w:kern w:val="0"/>
                      <w:szCs w:val="21"/>
                    </w:rPr>
                    <w:t>利旧</w:t>
                  </w:r>
                </w:p>
              </w:tc>
            </w:tr>
            <w:tr w14:paraId="24644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083301B">
                  <w:pPr>
                    <w:jc w:val="center"/>
                    <w:rPr>
                      <w:szCs w:val="21"/>
                    </w:rPr>
                  </w:pPr>
                  <w:r>
                    <w:rPr>
                      <w:szCs w:val="21"/>
                    </w:rPr>
                    <w:t>42</w:t>
                  </w:r>
                </w:p>
              </w:tc>
              <w:tc>
                <w:tcPr>
                  <w:tcW w:w="1550" w:type="dxa"/>
                  <w:shd w:val="clear" w:color="auto" w:fill="auto"/>
                  <w:noWrap/>
                  <w:vAlign w:val="center"/>
                </w:tcPr>
                <w:p w14:paraId="3029B56D">
                  <w:pPr>
                    <w:jc w:val="center"/>
                    <w:rPr>
                      <w:szCs w:val="21"/>
                    </w:rPr>
                  </w:pPr>
                  <w:r>
                    <w:rPr>
                      <w:szCs w:val="21"/>
                    </w:rPr>
                    <w:t>普通车床</w:t>
                  </w:r>
                </w:p>
              </w:tc>
              <w:tc>
                <w:tcPr>
                  <w:tcW w:w="847" w:type="dxa"/>
                  <w:shd w:val="clear" w:color="auto" w:fill="auto"/>
                  <w:noWrap/>
                  <w:vAlign w:val="center"/>
                </w:tcPr>
                <w:p w14:paraId="1B3F074D">
                  <w:pPr>
                    <w:widowControl/>
                    <w:jc w:val="center"/>
                    <w:rPr>
                      <w:kern w:val="0"/>
                      <w:szCs w:val="21"/>
                    </w:rPr>
                  </w:pPr>
                  <w:r>
                    <w:rPr>
                      <w:kern w:val="0"/>
                      <w:szCs w:val="21"/>
                    </w:rPr>
                    <w:t>1</w:t>
                  </w:r>
                </w:p>
              </w:tc>
              <w:tc>
                <w:tcPr>
                  <w:tcW w:w="987" w:type="dxa"/>
                  <w:shd w:val="clear" w:color="auto" w:fill="auto"/>
                  <w:noWrap/>
                  <w:vAlign w:val="center"/>
                </w:tcPr>
                <w:p w14:paraId="6C0EEA4C">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7EFB744">
                  <w:pPr>
                    <w:jc w:val="center"/>
                    <w:rPr>
                      <w:szCs w:val="21"/>
                    </w:rPr>
                  </w:pPr>
                  <w:r>
                    <w:rPr>
                      <w:szCs w:val="21"/>
                    </w:rPr>
                    <w:t>CA6136</w:t>
                  </w:r>
                </w:p>
              </w:tc>
              <w:tc>
                <w:tcPr>
                  <w:tcW w:w="1533" w:type="dxa"/>
                  <w:tcBorders>
                    <w:left w:val="single" w:color="auto" w:sz="4" w:space="0"/>
                  </w:tcBorders>
                  <w:shd w:val="clear" w:color="auto" w:fill="auto"/>
                  <w:vAlign w:val="center"/>
                </w:tcPr>
                <w:p w14:paraId="0520DEE4">
                  <w:pPr>
                    <w:widowControl/>
                    <w:jc w:val="center"/>
                    <w:rPr>
                      <w:kern w:val="0"/>
                      <w:szCs w:val="21"/>
                    </w:rPr>
                  </w:pPr>
                  <w:r>
                    <w:rPr>
                      <w:kern w:val="0"/>
                      <w:szCs w:val="21"/>
                    </w:rPr>
                    <w:t>利旧</w:t>
                  </w:r>
                </w:p>
              </w:tc>
            </w:tr>
            <w:tr w14:paraId="0D7F3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4875690E">
                  <w:pPr>
                    <w:jc w:val="center"/>
                    <w:rPr>
                      <w:szCs w:val="21"/>
                    </w:rPr>
                  </w:pPr>
                  <w:r>
                    <w:rPr>
                      <w:szCs w:val="21"/>
                    </w:rPr>
                    <w:t>43</w:t>
                  </w:r>
                </w:p>
              </w:tc>
              <w:tc>
                <w:tcPr>
                  <w:tcW w:w="1550" w:type="dxa"/>
                  <w:shd w:val="clear" w:color="auto" w:fill="auto"/>
                  <w:noWrap/>
                  <w:vAlign w:val="center"/>
                </w:tcPr>
                <w:p w14:paraId="0875EB5D">
                  <w:pPr>
                    <w:jc w:val="center"/>
                    <w:rPr>
                      <w:szCs w:val="21"/>
                    </w:rPr>
                  </w:pPr>
                  <w:r>
                    <w:rPr>
                      <w:szCs w:val="21"/>
                    </w:rPr>
                    <w:t>砂轮机</w:t>
                  </w:r>
                </w:p>
              </w:tc>
              <w:tc>
                <w:tcPr>
                  <w:tcW w:w="847" w:type="dxa"/>
                  <w:shd w:val="clear" w:color="auto" w:fill="auto"/>
                  <w:noWrap/>
                  <w:vAlign w:val="center"/>
                </w:tcPr>
                <w:p w14:paraId="3D91112D">
                  <w:pPr>
                    <w:widowControl/>
                    <w:jc w:val="center"/>
                    <w:rPr>
                      <w:kern w:val="0"/>
                      <w:szCs w:val="21"/>
                    </w:rPr>
                  </w:pPr>
                  <w:r>
                    <w:rPr>
                      <w:kern w:val="0"/>
                      <w:szCs w:val="21"/>
                    </w:rPr>
                    <w:t>1</w:t>
                  </w:r>
                </w:p>
              </w:tc>
              <w:tc>
                <w:tcPr>
                  <w:tcW w:w="987" w:type="dxa"/>
                  <w:shd w:val="clear" w:color="auto" w:fill="auto"/>
                  <w:noWrap/>
                  <w:vAlign w:val="center"/>
                </w:tcPr>
                <w:p w14:paraId="6137B2C8">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75EFC60">
                  <w:pPr>
                    <w:jc w:val="center"/>
                    <w:rPr>
                      <w:szCs w:val="21"/>
                    </w:rPr>
                  </w:pPr>
                  <w:r>
                    <w:rPr>
                      <w:szCs w:val="21"/>
                    </w:rPr>
                    <w:t>/</w:t>
                  </w:r>
                </w:p>
              </w:tc>
              <w:tc>
                <w:tcPr>
                  <w:tcW w:w="1533" w:type="dxa"/>
                  <w:tcBorders>
                    <w:left w:val="single" w:color="auto" w:sz="4" w:space="0"/>
                  </w:tcBorders>
                  <w:shd w:val="clear" w:color="auto" w:fill="auto"/>
                  <w:vAlign w:val="center"/>
                </w:tcPr>
                <w:p w14:paraId="60FEA075">
                  <w:pPr>
                    <w:widowControl/>
                    <w:jc w:val="center"/>
                    <w:rPr>
                      <w:kern w:val="0"/>
                      <w:szCs w:val="21"/>
                    </w:rPr>
                  </w:pPr>
                  <w:r>
                    <w:rPr>
                      <w:kern w:val="0"/>
                      <w:szCs w:val="21"/>
                    </w:rPr>
                    <w:t>利旧</w:t>
                  </w:r>
                </w:p>
              </w:tc>
            </w:tr>
            <w:tr w14:paraId="4B2C7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3AE6D4C8">
                  <w:pPr>
                    <w:jc w:val="center"/>
                    <w:rPr>
                      <w:szCs w:val="21"/>
                    </w:rPr>
                  </w:pPr>
                  <w:r>
                    <w:rPr>
                      <w:szCs w:val="21"/>
                    </w:rPr>
                    <w:t>44</w:t>
                  </w:r>
                </w:p>
              </w:tc>
              <w:tc>
                <w:tcPr>
                  <w:tcW w:w="1550" w:type="dxa"/>
                  <w:shd w:val="clear" w:color="auto" w:fill="auto"/>
                  <w:noWrap/>
                  <w:vAlign w:val="center"/>
                </w:tcPr>
                <w:p w14:paraId="395BB448">
                  <w:pPr>
                    <w:jc w:val="center"/>
                    <w:rPr>
                      <w:szCs w:val="21"/>
                    </w:rPr>
                  </w:pPr>
                  <w:r>
                    <w:rPr>
                      <w:szCs w:val="21"/>
                    </w:rPr>
                    <w:t>立式锯床</w:t>
                  </w:r>
                </w:p>
              </w:tc>
              <w:tc>
                <w:tcPr>
                  <w:tcW w:w="847" w:type="dxa"/>
                  <w:shd w:val="clear" w:color="auto" w:fill="auto"/>
                  <w:noWrap/>
                  <w:vAlign w:val="center"/>
                </w:tcPr>
                <w:p w14:paraId="558F7978">
                  <w:pPr>
                    <w:widowControl/>
                    <w:jc w:val="center"/>
                    <w:rPr>
                      <w:kern w:val="0"/>
                      <w:szCs w:val="21"/>
                    </w:rPr>
                  </w:pPr>
                  <w:r>
                    <w:rPr>
                      <w:kern w:val="0"/>
                      <w:szCs w:val="21"/>
                    </w:rPr>
                    <w:t>1</w:t>
                  </w:r>
                </w:p>
              </w:tc>
              <w:tc>
                <w:tcPr>
                  <w:tcW w:w="987" w:type="dxa"/>
                  <w:shd w:val="clear" w:color="auto" w:fill="auto"/>
                  <w:noWrap/>
                  <w:vAlign w:val="center"/>
                </w:tcPr>
                <w:p w14:paraId="2EF43550">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19A8BED3">
                  <w:pPr>
                    <w:jc w:val="center"/>
                    <w:rPr>
                      <w:szCs w:val="21"/>
                    </w:rPr>
                  </w:pPr>
                  <w:r>
                    <w:rPr>
                      <w:szCs w:val="21"/>
                    </w:rPr>
                    <w:t>JW-360A</w:t>
                  </w:r>
                </w:p>
              </w:tc>
              <w:tc>
                <w:tcPr>
                  <w:tcW w:w="1533" w:type="dxa"/>
                  <w:tcBorders>
                    <w:left w:val="single" w:color="auto" w:sz="4" w:space="0"/>
                  </w:tcBorders>
                  <w:shd w:val="clear" w:color="auto" w:fill="auto"/>
                  <w:vAlign w:val="center"/>
                </w:tcPr>
                <w:p w14:paraId="27FCFB0B">
                  <w:pPr>
                    <w:widowControl/>
                    <w:jc w:val="center"/>
                    <w:rPr>
                      <w:kern w:val="0"/>
                      <w:szCs w:val="21"/>
                    </w:rPr>
                  </w:pPr>
                  <w:r>
                    <w:rPr>
                      <w:kern w:val="0"/>
                      <w:szCs w:val="21"/>
                    </w:rPr>
                    <w:t>利旧</w:t>
                  </w:r>
                </w:p>
              </w:tc>
            </w:tr>
            <w:tr w14:paraId="172D5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5604F5DA">
                  <w:pPr>
                    <w:jc w:val="center"/>
                    <w:rPr>
                      <w:szCs w:val="21"/>
                    </w:rPr>
                  </w:pPr>
                  <w:r>
                    <w:rPr>
                      <w:szCs w:val="21"/>
                    </w:rPr>
                    <w:t>45</w:t>
                  </w:r>
                </w:p>
              </w:tc>
              <w:tc>
                <w:tcPr>
                  <w:tcW w:w="1550" w:type="dxa"/>
                  <w:shd w:val="clear" w:color="auto" w:fill="auto"/>
                  <w:noWrap/>
                  <w:vAlign w:val="center"/>
                </w:tcPr>
                <w:p w14:paraId="2E13EA26">
                  <w:pPr>
                    <w:jc w:val="center"/>
                    <w:rPr>
                      <w:szCs w:val="21"/>
                    </w:rPr>
                  </w:pPr>
                  <w:r>
                    <w:rPr>
                      <w:szCs w:val="21"/>
                    </w:rPr>
                    <w:t>高温电阻炉</w:t>
                  </w:r>
                </w:p>
              </w:tc>
              <w:tc>
                <w:tcPr>
                  <w:tcW w:w="847" w:type="dxa"/>
                  <w:shd w:val="clear" w:color="auto" w:fill="auto"/>
                  <w:noWrap/>
                  <w:vAlign w:val="center"/>
                </w:tcPr>
                <w:p w14:paraId="4E2C2A06">
                  <w:pPr>
                    <w:widowControl/>
                    <w:jc w:val="center"/>
                    <w:rPr>
                      <w:kern w:val="0"/>
                      <w:szCs w:val="21"/>
                    </w:rPr>
                  </w:pPr>
                  <w:r>
                    <w:rPr>
                      <w:kern w:val="0"/>
                      <w:szCs w:val="21"/>
                    </w:rPr>
                    <w:t>1</w:t>
                  </w:r>
                </w:p>
              </w:tc>
              <w:tc>
                <w:tcPr>
                  <w:tcW w:w="987" w:type="dxa"/>
                  <w:shd w:val="clear" w:color="auto" w:fill="auto"/>
                  <w:noWrap/>
                  <w:vAlign w:val="center"/>
                </w:tcPr>
                <w:p w14:paraId="4560FE1E">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432EFF27">
                  <w:pPr>
                    <w:jc w:val="center"/>
                    <w:rPr>
                      <w:szCs w:val="21"/>
                    </w:rPr>
                  </w:pPr>
                  <w:r>
                    <w:rPr>
                      <w:szCs w:val="21"/>
                    </w:rPr>
                    <w:t>SX2-18-12</w:t>
                  </w:r>
                </w:p>
              </w:tc>
              <w:tc>
                <w:tcPr>
                  <w:tcW w:w="1533" w:type="dxa"/>
                  <w:tcBorders>
                    <w:left w:val="single" w:color="auto" w:sz="4" w:space="0"/>
                  </w:tcBorders>
                  <w:shd w:val="clear" w:color="auto" w:fill="auto"/>
                  <w:vAlign w:val="center"/>
                </w:tcPr>
                <w:p w14:paraId="44C68C2F">
                  <w:pPr>
                    <w:widowControl/>
                    <w:jc w:val="center"/>
                    <w:rPr>
                      <w:kern w:val="0"/>
                      <w:szCs w:val="21"/>
                    </w:rPr>
                  </w:pPr>
                  <w:r>
                    <w:rPr>
                      <w:kern w:val="0"/>
                      <w:szCs w:val="21"/>
                    </w:rPr>
                    <w:t>利旧</w:t>
                  </w:r>
                </w:p>
              </w:tc>
            </w:tr>
            <w:tr w14:paraId="576B4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475C53AE">
                  <w:pPr>
                    <w:jc w:val="center"/>
                    <w:rPr>
                      <w:szCs w:val="21"/>
                    </w:rPr>
                  </w:pPr>
                  <w:r>
                    <w:rPr>
                      <w:szCs w:val="21"/>
                    </w:rPr>
                    <w:t>46</w:t>
                  </w:r>
                </w:p>
              </w:tc>
              <w:tc>
                <w:tcPr>
                  <w:tcW w:w="1550" w:type="dxa"/>
                  <w:shd w:val="clear" w:color="auto" w:fill="auto"/>
                  <w:noWrap/>
                  <w:vAlign w:val="center"/>
                </w:tcPr>
                <w:p w14:paraId="67FB2A12">
                  <w:pPr>
                    <w:widowControl/>
                    <w:jc w:val="center"/>
                    <w:rPr>
                      <w:bCs/>
                      <w:szCs w:val="21"/>
                    </w:rPr>
                  </w:pPr>
                  <w:r>
                    <w:rPr>
                      <w:bCs/>
                      <w:szCs w:val="21"/>
                    </w:rPr>
                    <w:t>二机车床</w:t>
                  </w:r>
                </w:p>
              </w:tc>
              <w:tc>
                <w:tcPr>
                  <w:tcW w:w="847" w:type="dxa"/>
                  <w:shd w:val="clear" w:color="auto" w:fill="auto"/>
                  <w:noWrap/>
                  <w:vAlign w:val="center"/>
                </w:tcPr>
                <w:p w14:paraId="10A57739">
                  <w:pPr>
                    <w:widowControl/>
                    <w:jc w:val="center"/>
                    <w:rPr>
                      <w:kern w:val="0"/>
                      <w:szCs w:val="21"/>
                    </w:rPr>
                  </w:pPr>
                  <w:r>
                    <w:rPr>
                      <w:kern w:val="0"/>
                      <w:szCs w:val="21"/>
                    </w:rPr>
                    <w:t>2</w:t>
                  </w:r>
                </w:p>
              </w:tc>
              <w:tc>
                <w:tcPr>
                  <w:tcW w:w="987" w:type="dxa"/>
                  <w:shd w:val="clear" w:color="auto" w:fill="auto"/>
                  <w:noWrap/>
                  <w:vAlign w:val="center"/>
                </w:tcPr>
                <w:p w14:paraId="1BA30BD7">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59F406C4">
                  <w:pPr>
                    <w:widowControl/>
                    <w:jc w:val="center"/>
                    <w:rPr>
                      <w:kern w:val="0"/>
                      <w:szCs w:val="21"/>
                    </w:rPr>
                  </w:pPr>
                  <w:r>
                    <w:rPr>
                      <w:kern w:val="0"/>
                      <w:szCs w:val="21"/>
                    </w:rPr>
                    <w:t>/</w:t>
                  </w:r>
                </w:p>
              </w:tc>
              <w:tc>
                <w:tcPr>
                  <w:tcW w:w="1533" w:type="dxa"/>
                  <w:tcBorders>
                    <w:left w:val="single" w:color="auto" w:sz="4" w:space="0"/>
                  </w:tcBorders>
                  <w:shd w:val="clear" w:color="auto" w:fill="auto"/>
                  <w:vAlign w:val="center"/>
                </w:tcPr>
                <w:p w14:paraId="43A60F57">
                  <w:pPr>
                    <w:widowControl/>
                    <w:jc w:val="center"/>
                    <w:rPr>
                      <w:kern w:val="0"/>
                      <w:szCs w:val="21"/>
                    </w:rPr>
                  </w:pPr>
                  <w:r>
                    <w:rPr>
                      <w:kern w:val="0"/>
                      <w:szCs w:val="21"/>
                    </w:rPr>
                    <w:t>利旧</w:t>
                  </w:r>
                </w:p>
              </w:tc>
            </w:tr>
            <w:tr w14:paraId="669B5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E7527F5">
                  <w:pPr>
                    <w:widowControl/>
                    <w:jc w:val="center"/>
                    <w:rPr>
                      <w:kern w:val="0"/>
                      <w:sz w:val="22"/>
                      <w:szCs w:val="22"/>
                    </w:rPr>
                  </w:pPr>
                  <w:r>
                    <w:rPr>
                      <w:rFonts w:hint="eastAsia"/>
                      <w:sz w:val="22"/>
                      <w:szCs w:val="22"/>
                    </w:rPr>
                    <w:t>47</w:t>
                  </w:r>
                </w:p>
              </w:tc>
              <w:tc>
                <w:tcPr>
                  <w:tcW w:w="1550" w:type="dxa"/>
                  <w:shd w:val="clear" w:color="auto" w:fill="auto"/>
                  <w:noWrap/>
                  <w:vAlign w:val="center"/>
                </w:tcPr>
                <w:p w14:paraId="6A4295A5">
                  <w:pPr>
                    <w:widowControl/>
                    <w:jc w:val="center"/>
                    <w:rPr>
                      <w:kern w:val="0"/>
                      <w:szCs w:val="21"/>
                    </w:rPr>
                  </w:pPr>
                  <w:r>
                    <w:rPr>
                      <w:kern w:val="0"/>
                      <w:szCs w:val="21"/>
                    </w:rPr>
                    <w:t>电焊机</w:t>
                  </w:r>
                </w:p>
              </w:tc>
              <w:tc>
                <w:tcPr>
                  <w:tcW w:w="847" w:type="dxa"/>
                  <w:shd w:val="clear" w:color="auto" w:fill="auto"/>
                  <w:noWrap/>
                  <w:vAlign w:val="center"/>
                </w:tcPr>
                <w:p w14:paraId="1627A172">
                  <w:pPr>
                    <w:widowControl/>
                    <w:jc w:val="center"/>
                    <w:rPr>
                      <w:kern w:val="0"/>
                      <w:szCs w:val="21"/>
                    </w:rPr>
                  </w:pPr>
                  <w:r>
                    <w:rPr>
                      <w:kern w:val="0"/>
                      <w:szCs w:val="21"/>
                    </w:rPr>
                    <w:t>1</w:t>
                  </w:r>
                </w:p>
              </w:tc>
              <w:tc>
                <w:tcPr>
                  <w:tcW w:w="987" w:type="dxa"/>
                  <w:shd w:val="clear" w:color="auto" w:fill="auto"/>
                  <w:noWrap/>
                  <w:vAlign w:val="center"/>
                </w:tcPr>
                <w:p w14:paraId="723E6524">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7DE39B84">
                  <w:pPr>
                    <w:widowControl/>
                    <w:jc w:val="center"/>
                    <w:rPr>
                      <w:kern w:val="0"/>
                      <w:szCs w:val="21"/>
                    </w:rPr>
                  </w:pPr>
                  <w:r>
                    <w:rPr>
                      <w:kern w:val="0"/>
                      <w:szCs w:val="21"/>
                    </w:rPr>
                    <w:t>/</w:t>
                  </w:r>
                </w:p>
              </w:tc>
              <w:tc>
                <w:tcPr>
                  <w:tcW w:w="1533" w:type="dxa"/>
                  <w:tcBorders>
                    <w:left w:val="single" w:color="auto" w:sz="4" w:space="0"/>
                  </w:tcBorders>
                  <w:shd w:val="clear" w:color="auto" w:fill="auto"/>
                  <w:vAlign w:val="center"/>
                </w:tcPr>
                <w:p w14:paraId="036E64B4">
                  <w:pPr>
                    <w:widowControl/>
                    <w:jc w:val="center"/>
                    <w:rPr>
                      <w:kern w:val="0"/>
                      <w:szCs w:val="21"/>
                    </w:rPr>
                  </w:pPr>
                  <w:r>
                    <w:rPr>
                      <w:kern w:val="0"/>
                      <w:szCs w:val="21"/>
                    </w:rPr>
                    <w:t>利旧</w:t>
                  </w:r>
                </w:p>
              </w:tc>
            </w:tr>
            <w:tr w14:paraId="208F7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7D4EB179">
                  <w:pPr>
                    <w:jc w:val="center"/>
                    <w:rPr>
                      <w:sz w:val="22"/>
                      <w:szCs w:val="22"/>
                    </w:rPr>
                  </w:pPr>
                  <w:r>
                    <w:rPr>
                      <w:rFonts w:hint="eastAsia"/>
                      <w:sz w:val="22"/>
                      <w:szCs w:val="22"/>
                    </w:rPr>
                    <w:t>48</w:t>
                  </w:r>
                </w:p>
              </w:tc>
              <w:tc>
                <w:tcPr>
                  <w:tcW w:w="1550" w:type="dxa"/>
                  <w:shd w:val="clear" w:color="auto" w:fill="auto"/>
                  <w:noWrap/>
                  <w:vAlign w:val="center"/>
                </w:tcPr>
                <w:p w14:paraId="2B3D305C">
                  <w:pPr>
                    <w:widowControl/>
                    <w:jc w:val="center"/>
                    <w:rPr>
                      <w:kern w:val="0"/>
                      <w:szCs w:val="21"/>
                    </w:rPr>
                  </w:pPr>
                  <w:r>
                    <w:rPr>
                      <w:kern w:val="0"/>
                      <w:szCs w:val="21"/>
                    </w:rPr>
                    <w:t>被覆机</w:t>
                  </w:r>
                </w:p>
              </w:tc>
              <w:tc>
                <w:tcPr>
                  <w:tcW w:w="847" w:type="dxa"/>
                  <w:shd w:val="clear" w:color="auto" w:fill="auto"/>
                  <w:noWrap/>
                  <w:vAlign w:val="center"/>
                </w:tcPr>
                <w:p w14:paraId="1FB429B4">
                  <w:pPr>
                    <w:widowControl/>
                    <w:jc w:val="center"/>
                    <w:rPr>
                      <w:kern w:val="0"/>
                      <w:szCs w:val="21"/>
                    </w:rPr>
                  </w:pPr>
                  <w:r>
                    <w:rPr>
                      <w:kern w:val="0"/>
                      <w:szCs w:val="21"/>
                    </w:rPr>
                    <w:t>1</w:t>
                  </w:r>
                </w:p>
              </w:tc>
              <w:tc>
                <w:tcPr>
                  <w:tcW w:w="987" w:type="dxa"/>
                  <w:shd w:val="clear" w:color="auto" w:fill="auto"/>
                  <w:noWrap/>
                  <w:vAlign w:val="center"/>
                </w:tcPr>
                <w:p w14:paraId="47BA3411">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35D458F">
                  <w:pPr>
                    <w:widowControl/>
                    <w:jc w:val="center"/>
                    <w:rPr>
                      <w:kern w:val="0"/>
                      <w:szCs w:val="21"/>
                    </w:rPr>
                  </w:pPr>
                  <w:r>
                    <w:rPr>
                      <w:kern w:val="0"/>
                      <w:szCs w:val="21"/>
                    </w:rPr>
                    <w:t>/</w:t>
                  </w:r>
                </w:p>
              </w:tc>
              <w:tc>
                <w:tcPr>
                  <w:tcW w:w="1533" w:type="dxa"/>
                  <w:tcBorders>
                    <w:left w:val="single" w:color="auto" w:sz="4" w:space="0"/>
                  </w:tcBorders>
                  <w:shd w:val="clear" w:color="auto" w:fill="auto"/>
                  <w:vAlign w:val="center"/>
                </w:tcPr>
                <w:p w14:paraId="0A1BBD22">
                  <w:pPr>
                    <w:widowControl/>
                    <w:jc w:val="center"/>
                    <w:rPr>
                      <w:kern w:val="0"/>
                      <w:szCs w:val="21"/>
                    </w:rPr>
                  </w:pPr>
                  <w:r>
                    <w:rPr>
                      <w:kern w:val="0"/>
                      <w:szCs w:val="21"/>
                    </w:rPr>
                    <w:t>利旧</w:t>
                  </w:r>
                </w:p>
              </w:tc>
            </w:tr>
            <w:tr w14:paraId="1E6CA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8415" w:type="dxa"/>
                  <w:gridSpan w:val="6"/>
                  <w:vAlign w:val="center"/>
                </w:tcPr>
                <w:p w14:paraId="737660DB">
                  <w:pPr>
                    <w:widowControl/>
                    <w:rPr>
                      <w:kern w:val="0"/>
                      <w:szCs w:val="21"/>
                    </w:rPr>
                  </w:pPr>
                  <w:r>
                    <w:rPr>
                      <w:kern w:val="0"/>
                      <w:szCs w:val="21"/>
                    </w:rPr>
                    <w:t>十二</w:t>
                  </w:r>
                  <w:r>
                    <w:rPr>
                      <w:rFonts w:hint="eastAsia"/>
                      <w:kern w:val="0"/>
                      <w:szCs w:val="21"/>
                    </w:rPr>
                    <w:t>、</w:t>
                  </w:r>
                  <w:r>
                    <w:rPr>
                      <w:kern w:val="0"/>
                      <w:szCs w:val="21"/>
                    </w:rPr>
                    <w:t>环保设施</w:t>
                  </w:r>
                </w:p>
              </w:tc>
            </w:tr>
            <w:tr w14:paraId="73C7C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CCA4523">
                  <w:pPr>
                    <w:jc w:val="center"/>
                    <w:rPr>
                      <w:sz w:val="22"/>
                      <w:szCs w:val="22"/>
                    </w:rPr>
                  </w:pPr>
                  <w:r>
                    <w:rPr>
                      <w:rFonts w:hint="eastAsia"/>
                      <w:sz w:val="22"/>
                      <w:szCs w:val="22"/>
                    </w:rPr>
                    <w:t>49</w:t>
                  </w:r>
                </w:p>
              </w:tc>
              <w:tc>
                <w:tcPr>
                  <w:tcW w:w="1550" w:type="dxa"/>
                  <w:shd w:val="clear" w:color="auto" w:fill="auto"/>
                  <w:noWrap/>
                  <w:vAlign w:val="center"/>
                </w:tcPr>
                <w:p w14:paraId="73155723">
                  <w:pPr>
                    <w:widowControl/>
                    <w:jc w:val="center"/>
                    <w:rPr>
                      <w:kern w:val="0"/>
                      <w:szCs w:val="21"/>
                    </w:rPr>
                  </w:pPr>
                  <w:r>
                    <w:rPr>
                      <w:kern w:val="0"/>
                      <w:szCs w:val="21"/>
                    </w:rPr>
                    <w:t>高温布袋除尘器</w:t>
                  </w:r>
                </w:p>
              </w:tc>
              <w:tc>
                <w:tcPr>
                  <w:tcW w:w="847" w:type="dxa"/>
                  <w:shd w:val="clear" w:color="auto" w:fill="auto"/>
                  <w:noWrap/>
                  <w:vAlign w:val="center"/>
                </w:tcPr>
                <w:p w14:paraId="3C5C4045">
                  <w:pPr>
                    <w:widowControl/>
                    <w:jc w:val="center"/>
                    <w:rPr>
                      <w:kern w:val="0"/>
                      <w:szCs w:val="21"/>
                    </w:rPr>
                  </w:pPr>
                  <w:r>
                    <w:rPr>
                      <w:kern w:val="0"/>
                      <w:szCs w:val="21"/>
                    </w:rPr>
                    <w:t>1</w:t>
                  </w:r>
                </w:p>
              </w:tc>
              <w:tc>
                <w:tcPr>
                  <w:tcW w:w="987" w:type="dxa"/>
                  <w:shd w:val="clear" w:color="auto" w:fill="auto"/>
                  <w:noWrap/>
                  <w:vAlign w:val="center"/>
                </w:tcPr>
                <w:p w14:paraId="545B7835">
                  <w:pPr>
                    <w:widowControl/>
                    <w:jc w:val="center"/>
                    <w:rPr>
                      <w:kern w:val="0"/>
                      <w:szCs w:val="21"/>
                    </w:rPr>
                  </w:pPr>
                  <w:r>
                    <w:rPr>
                      <w:kern w:val="0"/>
                      <w:szCs w:val="21"/>
                    </w:rPr>
                    <w:t>套</w:t>
                  </w:r>
                </w:p>
              </w:tc>
              <w:tc>
                <w:tcPr>
                  <w:tcW w:w="2752" w:type="dxa"/>
                  <w:tcBorders>
                    <w:right w:val="single" w:color="auto" w:sz="4" w:space="0"/>
                  </w:tcBorders>
                  <w:shd w:val="clear" w:color="auto" w:fill="auto"/>
                  <w:noWrap/>
                  <w:vAlign w:val="center"/>
                </w:tcPr>
                <w:p w14:paraId="3354B901">
                  <w:pPr>
                    <w:widowControl/>
                    <w:jc w:val="center"/>
                    <w:rPr>
                      <w:kern w:val="0"/>
                      <w:szCs w:val="21"/>
                    </w:rPr>
                  </w:pPr>
                  <w:r>
                    <w:rPr>
                      <w:rFonts w:hint="eastAsia"/>
                      <w:kern w:val="0"/>
                      <w:szCs w:val="21"/>
                    </w:rPr>
                    <w:t>风量</w:t>
                  </w:r>
                  <w:r>
                    <w:rPr>
                      <w:bCs/>
                      <w:szCs w:val="21"/>
                    </w:rPr>
                    <w:t>8000</w:t>
                  </w:r>
                  <w:r>
                    <w:rPr>
                      <w:rFonts w:hint="eastAsia"/>
                      <w:bCs/>
                      <w:szCs w:val="21"/>
                    </w:rPr>
                    <w:t>m</w:t>
                  </w:r>
                  <w:r>
                    <w:rPr>
                      <w:rFonts w:hint="eastAsia"/>
                      <w:bCs/>
                      <w:szCs w:val="21"/>
                      <w:vertAlign w:val="superscript"/>
                    </w:rPr>
                    <w:t>3</w:t>
                  </w:r>
                  <w:r>
                    <w:rPr>
                      <w:rFonts w:hint="eastAsia"/>
                      <w:bCs/>
                      <w:szCs w:val="21"/>
                    </w:rPr>
                    <w:t>/h</w:t>
                  </w:r>
                </w:p>
              </w:tc>
              <w:tc>
                <w:tcPr>
                  <w:tcW w:w="1533" w:type="dxa"/>
                  <w:tcBorders>
                    <w:left w:val="single" w:color="auto" w:sz="4" w:space="0"/>
                  </w:tcBorders>
                  <w:shd w:val="clear" w:color="auto" w:fill="auto"/>
                  <w:vAlign w:val="center"/>
                </w:tcPr>
                <w:p w14:paraId="76445F85">
                  <w:pPr>
                    <w:widowControl/>
                    <w:jc w:val="center"/>
                    <w:rPr>
                      <w:kern w:val="0"/>
                      <w:szCs w:val="21"/>
                    </w:rPr>
                  </w:pPr>
                  <w:r>
                    <w:rPr>
                      <w:kern w:val="0"/>
                      <w:szCs w:val="21"/>
                    </w:rPr>
                    <w:t>新建</w:t>
                  </w:r>
                </w:p>
              </w:tc>
            </w:tr>
            <w:tr w14:paraId="56A00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7932E3D">
                  <w:pPr>
                    <w:jc w:val="center"/>
                    <w:rPr>
                      <w:sz w:val="22"/>
                      <w:szCs w:val="22"/>
                    </w:rPr>
                  </w:pPr>
                  <w:r>
                    <w:rPr>
                      <w:rFonts w:hint="eastAsia"/>
                      <w:sz w:val="22"/>
                      <w:szCs w:val="22"/>
                    </w:rPr>
                    <w:t>50</w:t>
                  </w:r>
                </w:p>
              </w:tc>
              <w:tc>
                <w:tcPr>
                  <w:tcW w:w="1550" w:type="dxa"/>
                  <w:shd w:val="clear" w:color="auto" w:fill="auto"/>
                  <w:noWrap/>
                  <w:vAlign w:val="center"/>
                </w:tcPr>
                <w:p w14:paraId="621DDC64">
                  <w:pPr>
                    <w:widowControl/>
                    <w:jc w:val="center"/>
                    <w:rPr>
                      <w:kern w:val="0"/>
                      <w:szCs w:val="21"/>
                    </w:rPr>
                  </w:pPr>
                  <w:r>
                    <w:rPr>
                      <w:kern w:val="0"/>
                      <w:szCs w:val="21"/>
                    </w:rPr>
                    <w:t>有机废气治理设施</w:t>
                  </w:r>
                </w:p>
              </w:tc>
              <w:tc>
                <w:tcPr>
                  <w:tcW w:w="847" w:type="dxa"/>
                  <w:shd w:val="clear" w:color="auto" w:fill="auto"/>
                  <w:noWrap/>
                  <w:vAlign w:val="center"/>
                </w:tcPr>
                <w:p w14:paraId="37C594CA">
                  <w:pPr>
                    <w:widowControl/>
                    <w:jc w:val="center"/>
                    <w:rPr>
                      <w:kern w:val="0"/>
                      <w:szCs w:val="21"/>
                    </w:rPr>
                  </w:pPr>
                  <w:r>
                    <w:rPr>
                      <w:rFonts w:hint="eastAsia"/>
                      <w:kern w:val="0"/>
                      <w:szCs w:val="21"/>
                    </w:rPr>
                    <w:t>1</w:t>
                  </w:r>
                </w:p>
              </w:tc>
              <w:tc>
                <w:tcPr>
                  <w:tcW w:w="987" w:type="dxa"/>
                  <w:shd w:val="clear" w:color="auto" w:fill="auto"/>
                  <w:noWrap/>
                  <w:vAlign w:val="center"/>
                </w:tcPr>
                <w:p w14:paraId="5DFD0FE3">
                  <w:pPr>
                    <w:widowControl/>
                    <w:jc w:val="center"/>
                    <w:rPr>
                      <w:kern w:val="0"/>
                      <w:szCs w:val="21"/>
                    </w:rPr>
                  </w:pPr>
                  <w:r>
                    <w:rPr>
                      <w:kern w:val="0"/>
                      <w:szCs w:val="21"/>
                    </w:rPr>
                    <w:t>套</w:t>
                  </w:r>
                </w:p>
              </w:tc>
              <w:tc>
                <w:tcPr>
                  <w:tcW w:w="2752" w:type="dxa"/>
                  <w:tcBorders>
                    <w:right w:val="single" w:color="auto" w:sz="4" w:space="0"/>
                  </w:tcBorders>
                  <w:shd w:val="clear" w:color="auto" w:fill="auto"/>
                  <w:noWrap/>
                  <w:vAlign w:val="center"/>
                </w:tcPr>
                <w:p w14:paraId="768BED6A">
                  <w:pPr>
                    <w:widowControl/>
                    <w:jc w:val="center"/>
                    <w:rPr>
                      <w:kern w:val="0"/>
                      <w:szCs w:val="21"/>
                    </w:rPr>
                  </w:pPr>
                  <w:r>
                    <w:rPr>
                      <w:rFonts w:hint="eastAsia"/>
                      <w:bCs/>
                      <w:szCs w:val="21"/>
                    </w:rPr>
                    <w:t>风量</w:t>
                  </w:r>
                  <w:r>
                    <w:rPr>
                      <w:bCs/>
                      <w:szCs w:val="21"/>
                    </w:rPr>
                    <w:t>15000m</w:t>
                  </w:r>
                  <w:r>
                    <w:rPr>
                      <w:bCs/>
                      <w:szCs w:val="21"/>
                      <w:vertAlign w:val="superscript"/>
                    </w:rPr>
                    <w:t>3</w:t>
                  </w:r>
                  <w:r>
                    <w:rPr>
                      <w:bCs/>
                      <w:szCs w:val="21"/>
                    </w:rPr>
                    <w:t>/h</w:t>
                  </w:r>
                </w:p>
              </w:tc>
              <w:tc>
                <w:tcPr>
                  <w:tcW w:w="1533" w:type="dxa"/>
                  <w:tcBorders>
                    <w:left w:val="single" w:color="auto" w:sz="4" w:space="0"/>
                  </w:tcBorders>
                  <w:shd w:val="clear" w:color="auto" w:fill="auto"/>
                  <w:vAlign w:val="center"/>
                </w:tcPr>
                <w:p w14:paraId="6D956ECB">
                  <w:pPr>
                    <w:widowControl/>
                    <w:jc w:val="center"/>
                    <w:rPr>
                      <w:kern w:val="0"/>
                      <w:szCs w:val="21"/>
                    </w:rPr>
                  </w:pPr>
                  <w:r>
                    <w:rPr>
                      <w:kern w:val="0"/>
                      <w:szCs w:val="21"/>
                    </w:rPr>
                    <w:t>新建</w:t>
                  </w:r>
                </w:p>
              </w:tc>
            </w:tr>
            <w:tr w14:paraId="39D39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77E14655">
                  <w:pPr>
                    <w:widowControl/>
                    <w:jc w:val="center"/>
                    <w:rPr>
                      <w:kern w:val="0"/>
                      <w:sz w:val="22"/>
                      <w:szCs w:val="22"/>
                    </w:rPr>
                  </w:pPr>
                  <w:r>
                    <w:rPr>
                      <w:rFonts w:hint="eastAsia"/>
                      <w:sz w:val="22"/>
                      <w:szCs w:val="22"/>
                    </w:rPr>
                    <w:t>51</w:t>
                  </w:r>
                </w:p>
              </w:tc>
              <w:tc>
                <w:tcPr>
                  <w:tcW w:w="1550" w:type="dxa"/>
                  <w:shd w:val="clear" w:color="auto" w:fill="auto"/>
                  <w:noWrap/>
                  <w:vAlign w:val="center"/>
                </w:tcPr>
                <w:p w14:paraId="757DA3E2">
                  <w:pPr>
                    <w:widowControl/>
                    <w:jc w:val="center"/>
                    <w:rPr>
                      <w:kern w:val="0"/>
                      <w:szCs w:val="21"/>
                    </w:rPr>
                  </w:pPr>
                  <w:r>
                    <w:rPr>
                      <w:kern w:val="0"/>
                      <w:szCs w:val="21"/>
                    </w:rPr>
                    <w:t>防爆布袋除尘器</w:t>
                  </w:r>
                </w:p>
              </w:tc>
              <w:tc>
                <w:tcPr>
                  <w:tcW w:w="847" w:type="dxa"/>
                  <w:shd w:val="clear" w:color="auto" w:fill="auto"/>
                  <w:noWrap/>
                  <w:vAlign w:val="center"/>
                </w:tcPr>
                <w:p w14:paraId="0FD4C99D">
                  <w:pPr>
                    <w:widowControl/>
                    <w:jc w:val="center"/>
                    <w:rPr>
                      <w:kern w:val="0"/>
                      <w:szCs w:val="21"/>
                    </w:rPr>
                  </w:pPr>
                  <w:r>
                    <w:rPr>
                      <w:rFonts w:hint="eastAsia"/>
                      <w:kern w:val="0"/>
                      <w:szCs w:val="21"/>
                    </w:rPr>
                    <w:t>1</w:t>
                  </w:r>
                </w:p>
              </w:tc>
              <w:tc>
                <w:tcPr>
                  <w:tcW w:w="987" w:type="dxa"/>
                  <w:shd w:val="clear" w:color="auto" w:fill="auto"/>
                  <w:noWrap/>
                  <w:vAlign w:val="center"/>
                </w:tcPr>
                <w:p w14:paraId="498E38CA">
                  <w:pPr>
                    <w:widowControl/>
                    <w:jc w:val="center"/>
                    <w:rPr>
                      <w:kern w:val="0"/>
                      <w:szCs w:val="21"/>
                    </w:rPr>
                  </w:pPr>
                  <w:r>
                    <w:rPr>
                      <w:kern w:val="0"/>
                      <w:szCs w:val="21"/>
                    </w:rPr>
                    <w:t>套</w:t>
                  </w:r>
                </w:p>
              </w:tc>
              <w:tc>
                <w:tcPr>
                  <w:tcW w:w="2752" w:type="dxa"/>
                  <w:tcBorders>
                    <w:right w:val="single" w:color="auto" w:sz="4" w:space="0"/>
                  </w:tcBorders>
                  <w:shd w:val="clear" w:color="auto" w:fill="auto"/>
                  <w:noWrap/>
                  <w:vAlign w:val="center"/>
                </w:tcPr>
                <w:p w14:paraId="14FDE1A5">
                  <w:pPr>
                    <w:widowControl/>
                    <w:jc w:val="center"/>
                    <w:rPr>
                      <w:bCs/>
                      <w:szCs w:val="21"/>
                    </w:rPr>
                  </w:pPr>
                  <w:r>
                    <w:rPr>
                      <w:rFonts w:hint="eastAsia"/>
                      <w:bCs/>
                      <w:szCs w:val="21"/>
                    </w:rPr>
                    <w:t>配套风机</w:t>
                  </w:r>
                  <w:r>
                    <w:rPr>
                      <w:bCs/>
                      <w:szCs w:val="21"/>
                    </w:rPr>
                    <w:t>2</w:t>
                  </w:r>
                  <w:r>
                    <w:rPr>
                      <w:rFonts w:hint="eastAsia"/>
                      <w:bCs/>
                      <w:szCs w:val="21"/>
                    </w:rPr>
                    <w:t>台，风量均为</w:t>
                  </w:r>
                  <w:r>
                    <w:rPr>
                      <w:bCs/>
                      <w:szCs w:val="21"/>
                    </w:rPr>
                    <w:t>10000m</w:t>
                  </w:r>
                  <w:r>
                    <w:rPr>
                      <w:bCs/>
                      <w:szCs w:val="21"/>
                      <w:vertAlign w:val="superscript"/>
                    </w:rPr>
                    <w:t>3</w:t>
                  </w:r>
                  <w:r>
                    <w:rPr>
                      <w:bCs/>
                      <w:szCs w:val="21"/>
                    </w:rPr>
                    <w:t>/h</w:t>
                  </w:r>
                </w:p>
              </w:tc>
              <w:tc>
                <w:tcPr>
                  <w:tcW w:w="1533" w:type="dxa"/>
                  <w:tcBorders>
                    <w:left w:val="single" w:color="auto" w:sz="4" w:space="0"/>
                  </w:tcBorders>
                  <w:shd w:val="clear" w:color="auto" w:fill="auto"/>
                  <w:vAlign w:val="center"/>
                </w:tcPr>
                <w:p w14:paraId="48FCF828">
                  <w:pPr>
                    <w:widowControl/>
                    <w:jc w:val="center"/>
                    <w:rPr>
                      <w:kern w:val="0"/>
                      <w:szCs w:val="21"/>
                    </w:rPr>
                  </w:pPr>
                  <w:r>
                    <w:rPr>
                      <w:kern w:val="0"/>
                      <w:szCs w:val="21"/>
                    </w:rPr>
                    <w:t>新建</w:t>
                  </w:r>
                </w:p>
              </w:tc>
            </w:tr>
            <w:tr w14:paraId="1D834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367269FE">
                  <w:pPr>
                    <w:jc w:val="center"/>
                    <w:rPr>
                      <w:sz w:val="22"/>
                      <w:szCs w:val="22"/>
                    </w:rPr>
                  </w:pPr>
                  <w:r>
                    <w:rPr>
                      <w:rFonts w:hint="eastAsia"/>
                      <w:sz w:val="22"/>
                      <w:szCs w:val="22"/>
                    </w:rPr>
                    <w:t>52</w:t>
                  </w:r>
                </w:p>
              </w:tc>
              <w:tc>
                <w:tcPr>
                  <w:tcW w:w="1550" w:type="dxa"/>
                  <w:shd w:val="clear" w:color="auto" w:fill="auto"/>
                  <w:noWrap/>
                  <w:vAlign w:val="center"/>
                </w:tcPr>
                <w:p w14:paraId="4E92826E">
                  <w:pPr>
                    <w:widowControl/>
                    <w:jc w:val="center"/>
                    <w:rPr>
                      <w:kern w:val="0"/>
                      <w:szCs w:val="21"/>
                    </w:rPr>
                  </w:pPr>
                  <w:r>
                    <w:rPr>
                      <w:kern w:val="0"/>
                      <w:szCs w:val="21"/>
                    </w:rPr>
                    <w:t>移动式焊接烟尘净化器</w:t>
                  </w:r>
                </w:p>
              </w:tc>
              <w:tc>
                <w:tcPr>
                  <w:tcW w:w="847" w:type="dxa"/>
                  <w:shd w:val="clear" w:color="auto" w:fill="auto"/>
                  <w:noWrap/>
                  <w:vAlign w:val="center"/>
                </w:tcPr>
                <w:p w14:paraId="7D2C5017">
                  <w:pPr>
                    <w:widowControl/>
                    <w:jc w:val="center"/>
                    <w:rPr>
                      <w:kern w:val="0"/>
                      <w:szCs w:val="21"/>
                    </w:rPr>
                  </w:pPr>
                  <w:r>
                    <w:rPr>
                      <w:rFonts w:hint="eastAsia"/>
                      <w:kern w:val="0"/>
                      <w:szCs w:val="21"/>
                    </w:rPr>
                    <w:t>1</w:t>
                  </w:r>
                </w:p>
              </w:tc>
              <w:tc>
                <w:tcPr>
                  <w:tcW w:w="987" w:type="dxa"/>
                  <w:shd w:val="clear" w:color="auto" w:fill="auto"/>
                  <w:noWrap/>
                  <w:vAlign w:val="center"/>
                </w:tcPr>
                <w:p w14:paraId="172422E9">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21E77DC9">
                  <w:pPr>
                    <w:widowControl/>
                    <w:jc w:val="center"/>
                    <w:rPr>
                      <w:bCs/>
                      <w:szCs w:val="21"/>
                    </w:rPr>
                  </w:pPr>
                  <w:r>
                    <w:rPr>
                      <w:rFonts w:hint="eastAsia"/>
                      <w:kern w:val="0"/>
                      <w:szCs w:val="21"/>
                    </w:rPr>
                    <w:t>风量</w:t>
                  </w:r>
                  <w:r>
                    <w:rPr>
                      <w:bCs/>
                      <w:szCs w:val="21"/>
                    </w:rPr>
                    <w:t>1200</w:t>
                  </w:r>
                  <w:r>
                    <w:rPr>
                      <w:rFonts w:hint="eastAsia"/>
                      <w:bCs/>
                      <w:szCs w:val="21"/>
                    </w:rPr>
                    <w:t>m</w:t>
                  </w:r>
                  <w:r>
                    <w:rPr>
                      <w:rFonts w:hint="eastAsia"/>
                      <w:bCs/>
                      <w:szCs w:val="21"/>
                      <w:vertAlign w:val="superscript"/>
                    </w:rPr>
                    <w:t>3</w:t>
                  </w:r>
                  <w:r>
                    <w:rPr>
                      <w:rFonts w:hint="eastAsia"/>
                      <w:bCs/>
                      <w:szCs w:val="21"/>
                    </w:rPr>
                    <w:t>/h</w:t>
                  </w:r>
                </w:p>
              </w:tc>
              <w:tc>
                <w:tcPr>
                  <w:tcW w:w="1533" w:type="dxa"/>
                  <w:tcBorders>
                    <w:left w:val="single" w:color="auto" w:sz="4" w:space="0"/>
                  </w:tcBorders>
                  <w:shd w:val="clear" w:color="auto" w:fill="auto"/>
                  <w:vAlign w:val="center"/>
                </w:tcPr>
                <w:p w14:paraId="1DB9858D">
                  <w:pPr>
                    <w:widowControl/>
                    <w:jc w:val="center"/>
                    <w:rPr>
                      <w:kern w:val="0"/>
                      <w:szCs w:val="21"/>
                    </w:rPr>
                  </w:pPr>
                  <w:r>
                    <w:rPr>
                      <w:kern w:val="0"/>
                      <w:szCs w:val="21"/>
                    </w:rPr>
                    <w:t>新建</w:t>
                  </w:r>
                </w:p>
              </w:tc>
            </w:tr>
            <w:tr w14:paraId="31BDB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41364971">
                  <w:pPr>
                    <w:jc w:val="center"/>
                    <w:rPr>
                      <w:sz w:val="22"/>
                      <w:szCs w:val="22"/>
                    </w:rPr>
                  </w:pPr>
                  <w:r>
                    <w:rPr>
                      <w:rFonts w:hint="eastAsia"/>
                      <w:sz w:val="22"/>
                      <w:szCs w:val="22"/>
                    </w:rPr>
                    <w:t>53</w:t>
                  </w:r>
                </w:p>
              </w:tc>
              <w:tc>
                <w:tcPr>
                  <w:tcW w:w="1550" w:type="dxa"/>
                  <w:shd w:val="clear" w:color="auto" w:fill="auto"/>
                  <w:noWrap/>
                  <w:vAlign w:val="center"/>
                </w:tcPr>
                <w:p w14:paraId="2673210E">
                  <w:pPr>
                    <w:widowControl/>
                    <w:jc w:val="center"/>
                    <w:rPr>
                      <w:kern w:val="0"/>
                      <w:szCs w:val="21"/>
                    </w:rPr>
                  </w:pPr>
                  <w:r>
                    <w:rPr>
                      <w:rFonts w:hint="eastAsia"/>
                      <w:bCs/>
                      <w:szCs w:val="21"/>
                    </w:rPr>
                    <w:t>化粪池</w:t>
                  </w:r>
                </w:p>
              </w:tc>
              <w:tc>
                <w:tcPr>
                  <w:tcW w:w="847" w:type="dxa"/>
                  <w:shd w:val="clear" w:color="auto" w:fill="auto"/>
                  <w:noWrap/>
                  <w:vAlign w:val="center"/>
                </w:tcPr>
                <w:p w14:paraId="4FD636FD">
                  <w:pPr>
                    <w:widowControl/>
                    <w:jc w:val="center"/>
                    <w:rPr>
                      <w:kern w:val="0"/>
                      <w:szCs w:val="21"/>
                    </w:rPr>
                  </w:pPr>
                  <w:r>
                    <w:rPr>
                      <w:rFonts w:hint="eastAsia"/>
                      <w:kern w:val="0"/>
                      <w:szCs w:val="21"/>
                    </w:rPr>
                    <w:t>3</w:t>
                  </w:r>
                </w:p>
              </w:tc>
              <w:tc>
                <w:tcPr>
                  <w:tcW w:w="987" w:type="dxa"/>
                  <w:shd w:val="clear" w:color="auto" w:fill="auto"/>
                  <w:noWrap/>
                  <w:vAlign w:val="center"/>
                </w:tcPr>
                <w:p w14:paraId="3C94290F">
                  <w:pPr>
                    <w:widowControl/>
                    <w:jc w:val="center"/>
                    <w:rPr>
                      <w:kern w:val="0"/>
                      <w:szCs w:val="21"/>
                    </w:rPr>
                  </w:pPr>
                  <w:r>
                    <w:rPr>
                      <w:kern w:val="0"/>
                      <w:szCs w:val="21"/>
                    </w:rPr>
                    <w:t>座</w:t>
                  </w:r>
                </w:p>
              </w:tc>
              <w:tc>
                <w:tcPr>
                  <w:tcW w:w="2752" w:type="dxa"/>
                  <w:tcBorders>
                    <w:right w:val="single" w:color="auto" w:sz="4" w:space="0"/>
                  </w:tcBorders>
                  <w:shd w:val="clear" w:color="auto" w:fill="auto"/>
                  <w:noWrap/>
                  <w:vAlign w:val="center"/>
                </w:tcPr>
                <w:p w14:paraId="794F6577">
                  <w:pPr>
                    <w:widowControl/>
                    <w:jc w:val="center"/>
                    <w:rPr>
                      <w:bCs/>
                      <w:szCs w:val="21"/>
                    </w:rPr>
                  </w:pPr>
                  <w:r>
                    <w:rPr>
                      <w:rFonts w:hint="eastAsia"/>
                      <w:bCs/>
                      <w:szCs w:val="21"/>
                    </w:rPr>
                    <w:t>钢混结构，容积分别为4</w:t>
                  </w:r>
                  <w:r>
                    <w:rPr>
                      <w:bCs/>
                      <w:szCs w:val="21"/>
                    </w:rPr>
                    <w:t>0m</w:t>
                  </w:r>
                  <w:r>
                    <w:rPr>
                      <w:bCs/>
                      <w:szCs w:val="21"/>
                      <w:vertAlign w:val="superscript"/>
                    </w:rPr>
                    <w:t>3</w:t>
                  </w:r>
                  <w:r>
                    <w:rPr>
                      <w:rFonts w:hint="eastAsia"/>
                      <w:bCs/>
                      <w:szCs w:val="21"/>
                    </w:rPr>
                    <w:t>、4m</w:t>
                  </w:r>
                  <w:r>
                    <w:rPr>
                      <w:bCs/>
                      <w:szCs w:val="21"/>
                      <w:vertAlign w:val="superscript"/>
                    </w:rPr>
                    <w:t>3</w:t>
                  </w:r>
                  <w:r>
                    <w:rPr>
                      <w:rFonts w:hint="eastAsia"/>
                      <w:bCs/>
                      <w:szCs w:val="21"/>
                    </w:rPr>
                    <w:t>、6m</w:t>
                  </w:r>
                  <w:r>
                    <w:rPr>
                      <w:bCs/>
                      <w:szCs w:val="21"/>
                      <w:vertAlign w:val="superscript"/>
                    </w:rPr>
                    <w:t>3</w:t>
                  </w:r>
                  <w:r>
                    <w:rPr>
                      <w:bCs/>
                      <w:szCs w:val="21"/>
                    </w:rPr>
                    <w:t>.</w:t>
                  </w:r>
                </w:p>
              </w:tc>
              <w:tc>
                <w:tcPr>
                  <w:tcW w:w="1533" w:type="dxa"/>
                  <w:tcBorders>
                    <w:left w:val="single" w:color="auto" w:sz="4" w:space="0"/>
                  </w:tcBorders>
                  <w:shd w:val="clear" w:color="auto" w:fill="auto"/>
                  <w:vAlign w:val="center"/>
                </w:tcPr>
                <w:p w14:paraId="2336406E">
                  <w:pPr>
                    <w:widowControl/>
                    <w:jc w:val="center"/>
                    <w:rPr>
                      <w:kern w:val="0"/>
                      <w:szCs w:val="21"/>
                    </w:rPr>
                  </w:pPr>
                  <w:r>
                    <w:rPr>
                      <w:kern w:val="0"/>
                      <w:szCs w:val="21"/>
                    </w:rPr>
                    <w:t>新建</w:t>
                  </w:r>
                </w:p>
              </w:tc>
            </w:tr>
            <w:tr w14:paraId="18333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07DA464D">
                  <w:pPr>
                    <w:jc w:val="center"/>
                    <w:rPr>
                      <w:sz w:val="22"/>
                      <w:szCs w:val="22"/>
                    </w:rPr>
                  </w:pPr>
                  <w:r>
                    <w:rPr>
                      <w:rFonts w:hint="eastAsia"/>
                      <w:sz w:val="22"/>
                      <w:szCs w:val="22"/>
                    </w:rPr>
                    <w:t>5</w:t>
                  </w:r>
                  <w:r>
                    <w:rPr>
                      <w:sz w:val="22"/>
                      <w:szCs w:val="22"/>
                    </w:rPr>
                    <w:t>4</w:t>
                  </w:r>
                </w:p>
              </w:tc>
              <w:tc>
                <w:tcPr>
                  <w:tcW w:w="1550" w:type="dxa"/>
                  <w:shd w:val="clear" w:color="auto" w:fill="auto"/>
                  <w:noWrap/>
                  <w:vAlign w:val="center"/>
                </w:tcPr>
                <w:p w14:paraId="1867BBF3">
                  <w:pPr>
                    <w:widowControl/>
                    <w:jc w:val="center"/>
                    <w:rPr>
                      <w:bCs/>
                      <w:szCs w:val="21"/>
                    </w:rPr>
                  </w:pPr>
                  <w:r>
                    <w:rPr>
                      <w:bCs/>
                      <w:szCs w:val="21"/>
                    </w:rPr>
                    <w:t>污水处理设施</w:t>
                  </w:r>
                </w:p>
              </w:tc>
              <w:tc>
                <w:tcPr>
                  <w:tcW w:w="847" w:type="dxa"/>
                  <w:shd w:val="clear" w:color="auto" w:fill="auto"/>
                  <w:noWrap/>
                  <w:vAlign w:val="center"/>
                </w:tcPr>
                <w:p w14:paraId="0113B5B4">
                  <w:pPr>
                    <w:widowControl/>
                    <w:jc w:val="center"/>
                    <w:rPr>
                      <w:kern w:val="0"/>
                      <w:szCs w:val="21"/>
                    </w:rPr>
                  </w:pPr>
                  <w:r>
                    <w:rPr>
                      <w:rFonts w:hint="eastAsia"/>
                      <w:kern w:val="0"/>
                      <w:szCs w:val="21"/>
                    </w:rPr>
                    <w:t>1</w:t>
                  </w:r>
                </w:p>
              </w:tc>
              <w:tc>
                <w:tcPr>
                  <w:tcW w:w="987" w:type="dxa"/>
                  <w:shd w:val="clear" w:color="auto" w:fill="auto"/>
                  <w:noWrap/>
                  <w:vAlign w:val="center"/>
                </w:tcPr>
                <w:p w14:paraId="30732ED8">
                  <w:pPr>
                    <w:widowControl/>
                    <w:jc w:val="center"/>
                    <w:rPr>
                      <w:kern w:val="0"/>
                      <w:szCs w:val="21"/>
                    </w:rPr>
                  </w:pPr>
                  <w:r>
                    <w:rPr>
                      <w:kern w:val="0"/>
                      <w:szCs w:val="21"/>
                    </w:rPr>
                    <w:t>座</w:t>
                  </w:r>
                </w:p>
              </w:tc>
              <w:tc>
                <w:tcPr>
                  <w:tcW w:w="2752" w:type="dxa"/>
                  <w:tcBorders>
                    <w:right w:val="single" w:color="auto" w:sz="4" w:space="0"/>
                  </w:tcBorders>
                  <w:shd w:val="clear" w:color="auto" w:fill="auto"/>
                  <w:noWrap/>
                  <w:vAlign w:val="center"/>
                </w:tcPr>
                <w:p w14:paraId="14081BB6">
                  <w:pPr>
                    <w:widowControl/>
                    <w:jc w:val="center"/>
                    <w:rPr>
                      <w:bCs/>
                      <w:szCs w:val="21"/>
                    </w:rPr>
                  </w:pPr>
                  <w:r>
                    <w:rPr>
                      <w:rFonts w:hint="eastAsia"/>
                      <w:bCs/>
                      <w:szCs w:val="21"/>
                    </w:rPr>
                    <w:t>处理能力1</w:t>
                  </w:r>
                  <w:r>
                    <w:rPr>
                      <w:bCs/>
                      <w:szCs w:val="21"/>
                    </w:rPr>
                    <w:t>00m</w:t>
                  </w:r>
                  <w:r>
                    <w:rPr>
                      <w:bCs/>
                      <w:szCs w:val="21"/>
                      <w:vertAlign w:val="superscript"/>
                    </w:rPr>
                    <w:t>3</w:t>
                  </w:r>
                  <w:r>
                    <w:rPr>
                      <w:bCs/>
                      <w:szCs w:val="21"/>
                    </w:rPr>
                    <w:t>/d</w:t>
                  </w:r>
                </w:p>
              </w:tc>
              <w:tc>
                <w:tcPr>
                  <w:tcW w:w="1533" w:type="dxa"/>
                  <w:tcBorders>
                    <w:left w:val="single" w:color="auto" w:sz="4" w:space="0"/>
                  </w:tcBorders>
                  <w:shd w:val="clear" w:color="auto" w:fill="auto"/>
                  <w:vAlign w:val="center"/>
                </w:tcPr>
                <w:p w14:paraId="5D46BFCD">
                  <w:pPr>
                    <w:widowControl/>
                    <w:jc w:val="center"/>
                    <w:rPr>
                      <w:kern w:val="0"/>
                      <w:szCs w:val="21"/>
                    </w:rPr>
                  </w:pPr>
                  <w:r>
                    <w:rPr>
                      <w:kern w:val="0"/>
                      <w:szCs w:val="21"/>
                    </w:rPr>
                    <w:t>新建</w:t>
                  </w:r>
                </w:p>
              </w:tc>
            </w:tr>
            <w:tr w14:paraId="7B89F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415" w:type="dxa"/>
                  <w:gridSpan w:val="6"/>
                  <w:vAlign w:val="center"/>
                </w:tcPr>
                <w:p w14:paraId="027A0560">
                  <w:pPr>
                    <w:widowControl/>
                    <w:rPr>
                      <w:kern w:val="0"/>
                      <w:szCs w:val="21"/>
                    </w:rPr>
                  </w:pPr>
                  <w:r>
                    <w:rPr>
                      <w:kern w:val="0"/>
                      <w:szCs w:val="21"/>
                    </w:rPr>
                    <w:t>十三</w:t>
                  </w:r>
                  <w:r>
                    <w:rPr>
                      <w:rFonts w:hint="eastAsia"/>
                      <w:kern w:val="0"/>
                      <w:szCs w:val="21"/>
                    </w:rPr>
                    <w:t>、其他设备</w:t>
                  </w:r>
                </w:p>
              </w:tc>
            </w:tr>
            <w:tr w14:paraId="35B54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488B344D">
                  <w:pPr>
                    <w:jc w:val="center"/>
                    <w:rPr>
                      <w:sz w:val="22"/>
                      <w:szCs w:val="22"/>
                    </w:rPr>
                  </w:pPr>
                  <w:r>
                    <w:rPr>
                      <w:rFonts w:hint="eastAsia"/>
                      <w:sz w:val="22"/>
                      <w:szCs w:val="22"/>
                    </w:rPr>
                    <w:t>5</w:t>
                  </w:r>
                  <w:r>
                    <w:rPr>
                      <w:sz w:val="22"/>
                      <w:szCs w:val="22"/>
                    </w:rPr>
                    <w:t>5</w:t>
                  </w:r>
                </w:p>
              </w:tc>
              <w:tc>
                <w:tcPr>
                  <w:tcW w:w="1550" w:type="dxa"/>
                  <w:shd w:val="clear" w:color="auto" w:fill="auto"/>
                  <w:noWrap/>
                  <w:vAlign w:val="center"/>
                </w:tcPr>
                <w:p w14:paraId="35DCF269">
                  <w:pPr>
                    <w:widowControl/>
                    <w:jc w:val="center"/>
                    <w:rPr>
                      <w:bCs/>
                      <w:szCs w:val="21"/>
                    </w:rPr>
                  </w:pPr>
                  <w:r>
                    <w:rPr>
                      <w:bCs/>
                      <w:szCs w:val="21"/>
                    </w:rPr>
                    <w:t>空压机</w:t>
                  </w:r>
                </w:p>
              </w:tc>
              <w:tc>
                <w:tcPr>
                  <w:tcW w:w="847" w:type="dxa"/>
                  <w:shd w:val="clear" w:color="auto" w:fill="auto"/>
                  <w:noWrap/>
                  <w:vAlign w:val="center"/>
                </w:tcPr>
                <w:p w14:paraId="2C7F928C">
                  <w:pPr>
                    <w:widowControl/>
                    <w:jc w:val="center"/>
                    <w:rPr>
                      <w:kern w:val="0"/>
                      <w:szCs w:val="21"/>
                    </w:rPr>
                  </w:pPr>
                  <w:r>
                    <w:rPr>
                      <w:rFonts w:hint="eastAsia"/>
                      <w:kern w:val="0"/>
                      <w:szCs w:val="21"/>
                    </w:rPr>
                    <w:t>5</w:t>
                  </w:r>
                </w:p>
              </w:tc>
              <w:tc>
                <w:tcPr>
                  <w:tcW w:w="987" w:type="dxa"/>
                  <w:shd w:val="clear" w:color="auto" w:fill="auto"/>
                  <w:noWrap/>
                  <w:vAlign w:val="center"/>
                </w:tcPr>
                <w:p w14:paraId="59CEBE64">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57867B87">
                  <w:pPr>
                    <w:widowControl/>
                    <w:jc w:val="center"/>
                    <w:rPr>
                      <w:bCs/>
                      <w:szCs w:val="21"/>
                    </w:rPr>
                  </w:pPr>
                  <w:r>
                    <w:rPr>
                      <w:rFonts w:hint="eastAsia"/>
                      <w:bCs/>
                      <w:szCs w:val="21"/>
                    </w:rPr>
                    <w:t>总压缩能力</w:t>
                  </w:r>
                  <w:r>
                    <w:rPr>
                      <w:bCs/>
                      <w:szCs w:val="21"/>
                    </w:rPr>
                    <w:t>100m</w:t>
                  </w:r>
                  <w:r>
                    <w:rPr>
                      <w:bCs/>
                      <w:szCs w:val="21"/>
                      <w:vertAlign w:val="superscript"/>
                    </w:rPr>
                    <w:t>3</w:t>
                  </w:r>
                  <w:r>
                    <w:rPr>
                      <w:bCs/>
                      <w:szCs w:val="21"/>
                    </w:rPr>
                    <w:t>/min</w:t>
                  </w:r>
                </w:p>
              </w:tc>
              <w:tc>
                <w:tcPr>
                  <w:tcW w:w="1533" w:type="dxa"/>
                  <w:tcBorders>
                    <w:left w:val="single" w:color="auto" w:sz="4" w:space="0"/>
                  </w:tcBorders>
                  <w:shd w:val="clear" w:color="auto" w:fill="auto"/>
                  <w:vAlign w:val="center"/>
                </w:tcPr>
                <w:p w14:paraId="7074E01B">
                  <w:pPr>
                    <w:widowControl/>
                    <w:jc w:val="center"/>
                    <w:rPr>
                      <w:kern w:val="0"/>
                      <w:szCs w:val="21"/>
                    </w:rPr>
                  </w:pPr>
                  <w:r>
                    <w:rPr>
                      <w:rFonts w:hint="eastAsia"/>
                      <w:kern w:val="0"/>
                      <w:szCs w:val="21"/>
                    </w:rPr>
                    <w:t>2台利旧，3台新增</w:t>
                  </w:r>
                </w:p>
              </w:tc>
            </w:tr>
            <w:tr w14:paraId="3041D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46" w:type="dxa"/>
                  <w:vAlign w:val="center"/>
                </w:tcPr>
                <w:p w14:paraId="53A5134E">
                  <w:pPr>
                    <w:jc w:val="center"/>
                    <w:rPr>
                      <w:sz w:val="22"/>
                      <w:szCs w:val="22"/>
                    </w:rPr>
                  </w:pPr>
                  <w:r>
                    <w:rPr>
                      <w:rFonts w:hint="eastAsia"/>
                      <w:sz w:val="22"/>
                      <w:szCs w:val="22"/>
                    </w:rPr>
                    <w:t>5</w:t>
                  </w:r>
                  <w:r>
                    <w:rPr>
                      <w:sz w:val="22"/>
                      <w:szCs w:val="22"/>
                    </w:rPr>
                    <w:t>6</w:t>
                  </w:r>
                </w:p>
              </w:tc>
              <w:tc>
                <w:tcPr>
                  <w:tcW w:w="1550" w:type="dxa"/>
                  <w:shd w:val="clear" w:color="auto" w:fill="auto"/>
                  <w:noWrap/>
                  <w:vAlign w:val="center"/>
                </w:tcPr>
                <w:p w14:paraId="7EFEAF93">
                  <w:pPr>
                    <w:widowControl/>
                    <w:jc w:val="center"/>
                    <w:rPr>
                      <w:bCs/>
                      <w:szCs w:val="21"/>
                    </w:rPr>
                  </w:pPr>
                  <w:r>
                    <w:rPr>
                      <w:rFonts w:hint="eastAsia"/>
                      <w:bCs/>
                      <w:szCs w:val="21"/>
                    </w:rPr>
                    <w:t>冷干机</w:t>
                  </w:r>
                </w:p>
              </w:tc>
              <w:tc>
                <w:tcPr>
                  <w:tcW w:w="847" w:type="dxa"/>
                  <w:shd w:val="clear" w:color="auto" w:fill="auto"/>
                  <w:noWrap/>
                  <w:vAlign w:val="center"/>
                </w:tcPr>
                <w:p w14:paraId="680A7BA6">
                  <w:pPr>
                    <w:widowControl/>
                    <w:jc w:val="center"/>
                    <w:rPr>
                      <w:kern w:val="0"/>
                      <w:szCs w:val="21"/>
                    </w:rPr>
                  </w:pPr>
                  <w:r>
                    <w:rPr>
                      <w:rFonts w:hint="eastAsia"/>
                      <w:kern w:val="0"/>
                      <w:szCs w:val="21"/>
                    </w:rPr>
                    <w:t>5</w:t>
                  </w:r>
                </w:p>
              </w:tc>
              <w:tc>
                <w:tcPr>
                  <w:tcW w:w="987" w:type="dxa"/>
                  <w:shd w:val="clear" w:color="auto" w:fill="auto"/>
                  <w:noWrap/>
                  <w:vAlign w:val="center"/>
                </w:tcPr>
                <w:p w14:paraId="2B01B5F9">
                  <w:pPr>
                    <w:widowControl/>
                    <w:jc w:val="center"/>
                    <w:rPr>
                      <w:kern w:val="0"/>
                      <w:szCs w:val="21"/>
                    </w:rPr>
                  </w:pPr>
                  <w:r>
                    <w:rPr>
                      <w:kern w:val="0"/>
                      <w:szCs w:val="21"/>
                    </w:rPr>
                    <w:t>台</w:t>
                  </w:r>
                </w:p>
              </w:tc>
              <w:tc>
                <w:tcPr>
                  <w:tcW w:w="2752" w:type="dxa"/>
                  <w:tcBorders>
                    <w:right w:val="single" w:color="auto" w:sz="4" w:space="0"/>
                  </w:tcBorders>
                  <w:shd w:val="clear" w:color="auto" w:fill="auto"/>
                  <w:noWrap/>
                  <w:vAlign w:val="center"/>
                </w:tcPr>
                <w:p w14:paraId="62FF3BF2">
                  <w:pPr>
                    <w:widowControl/>
                    <w:jc w:val="center"/>
                    <w:rPr>
                      <w:bCs/>
                      <w:szCs w:val="21"/>
                    </w:rPr>
                  </w:pPr>
                  <w:r>
                    <w:rPr>
                      <w:rFonts w:hint="eastAsia"/>
                      <w:bCs/>
                      <w:szCs w:val="21"/>
                    </w:rPr>
                    <w:t>/</w:t>
                  </w:r>
                </w:p>
              </w:tc>
              <w:tc>
                <w:tcPr>
                  <w:tcW w:w="1533" w:type="dxa"/>
                  <w:tcBorders>
                    <w:left w:val="single" w:color="auto" w:sz="4" w:space="0"/>
                  </w:tcBorders>
                  <w:shd w:val="clear" w:color="auto" w:fill="auto"/>
                  <w:vAlign w:val="center"/>
                </w:tcPr>
                <w:p w14:paraId="25F0D3E8">
                  <w:pPr>
                    <w:widowControl/>
                    <w:jc w:val="center"/>
                    <w:rPr>
                      <w:kern w:val="0"/>
                      <w:szCs w:val="21"/>
                    </w:rPr>
                  </w:pPr>
                  <w:r>
                    <w:rPr>
                      <w:rFonts w:hint="eastAsia"/>
                      <w:kern w:val="0"/>
                      <w:szCs w:val="21"/>
                    </w:rPr>
                    <w:t>2台利旧，3台新增</w:t>
                  </w:r>
                </w:p>
              </w:tc>
            </w:tr>
            <w:tr w14:paraId="1D0B3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746" w:type="dxa"/>
                  <w:vAlign w:val="center"/>
                </w:tcPr>
                <w:p w14:paraId="40FBD863">
                  <w:pPr>
                    <w:jc w:val="center"/>
                    <w:rPr>
                      <w:sz w:val="22"/>
                      <w:szCs w:val="22"/>
                    </w:rPr>
                  </w:pPr>
                  <w:r>
                    <w:rPr>
                      <w:rFonts w:hint="eastAsia"/>
                      <w:sz w:val="22"/>
                      <w:szCs w:val="22"/>
                    </w:rPr>
                    <w:t>5</w:t>
                  </w:r>
                  <w:r>
                    <w:rPr>
                      <w:sz w:val="22"/>
                      <w:szCs w:val="22"/>
                    </w:rPr>
                    <w:t>7</w:t>
                  </w:r>
                </w:p>
              </w:tc>
              <w:tc>
                <w:tcPr>
                  <w:tcW w:w="1550" w:type="dxa"/>
                  <w:shd w:val="clear" w:color="auto" w:fill="auto"/>
                  <w:noWrap/>
                  <w:vAlign w:val="center"/>
                </w:tcPr>
                <w:p w14:paraId="502E271C">
                  <w:pPr>
                    <w:widowControl/>
                    <w:jc w:val="center"/>
                    <w:rPr>
                      <w:bCs/>
                      <w:szCs w:val="21"/>
                    </w:rPr>
                  </w:pPr>
                  <w:r>
                    <w:rPr>
                      <w:rFonts w:hint="eastAsia"/>
                      <w:bCs/>
                      <w:szCs w:val="21"/>
                    </w:rPr>
                    <w:t>循环冷却水系统</w:t>
                  </w:r>
                </w:p>
              </w:tc>
              <w:tc>
                <w:tcPr>
                  <w:tcW w:w="847" w:type="dxa"/>
                  <w:shd w:val="clear" w:color="auto" w:fill="auto"/>
                  <w:noWrap/>
                  <w:vAlign w:val="center"/>
                </w:tcPr>
                <w:p w14:paraId="630229B0">
                  <w:pPr>
                    <w:widowControl/>
                    <w:jc w:val="center"/>
                    <w:rPr>
                      <w:kern w:val="0"/>
                      <w:szCs w:val="21"/>
                    </w:rPr>
                  </w:pPr>
                  <w:r>
                    <w:rPr>
                      <w:kern w:val="0"/>
                      <w:szCs w:val="21"/>
                    </w:rPr>
                    <w:t>1</w:t>
                  </w:r>
                </w:p>
              </w:tc>
              <w:tc>
                <w:tcPr>
                  <w:tcW w:w="987" w:type="dxa"/>
                  <w:shd w:val="clear" w:color="auto" w:fill="auto"/>
                  <w:noWrap/>
                  <w:vAlign w:val="center"/>
                </w:tcPr>
                <w:p w14:paraId="412D6AE8">
                  <w:pPr>
                    <w:widowControl/>
                    <w:jc w:val="center"/>
                    <w:rPr>
                      <w:kern w:val="0"/>
                      <w:szCs w:val="21"/>
                    </w:rPr>
                  </w:pPr>
                  <w:r>
                    <w:rPr>
                      <w:kern w:val="0"/>
                      <w:szCs w:val="21"/>
                    </w:rPr>
                    <w:t>套</w:t>
                  </w:r>
                </w:p>
              </w:tc>
              <w:tc>
                <w:tcPr>
                  <w:tcW w:w="2752" w:type="dxa"/>
                  <w:tcBorders>
                    <w:right w:val="single" w:color="auto" w:sz="4" w:space="0"/>
                  </w:tcBorders>
                  <w:shd w:val="clear" w:color="auto" w:fill="auto"/>
                  <w:noWrap/>
                  <w:vAlign w:val="center"/>
                </w:tcPr>
                <w:p w14:paraId="7517F199">
                  <w:pPr>
                    <w:widowControl/>
                    <w:jc w:val="center"/>
                    <w:rPr>
                      <w:bCs/>
                      <w:szCs w:val="21"/>
                    </w:rPr>
                  </w:pPr>
                  <w:r>
                    <w:rPr>
                      <w:rFonts w:hint="eastAsia"/>
                      <w:bCs/>
                      <w:szCs w:val="21"/>
                    </w:rPr>
                    <w:t>WL-80冷水机组</w:t>
                  </w:r>
                </w:p>
              </w:tc>
              <w:tc>
                <w:tcPr>
                  <w:tcW w:w="1533" w:type="dxa"/>
                  <w:tcBorders>
                    <w:left w:val="single" w:color="auto" w:sz="4" w:space="0"/>
                  </w:tcBorders>
                  <w:shd w:val="clear" w:color="auto" w:fill="auto"/>
                  <w:vAlign w:val="center"/>
                </w:tcPr>
                <w:p w14:paraId="1278CA2E">
                  <w:pPr>
                    <w:widowControl/>
                    <w:jc w:val="center"/>
                    <w:rPr>
                      <w:kern w:val="0"/>
                      <w:szCs w:val="21"/>
                    </w:rPr>
                  </w:pPr>
                  <w:r>
                    <w:rPr>
                      <w:rFonts w:hint="eastAsia"/>
                      <w:kern w:val="0"/>
                      <w:szCs w:val="21"/>
                    </w:rPr>
                    <w:t>利旧</w:t>
                  </w:r>
                </w:p>
              </w:tc>
            </w:tr>
          </w:tbl>
          <w:p w14:paraId="4974DE78">
            <w:pPr>
              <w:adjustRightInd w:val="0"/>
              <w:snapToGrid w:val="0"/>
              <w:spacing w:line="360" w:lineRule="auto"/>
              <w:ind w:firstLine="482" w:firstLineChars="200"/>
              <w:jc w:val="left"/>
              <w:rPr>
                <w:b/>
                <w:sz w:val="24"/>
              </w:rPr>
            </w:pPr>
            <w:r>
              <w:rPr>
                <w:b/>
                <w:sz w:val="24"/>
              </w:rPr>
              <w:t>产能匹配性分析</w:t>
            </w:r>
          </w:p>
          <w:p w14:paraId="7847C2C2">
            <w:pPr>
              <w:adjustRightInd w:val="0"/>
              <w:snapToGrid w:val="0"/>
              <w:spacing w:line="360" w:lineRule="auto"/>
              <w:ind w:firstLine="480" w:firstLineChars="200"/>
              <w:jc w:val="left"/>
              <w:rPr>
                <w:sz w:val="24"/>
              </w:rPr>
            </w:pPr>
            <w:r>
              <w:rPr>
                <w:sz w:val="24"/>
              </w:rPr>
              <w:t>根据项目生产工艺和主要生产设备</w:t>
            </w:r>
            <w:r>
              <w:rPr>
                <w:rFonts w:hint="eastAsia"/>
                <w:sz w:val="24"/>
              </w:rPr>
              <w:t>，评价从熔化、压铸、抛丸、机加工和浸渗工序进行产能匹配性分析。</w:t>
            </w:r>
          </w:p>
          <w:p w14:paraId="5E1799F5">
            <w:pPr>
              <w:adjustRightInd w:val="0"/>
              <w:snapToGrid w:val="0"/>
              <w:spacing w:line="360" w:lineRule="auto"/>
              <w:ind w:firstLine="480" w:firstLineChars="200"/>
              <w:rPr>
                <w:sz w:val="24"/>
              </w:rPr>
            </w:pPr>
            <w:r>
              <w:rPr>
                <w:sz w:val="24"/>
              </w:rPr>
              <w:t>熔化工序</w:t>
            </w:r>
            <w:r>
              <w:rPr>
                <w:rFonts w:hint="eastAsia"/>
                <w:sz w:val="24"/>
              </w:rPr>
              <w:t>：</w:t>
            </w:r>
            <w:r>
              <w:rPr>
                <w:sz w:val="24"/>
              </w:rPr>
              <w:t>项目主要利用</w:t>
            </w:r>
            <w:r>
              <w:rPr>
                <w:rFonts w:hint="eastAsia" w:hAnsi="宋体"/>
                <w:sz w:val="24"/>
              </w:rPr>
              <w:t>重庆剑涛铝业有限公司及重庆国丰实业有限公司提供的铝合金液作为生产原料，当铝合金液供应困难时启动熔化炉熔化备用铝锭进行生产。根据现有工程经验，铝锭熔化量约为1</w:t>
            </w:r>
            <w:r>
              <w:rPr>
                <w:rFonts w:hAnsi="宋体"/>
                <w:sz w:val="24"/>
              </w:rPr>
              <w:t>500t/a</w:t>
            </w:r>
            <w:r>
              <w:rPr>
                <w:rFonts w:hint="eastAsia" w:hAnsi="宋体"/>
                <w:sz w:val="24"/>
              </w:rPr>
              <w:t>，</w:t>
            </w:r>
            <w:r>
              <w:rPr>
                <w:rFonts w:hAnsi="宋体"/>
                <w:sz w:val="24"/>
              </w:rPr>
              <w:t>项目拟建设</w:t>
            </w:r>
            <w:r>
              <w:rPr>
                <w:rFonts w:hint="eastAsia" w:hAnsi="宋体"/>
                <w:sz w:val="24"/>
              </w:rPr>
              <w:t>2台熔化炉，熔化能力分别为1</w:t>
            </w:r>
            <w:r>
              <w:rPr>
                <w:rFonts w:hAnsi="宋体"/>
                <w:sz w:val="24"/>
              </w:rPr>
              <w:t>.5t/h和</w:t>
            </w:r>
            <w:r>
              <w:rPr>
                <w:rFonts w:hint="eastAsia" w:hAnsi="宋体"/>
                <w:sz w:val="24"/>
              </w:rPr>
              <w:t>0</w:t>
            </w:r>
            <w:r>
              <w:rPr>
                <w:rFonts w:hAnsi="宋体"/>
                <w:sz w:val="24"/>
              </w:rPr>
              <w:t>.75t/h</w:t>
            </w:r>
            <w:r>
              <w:rPr>
                <w:rFonts w:hint="eastAsia" w:hAnsi="宋体"/>
                <w:sz w:val="24"/>
              </w:rPr>
              <w:t>，</w:t>
            </w:r>
            <w:r>
              <w:rPr>
                <w:rFonts w:hAnsi="宋体"/>
                <w:sz w:val="24"/>
              </w:rPr>
              <w:t>合计熔化能力为</w:t>
            </w:r>
            <w:r>
              <w:rPr>
                <w:rFonts w:hint="eastAsia" w:hAnsi="宋体"/>
                <w:sz w:val="24"/>
              </w:rPr>
              <w:t>2</w:t>
            </w:r>
            <w:r>
              <w:rPr>
                <w:rFonts w:hAnsi="宋体"/>
                <w:sz w:val="24"/>
              </w:rPr>
              <w:t>.25t/a</w:t>
            </w:r>
            <w:r>
              <w:rPr>
                <w:rFonts w:hint="eastAsia" w:hAnsi="宋体"/>
                <w:sz w:val="24"/>
              </w:rPr>
              <w:t>。</w:t>
            </w:r>
            <w:r>
              <w:rPr>
                <w:rFonts w:hAnsi="宋体"/>
                <w:sz w:val="24"/>
              </w:rPr>
              <w:t>则按每天生产8h的理论铝锭</w:t>
            </w:r>
            <w:r>
              <w:rPr>
                <w:rFonts w:hint="eastAsia" w:hAnsi="宋体"/>
                <w:sz w:val="24"/>
              </w:rPr>
              <w:t>熔化</w:t>
            </w:r>
            <w:r>
              <w:rPr>
                <w:rFonts w:hAnsi="宋体"/>
                <w:sz w:val="24"/>
              </w:rPr>
              <w:t>量为5940t/a</w:t>
            </w:r>
            <w:r>
              <w:rPr>
                <w:rFonts w:hint="eastAsia" w:hAnsi="宋体"/>
                <w:sz w:val="24"/>
              </w:rPr>
              <w:t>，</w:t>
            </w:r>
            <w:r>
              <w:rPr>
                <w:rFonts w:hAnsi="宋体"/>
                <w:sz w:val="24"/>
              </w:rPr>
              <w:t>满足铝锭</w:t>
            </w:r>
            <w:r>
              <w:rPr>
                <w:rFonts w:hint="eastAsia" w:hAnsi="宋体"/>
                <w:sz w:val="24"/>
              </w:rPr>
              <w:t>熔化</w:t>
            </w:r>
            <w:r>
              <w:rPr>
                <w:rFonts w:hAnsi="宋体"/>
                <w:sz w:val="24"/>
              </w:rPr>
              <w:t>要求</w:t>
            </w:r>
            <w:r>
              <w:rPr>
                <w:rFonts w:hint="eastAsia" w:hAnsi="宋体"/>
                <w:sz w:val="24"/>
              </w:rPr>
              <w:t>。</w:t>
            </w:r>
          </w:p>
          <w:p w14:paraId="40AC4BBA">
            <w:pPr>
              <w:adjustRightInd w:val="0"/>
              <w:snapToGrid w:val="0"/>
              <w:spacing w:line="360" w:lineRule="auto"/>
              <w:ind w:firstLine="480" w:firstLineChars="200"/>
              <w:rPr>
                <w:sz w:val="24"/>
              </w:rPr>
            </w:pPr>
            <w:r>
              <w:rPr>
                <w:sz w:val="24"/>
              </w:rPr>
              <w:t>压铸工序</w:t>
            </w:r>
            <w:r>
              <w:rPr>
                <w:rFonts w:hint="eastAsia"/>
                <w:sz w:val="24"/>
              </w:rPr>
              <w:t>：</w:t>
            </w:r>
            <w:r>
              <w:rPr>
                <w:sz w:val="24"/>
              </w:rPr>
              <w:t>根据业主资料</w:t>
            </w:r>
            <w:r>
              <w:rPr>
                <w:rFonts w:hint="eastAsia"/>
                <w:sz w:val="24"/>
              </w:rPr>
              <w:t>，</w:t>
            </w:r>
            <w:r>
              <w:rPr>
                <w:sz w:val="24"/>
              </w:rPr>
              <w:t>项目</w:t>
            </w:r>
            <w:r>
              <w:rPr>
                <w:rFonts w:hint="eastAsia"/>
                <w:sz w:val="24"/>
              </w:rPr>
              <w:t>小</w:t>
            </w:r>
            <w:r>
              <w:rPr>
                <w:sz w:val="24"/>
              </w:rPr>
              <w:t>件产品</w:t>
            </w:r>
            <w:r>
              <w:rPr>
                <w:rFonts w:hint="eastAsia"/>
                <w:sz w:val="24"/>
              </w:rPr>
              <w:t>（汽车用空调压缩机后盖、汽车用空调压缩机端盖、汽车用空调压缩机静涡盘、汽车用空调压缩机涡盘前盖）一次压铸得到2个产品，大件</w:t>
            </w:r>
            <w:r>
              <w:rPr>
                <w:sz w:val="24"/>
              </w:rPr>
              <w:t>产品</w:t>
            </w:r>
            <w:r>
              <w:rPr>
                <w:rFonts w:hint="eastAsia"/>
                <w:sz w:val="24"/>
              </w:rPr>
              <w:t>（汽车用空调压缩机电控盒、汽车用空调压缩机机壳）一次压铸得到1个产品。其中</w:t>
            </w:r>
            <w:r>
              <w:rPr>
                <w:sz w:val="24"/>
              </w:rPr>
              <w:t>6台压铸机用于压铸机用于大件压铸</w:t>
            </w:r>
            <w:r>
              <w:rPr>
                <w:rFonts w:hint="eastAsia"/>
                <w:sz w:val="24"/>
              </w:rPr>
              <w:t>，6台压铸机用于小件压铸，单次压铸时间约为1min，压铸工序年生产3</w:t>
            </w:r>
            <w:r>
              <w:rPr>
                <w:sz w:val="24"/>
              </w:rPr>
              <w:t>30d</w:t>
            </w:r>
            <w:r>
              <w:rPr>
                <w:rFonts w:hint="eastAsia"/>
                <w:sz w:val="24"/>
              </w:rPr>
              <w:t>，</w:t>
            </w:r>
            <w:r>
              <w:rPr>
                <w:sz w:val="24"/>
              </w:rPr>
              <w:t>每天生产</w:t>
            </w:r>
            <w:r>
              <w:rPr>
                <w:rFonts w:hint="eastAsia"/>
                <w:sz w:val="24"/>
              </w:rPr>
              <w:t>2</w:t>
            </w:r>
            <w:r>
              <w:rPr>
                <w:sz w:val="24"/>
              </w:rPr>
              <w:t>4h</w:t>
            </w:r>
            <w:r>
              <w:rPr>
                <w:rFonts w:hint="eastAsia"/>
                <w:sz w:val="24"/>
              </w:rPr>
              <w:t>，则压铸工序大件</w:t>
            </w:r>
            <w:r>
              <w:rPr>
                <w:sz w:val="24"/>
              </w:rPr>
              <w:t>产品</w:t>
            </w:r>
            <w:r>
              <w:rPr>
                <w:rFonts w:hint="eastAsia"/>
                <w:sz w:val="24"/>
              </w:rPr>
              <w:t>产能为</w:t>
            </w:r>
            <w:r>
              <w:rPr>
                <w:sz w:val="24"/>
              </w:rPr>
              <w:t>2851200件</w:t>
            </w:r>
            <w:r>
              <w:rPr>
                <w:rFonts w:hint="eastAsia"/>
                <w:sz w:val="24"/>
              </w:rPr>
              <w:t>，</w:t>
            </w:r>
            <w:r>
              <w:rPr>
                <w:sz w:val="24"/>
              </w:rPr>
              <w:t>小件产品产能为</w:t>
            </w:r>
            <w:r>
              <w:rPr>
                <w:rFonts w:hint="eastAsia"/>
                <w:sz w:val="24"/>
              </w:rPr>
              <w:t>5</w:t>
            </w:r>
            <w:r>
              <w:rPr>
                <w:sz w:val="24"/>
              </w:rPr>
              <w:t>702400件</w:t>
            </w:r>
            <w:r>
              <w:rPr>
                <w:rFonts w:hint="eastAsia"/>
                <w:sz w:val="24"/>
              </w:rPr>
              <w:t>。</w:t>
            </w:r>
          </w:p>
          <w:p w14:paraId="6BB2477B">
            <w:pPr>
              <w:adjustRightInd w:val="0"/>
              <w:snapToGrid w:val="0"/>
              <w:spacing w:line="360" w:lineRule="auto"/>
              <w:ind w:firstLine="480" w:firstLineChars="200"/>
              <w:rPr>
                <w:sz w:val="24"/>
              </w:rPr>
            </w:pPr>
            <w:r>
              <w:rPr>
                <w:sz w:val="24"/>
              </w:rPr>
              <w:t>抛丸工序</w:t>
            </w:r>
            <w:r>
              <w:rPr>
                <w:rFonts w:hint="eastAsia"/>
                <w:sz w:val="24"/>
              </w:rPr>
              <w:t>：</w:t>
            </w:r>
            <w:r>
              <w:rPr>
                <w:sz w:val="24"/>
              </w:rPr>
              <w:t>项目共建设</w:t>
            </w:r>
            <w:r>
              <w:rPr>
                <w:rFonts w:hint="eastAsia"/>
                <w:sz w:val="24"/>
              </w:rPr>
              <w:t>4台抛丸机，根据业主资料，每台抛丸机平均单次抛丸数量为约8</w:t>
            </w:r>
            <w:r>
              <w:rPr>
                <w:sz w:val="24"/>
              </w:rPr>
              <w:t>0件产品</w:t>
            </w:r>
            <w:r>
              <w:rPr>
                <w:rFonts w:hint="eastAsia"/>
                <w:sz w:val="24"/>
              </w:rPr>
              <w:t>，单次抛丸过程持续时间为5~</w:t>
            </w:r>
            <w:r>
              <w:rPr>
                <w:sz w:val="24"/>
              </w:rPr>
              <w:t>8min</w:t>
            </w:r>
            <w:r>
              <w:rPr>
                <w:rFonts w:hint="eastAsia"/>
                <w:sz w:val="24"/>
              </w:rPr>
              <w:t>，</w:t>
            </w:r>
            <w:r>
              <w:rPr>
                <w:sz w:val="24"/>
              </w:rPr>
              <w:t>抛丸工序年生产</w:t>
            </w:r>
            <w:r>
              <w:rPr>
                <w:rFonts w:hint="eastAsia"/>
                <w:sz w:val="24"/>
              </w:rPr>
              <w:t>3</w:t>
            </w:r>
            <w:r>
              <w:rPr>
                <w:sz w:val="24"/>
              </w:rPr>
              <w:t>30d</w:t>
            </w:r>
            <w:r>
              <w:rPr>
                <w:rFonts w:hint="eastAsia"/>
                <w:sz w:val="24"/>
              </w:rPr>
              <w:t>，</w:t>
            </w:r>
            <w:r>
              <w:rPr>
                <w:sz w:val="24"/>
              </w:rPr>
              <w:t>每天生产</w:t>
            </w:r>
            <w:r>
              <w:rPr>
                <w:rFonts w:hint="eastAsia"/>
                <w:sz w:val="24"/>
              </w:rPr>
              <w:t>1</w:t>
            </w:r>
            <w:r>
              <w:rPr>
                <w:sz w:val="24"/>
              </w:rPr>
              <w:t>6h</w:t>
            </w:r>
            <w:r>
              <w:rPr>
                <w:rFonts w:hint="eastAsia"/>
                <w:sz w:val="24"/>
              </w:rPr>
              <w:t>，</w:t>
            </w:r>
            <w:r>
              <w:rPr>
                <w:sz w:val="24"/>
              </w:rPr>
              <w:t>则抛丸工序产能为</w:t>
            </w:r>
            <w:r>
              <w:rPr>
                <w:rFonts w:hint="eastAsia"/>
                <w:sz w:val="24"/>
              </w:rPr>
              <w:t>1</w:t>
            </w:r>
            <w:r>
              <w:rPr>
                <w:sz w:val="24"/>
              </w:rPr>
              <w:t>2672000</w:t>
            </w:r>
            <w:r>
              <w:rPr>
                <w:rFonts w:hint="eastAsia"/>
                <w:sz w:val="24"/>
              </w:rPr>
              <w:t>~2</w:t>
            </w:r>
            <w:r>
              <w:rPr>
                <w:sz w:val="24"/>
              </w:rPr>
              <w:t>0275200件</w:t>
            </w:r>
            <w:r>
              <w:rPr>
                <w:rFonts w:hint="eastAsia"/>
                <w:sz w:val="24"/>
              </w:rPr>
              <w:t>。</w:t>
            </w:r>
          </w:p>
          <w:p w14:paraId="4C67456C">
            <w:pPr>
              <w:adjustRightInd w:val="0"/>
              <w:snapToGrid w:val="0"/>
              <w:spacing w:line="360" w:lineRule="auto"/>
              <w:ind w:firstLine="480" w:firstLineChars="200"/>
              <w:jc w:val="left"/>
              <w:rPr>
                <w:sz w:val="24"/>
              </w:rPr>
            </w:pPr>
            <w:r>
              <w:rPr>
                <w:sz w:val="24"/>
              </w:rPr>
              <w:t>机加工工序</w:t>
            </w:r>
            <w:r>
              <w:rPr>
                <w:rFonts w:hint="eastAsia"/>
                <w:sz w:val="24"/>
              </w:rPr>
              <w:t>：项目工建设1</w:t>
            </w:r>
            <w:r>
              <w:rPr>
                <w:sz w:val="24"/>
              </w:rPr>
              <w:t>40台机加工设备</w:t>
            </w:r>
            <w:r>
              <w:rPr>
                <w:rFonts w:hint="eastAsia"/>
                <w:sz w:val="24"/>
              </w:rPr>
              <w:t>，</w:t>
            </w:r>
            <w:r>
              <w:rPr>
                <w:sz w:val="24"/>
              </w:rPr>
              <w:t>根据业主资料</w:t>
            </w:r>
            <w:r>
              <w:rPr>
                <w:rFonts w:hint="eastAsia"/>
                <w:sz w:val="24"/>
              </w:rPr>
              <w:t>，</w:t>
            </w:r>
            <w:r>
              <w:rPr>
                <w:sz w:val="24"/>
              </w:rPr>
              <w:t>单台机加工设备加工</w:t>
            </w:r>
            <w:r>
              <w:rPr>
                <w:rFonts w:hint="eastAsia"/>
                <w:sz w:val="24"/>
              </w:rPr>
              <w:t>1件产能耗时约8min，机加工工序年生产3</w:t>
            </w:r>
            <w:r>
              <w:rPr>
                <w:sz w:val="24"/>
              </w:rPr>
              <w:t>30d</w:t>
            </w:r>
            <w:r>
              <w:rPr>
                <w:rFonts w:hint="eastAsia"/>
                <w:sz w:val="24"/>
              </w:rPr>
              <w:t>，</w:t>
            </w:r>
            <w:r>
              <w:rPr>
                <w:sz w:val="24"/>
              </w:rPr>
              <w:t>每天生产</w:t>
            </w:r>
            <w:r>
              <w:rPr>
                <w:rFonts w:hint="eastAsia"/>
                <w:sz w:val="24"/>
              </w:rPr>
              <w:t>2</w:t>
            </w:r>
            <w:r>
              <w:rPr>
                <w:sz w:val="24"/>
              </w:rPr>
              <w:t>4h</w:t>
            </w:r>
            <w:r>
              <w:rPr>
                <w:rFonts w:hint="eastAsia"/>
                <w:sz w:val="24"/>
              </w:rPr>
              <w:t>，则机加工序产能为8</w:t>
            </w:r>
            <w:r>
              <w:rPr>
                <w:sz w:val="24"/>
              </w:rPr>
              <w:t>316000件</w:t>
            </w:r>
            <w:r>
              <w:rPr>
                <w:rFonts w:hint="eastAsia"/>
                <w:sz w:val="24"/>
              </w:rPr>
              <w:t>。</w:t>
            </w:r>
          </w:p>
          <w:p w14:paraId="1A4DE4F4">
            <w:pPr>
              <w:adjustRightInd w:val="0"/>
              <w:snapToGrid w:val="0"/>
              <w:spacing w:line="360" w:lineRule="auto"/>
              <w:ind w:firstLine="480" w:firstLineChars="200"/>
              <w:jc w:val="left"/>
              <w:rPr>
                <w:sz w:val="24"/>
              </w:rPr>
            </w:pPr>
            <w:r>
              <w:rPr>
                <w:sz w:val="24"/>
              </w:rPr>
              <w:t>浸渗工序</w:t>
            </w:r>
            <w:r>
              <w:rPr>
                <w:rFonts w:hint="eastAsia"/>
                <w:sz w:val="24"/>
              </w:rPr>
              <w:t>：</w:t>
            </w:r>
            <w:r>
              <w:rPr>
                <w:sz w:val="24"/>
              </w:rPr>
              <w:t>项目共建设</w:t>
            </w:r>
            <w:r>
              <w:rPr>
                <w:rFonts w:hint="eastAsia"/>
                <w:sz w:val="24"/>
              </w:rPr>
              <w:t>2套浸渗设备，单次浸渗时间按耗时最长的固化过程计，即为1</w:t>
            </w:r>
            <w:r>
              <w:rPr>
                <w:sz w:val="24"/>
              </w:rPr>
              <w:t>4.5min</w:t>
            </w:r>
            <w:r>
              <w:rPr>
                <w:rFonts w:hint="eastAsia"/>
                <w:sz w:val="24"/>
              </w:rPr>
              <w:t>。根据业主资料，项目区内仅对汽车用空调压缩机机壳、汽车用空调压缩机电控盒进行浸渗，其余需要浸渗的产品（汽车用空调压缩机后盖、汽车用空调压缩机端盖）全部外委浸渗。汽车用空调压缩机机壳、汽车用空调压缩机电控盒单次浸渗加工量为</w:t>
            </w:r>
            <w:r>
              <w:rPr>
                <w:sz w:val="24"/>
              </w:rPr>
              <w:t>40件</w:t>
            </w:r>
            <w:r>
              <w:rPr>
                <w:rFonts w:hint="eastAsia"/>
                <w:sz w:val="24"/>
              </w:rPr>
              <w:t>，年生产3</w:t>
            </w:r>
            <w:r>
              <w:rPr>
                <w:sz w:val="24"/>
              </w:rPr>
              <w:t>30d</w:t>
            </w:r>
            <w:r>
              <w:rPr>
                <w:rFonts w:hint="eastAsia"/>
                <w:sz w:val="24"/>
              </w:rPr>
              <w:t>，</w:t>
            </w:r>
            <w:r>
              <w:rPr>
                <w:sz w:val="24"/>
              </w:rPr>
              <w:t>每天生产</w:t>
            </w:r>
            <w:r>
              <w:rPr>
                <w:rFonts w:hint="eastAsia"/>
                <w:sz w:val="24"/>
              </w:rPr>
              <w:t>2</w:t>
            </w:r>
            <w:r>
              <w:rPr>
                <w:sz w:val="24"/>
              </w:rPr>
              <w:t>4h</w:t>
            </w:r>
            <w:r>
              <w:rPr>
                <w:rFonts w:hint="eastAsia"/>
                <w:sz w:val="24"/>
              </w:rPr>
              <w:t>，</w:t>
            </w:r>
            <w:r>
              <w:rPr>
                <w:sz w:val="24"/>
              </w:rPr>
              <w:t>则浸渗工序产能为2621793件</w:t>
            </w:r>
            <w:r>
              <w:rPr>
                <w:rFonts w:hint="eastAsia"/>
                <w:sz w:val="24"/>
              </w:rPr>
              <w:t>。</w:t>
            </w:r>
          </w:p>
          <w:p w14:paraId="0D56B2B2">
            <w:pPr>
              <w:adjustRightInd w:val="0"/>
              <w:snapToGrid w:val="0"/>
              <w:spacing w:line="360" w:lineRule="auto"/>
              <w:ind w:firstLine="480" w:firstLineChars="200"/>
              <w:jc w:val="left"/>
              <w:rPr>
                <w:sz w:val="24"/>
              </w:rPr>
            </w:pPr>
            <w:r>
              <w:rPr>
                <w:rFonts w:hint="eastAsia"/>
                <w:sz w:val="24"/>
              </w:rPr>
              <w:t>项目各主要生产工序产能匹配性分析详见下表。</w:t>
            </w:r>
          </w:p>
          <w:p w14:paraId="1FD13927">
            <w:pPr>
              <w:adjustRightInd w:val="0"/>
              <w:snapToGrid w:val="0"/>
              <w:spacing w:line="360" w:lineRule="auto"/>
              <w:jc w:val="center"/>
              <w:rPr>
                <w:sz w:val="24"/>
              </w:rPr>
            </w:pPr>
            <w:r>
              <w:rPr>
                <w:bCs/>
                <w:sz w:val="24"/>
              </w:rPr>
              <w:t xml:space="preserve">表2-4  </w:t>
            </w:r>
            <w:r>
              <w:rPr>
                <w:sz w:val="24"/>
              </w:rPr>
              <w:t xml:space="preserve"> 项目</w:t>
            </w:r>
            <w:r>
              <w:rPr>
                <w:rFonts w:hint="eastAsia"/>
                <w:sz w:val="24"/>
              </w:rPr>
              <w:t>产能匹配性分析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709"/>
              <w:gridCol w:w="1052"/>
              <w:gridCol w:w="2103"/>
              <w:gridCol w:w="2103"/>
            </w:tblGrid>
            <w:tr w14:paraId="2E26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vAlign w:val="center"/>
                </w:tcPr>
                <w:p w14:paraId="6DB24C8F">
                  <w:pPr>
                    <w:jc w:val="center"/>
                    <w:rPr>
                      <w:szCs w:val="21"/>
                    </w:rPr>
                  </w:pPr>
                  <w:r>
                    <w:rPr>
                      <w:szCs w:val="21"/>
                    </w:rPr>
                    <w:t>工序</w:t>
                  </w:r>
                </w:p>
              </w:tc>
              <w:tc>
                <w:tcPr>
                  <w:tcW w:w="2761" w:type="dxa"/>
                  <w:gridSpan w:val="2"/>
                  <w:vAlign w:val="center"/>
                </w:tcPr>
                <w:p w14:paraId="3F24919F">
                  <w:pPr>
                    <w:jc w:val="center"/>
                    <w:rPr>
                      <w:szCs w:val="21"/>
                    </w:rPr>
                  </w:pPr>
                  <w:r>
                    <w:rPr>
                      <w:szCs w:val="21"/>
                    </w:rPr>
                    <w:t>最大产能</w:t>
                  </w:r>
                  <w:r>
                    <w:rPr>
                      <w:rFonts w:hint="eastAsia"/>
                      <w:szCs w:val="21"/>
                    </w:rPr>
                    <w:t>（件/a）</w:t>
                  </w:r>
                </w:p>
              </w:tc>
              <w:tc>
                <w:tcPr>
                  <w:tcW w:w="2103" w:type="dxa"/>
                  <w:vAlign w:val="center"/>
                </w:tcPr>
                <w:p w14:paraId="7DEC3848">
                  <w:pPr>
                    <w:jc w:val="center"/>
                    <w:rPr>
                      <w:szCs w:val="21"/>
                    </w:rPr>
                  </w:pPr>
                  <w:r>
                    <w:rPr>
                      <w:szCs w:val="21"/>
                    </w:rPr>
                    <w:t>设计产能</w:t>
                  </w:r>
                  <w:r>
                    <w:rPr>
                      <w:rFonts w:hint="eastAsia"/>
                      <w:szCs w:val="21"/>
                    </w:rPr>
                    <w:t>（件/a）</w:t>
                  </w:r>
                </w:p>
              </w:tc>
              <w:tc>
                <w:tcPr>
                  <w:tcW w:w="2103" w:type="dxa"/>
                  <w:vAlign w:val="center"/>
                </w:tcPr>
                <w:p w14:paraId="64DA906B">
                  <w:pPr>
                    <w:jc w:val="center"/>
                    <w:rPr>
                      <w:szCs w:val="21"/>
                    </w:rPr>
                  </w:pPr>
                  <w:r>
                    <w:rPr>
                      <w:szCs w:val="21"/>
                    </w:rPr>
                    <w:t>符合性</w:t>
                  </w:r>
                </w:p>
              </w:tc>
            </w:tr>
            <w:tr w14:paraId="5528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vMerge w:val="restart"/>
                  <w:vAlign w:val="center"/>
                </w:tcPr>
                <w:p w14:paraId="5F1AED9F">
                  <w:pPr>
                    <w:jc w:val="center"/>
                    <w:rPr>
                      <w:szCs w:val="21"/>
                    </w:rPr>
                  </w:pPr>
                  <w:r>
                    <w:rPr>
                      <w:szCs w:val="21"/>
                    </w:rPr>
                    <w:t>压铸工序</w:t>
                  </w:r>
                </w:p>
              </w:tc>
              <w:tc>
                <w:tcPr>
                  <w:tcW w:w="1709" w:type="dxa"/>
                  <w:vAlign w:val="center"/>
                </w:tcPr>
                <w:p w14:paraId="137BB01A">
                  <w:pPr>
                    <w:jc w:val="center"/>
                    <w:rPr>
                      <w:szCs w:val="21"/>
                    </w:rPr>
                  </w:pPr>
                  <w:r>
                    <w:rPr>
                      <w:szCs w:val="21"/>
                    </w:rPr>
                    <w:t>大件产品</w:t>
                  </w:r>
                </w:p>
              </w:tc>
              <w:tc>
                <w:tcPr>
                  <w:tcW w:w="1052" w:type="dxa"/>
                  <w:vAlign w:val="center"/>
                </w:tcPr>
                <w:p w14:paraId="5C4D0972">
                  <w:pPr>
                    <w:jc w:val="center"/>
                    <w:rPr>
                      <w:szCs w:val="21"/>
                    </w:rPr>
                  </w:pPr>
                  <w:r>
                    <w:rPr>
                      <w:szCs w:val="21"/>
                    </w:rPr>
                    <w:t>2851200</w:t>
                  </w:r>
                </w:p>
              </w:tc>
              <w:tc>
                <w:tcPr>
                  <w:tcW w:w="2103" w:type="dxa"/>
                  <w:vAlign w:val="center"/>
                </w:tcPr>
                <w:p w14:paraId="16F35CE1">
                  <w:pPr>
                    <w:jc w:val="center"/>
                    <w:rPr>
                      <w:szCs w:val="21"/>
                    </w:rPr>
                  </w:pPr>
                  <w:r>
                    <w:rPr>
                      <w:rFonts w:hint="eastAsia"/>
                      <w:szCs w:val="21"/>
                    </w:rPr>
                    <w:t>2</w:t>
                  </w:r>
                  <w:r>
                    <w:rPr>
                      <w:szCs w:val="21"/>
                    </w:rPr>
                    <w:t>500000</w:t>
                  </w:r>
                </w:p>
              </w:tc>
              <w:tc>
                <w:tcPr>
                  <w:tcW w:w="2103" w:type="dxa"/>
                  <w:vAlign w:val="center"/>
                </w:tcPr>
                <w:p w14:paraId="66F788AA">
                  <w:pPr>
                    <w:jc w:val="center"/>
                    <w:rPr>
                      <w:szCs w:val="21"/>
                    </w:rPr>
                  </w:pPr>
                  <w:r>
                    <w:rPr>
                      <w:szCs w:val="21"/>
                    </w:rPr>
                    <w:t>符合</w:t>
                  </w:r>
                </w:p>
              </w:tc>
            </w:tr>
            <w:tr w14:paraId="07A1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vMerge w:val="continue"/>
                  <w:vAlign w:val="center"/>
                </w:tcPr>
                <w:p w14:paraId="0A75E133">
                  <w:pPr>
                    <w:jc w:val="center"/>
                    <w:rPr>
                      <w:szCs w:val="21"/>
                    </w:rPr>
                  </w:pPr>
                </w:p>
              </w:tc>
              <w:tc>
                <w:tcPr>
                  <w:tcW w:w="1709" w:type="dxa"/>
                  <w:vAlign w:val="center"/>
                </w:tcPr>
                <w:p w14:paraId="6147EC49">
                  <w:pPr>
                    <w:jc w:val="center"/>
                    <w:rPr>
                      <w:szCs w:val="21"/>
                    </w:rPr>
                  </w:pPr>
                  <w:r>
                    <w:rPr>
                      <w:szCs w:val="21"/>
                    </w:rPr>
                    <w:t>小件产品</w:t>
                  </w:r>
                </w:p>
              </w:tc>
              <w:tc>
                <w:tcPr>
                  <w:tcW w:w="1052" w:type="dxa"/>
                  <w:vAlign w:val="center"/>
                </w:tcPr>
                <w:p w14:paraId="3F7D9596">
                  <w:pPr>
                    <w:jc w:val="center"/>
                    <w:rPr>
                      <w:szCs w:val="21"/>
                    </w:rPr>
                  </w:pPr>
                  <w:r>
                    <w:rPr>
                      <w:rFonts w:hint="eastAsia"/>
                      <w:szCs w:val="21"/>
                    </w:rPr>
                    <w:t>5</w:t>
                  </w:r>
                  <w:r>
                    <w:rPr>
                      <w:szCs w:val="21"/>
                    </w:rPr>
                    <w:t>702400</w:t>
                  </w:r>
                </w:p>
              </w:tc>
              <w:tc>
                <w:tcPr>
                  <w:tcW w:w="2103" w:type="dxa"/>
                  <w:vAlign w:val="center"/>
                </w:tcPr>
                <w:p w14:paraId="0CC5E21D">
                  <w:pPr>
                    <w:jc w:val="center"/>
                    <w:rPr>
                      <w:szCs w:val="21"/>
                    </w:rPr>
                  </w:pPr>
                  <w:r>
                    <w:rPr>
                      <w:rFonts w:hint="eastAsia"/>
                      <w:szCs w:val="21"/>
                    </w:rPr>
                    <w:t>5</w:t>
                  </w:r>
                  <w:r>
                    <w:rPr>
                      <w:szCs w:val="21"/>
                    </w:rPr>
                    <w:t>500000</w:t>
                  </w:r>
                </w:p>
              </w:tc>
              <w:tc>
                <w:tcPr>
                  <w:tcW w:w="2103" w:type="dxa"/>
                  <w:vAlign w:val="center"/>
                </w:tcPr>
                <w:p w14:paraId="4D296150">
                  <w:pPr>
                    <w:jc w:val="center"/>
                    <w:rPr>
                      <w:szCs w:val="21"/>
                    </w:rPr>
                  </w:pPr>
                  <w:r>
                    <w:rPr>
                      <w:szCs w:val="21"/>
                    </w:rPr>
                    <w:t>符合</w:t>
                  </w:r>
                </w:p>
              </w:tc>
            </w:tr>
            <w:tr w14:paraId="63A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vAlign w:val="center"/>
                </w:tcPr>
                <w:p w14:paraId="2AF9E223">
                  <w:pPr>
                    <w:jc w:val="center"/>
                    <w:rPr>
                      <w:szCs w:val="21"/>
                    </w:rPr>
                  </w:pPr>
                  <w:r>
                    <w:rPr>
                      <w:szCs w:val="21"/>
                    </w:rPr>
                    <w:t>抛丸工序</w:t>
                  </w:r>
                </w:p>
              </w:tc>
              <w:tc>
                <w:tcPr>
                  <w:tcW w:w="2761" w:type="dxa"/>
                  <w:gridSpan w:val="2"/>
                  <w:vAlign w:val="center"/>
                </w:tcPr>
                <w:p w14:paraId="7B532CE9">
                  <w:pPr>
                    <w:jc w:val="center"/>
                    <w:rPr>
                      <w:szCs w:val="21"/>
                    </w:rPr>
                  </w:pPr>
                  <w:r>
                    <w:rPr>
                      <w:rFonts w:hint="eastAsia"/>
                      <w:szCs w:val="21"/>
                    </w:rPr>
                    <w:t>1</w:t>
                  </w:r>
                  <w:r>
                    <w:rPr>
                      <w:szCs w:val="21"/>
                    </w:rPr>
                    <w:t>2672000</w:t>
                  </w:r>
                  <w:r>
                    <w:rPr>
                      <w:rFonts w:hint="eastAsia"/>
                      <w:szCs w:val="21"/>
                    </w:rPr>
                    <w:t>~2</w:t>
                  </w:r>
                  <w:r>
                    <w:rPr>
                      <w:szCs w:val="21"/>
                    </w:rPr>
                    <w:t>0275200</w:t>
                  </w:r>
                </w:p>
              </w:tc>
              <w:tc>
                <w:tcPr>
                  <w:tcW w:w="2103" w:type="dxa"/>
                  <w:vAlign w:val="center"/>
                </w:tcPr>
                <w:p w14:paraId="4D1A9C3A">
                  <w:pPr>
                    <w:jc w:val="center"/>
                    <w:rPr>
                      <w:szCs w:val="21"/>
                    </w:rPr>
                  </w:pPr>
                  <w:r>
                    <w:rPr>
                      <w:rFonts w:hint="eastAsia"/>
                      <w:szCs w:val="21"/>
                    </w:rPr>
                    <w:t>8</w:t>
                  </w:r>
                  <w:r>
                    <w:rPr>
                      <w:szCs w:val="21"/>
                    </w:rPr>
                    <w:t>000000</w:t>
                  </w:r>
                </w:p>
              </w:tc>
              <w:tc>
                <w:tcPr>
                  <w:tcW w:w="2103" w:type="dxa"/>
                  <w:vAlign w:val="center"/>
                </w:tcPr>
                <w:p w14:paraId="666E251E">
                  <w:pPr>
                    <w:jc w:val="center"/>
                    <w:rPr>
                      <w:szCs w:val="21"/>
                    </w:rPr>
                  </w:pPr>
                  <w:r>
                    <w:rPr>
                      <w:szCs w:val="21"/>
                    </w:rPr>
                    <w:t>符合</w:t>
                  </w:r>
                </w:p>
              </w:tc>
            </w:tr>
            <w:tr w14:paraId="6EEE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vAlign w:val="center"/>
                </w:tcPr>
                <w:p w14:paraId="08570735">
                  <w:pPr>
                    <w:jc w:val="center"/>
                    <w:rPr>
                      <w:szCs w:val="21"/>
                    </w:rPr>
                  </w:pPr>
                  <w:r>
                    <w:rPr>
                      <w:szCs w:val="21"/>
                    </w:rPr>
                    <w:t>机加工工序</w:t>
                  </w:r>
                </w:p>
              </w:tc>
              <w:tc>
                <w:tcPr>
                  <w:tcW w:w="2761" w:type="dxa"/>
                  <w:gridSpan w:val="2"/>
                  <w:vAlign w:val="center"/>
                </w:tcPr>
                <w:p w14:paraId="1A64BDBD">
                  <w:pPr>
                    <w:jc w:val="center"/>
                    <w:rPr>
                      <w:szCs w:val="21"/>
                    </w:rPr>
                  </w:pPr>
                  <w:r>
                    <w:rPr>
                      <w:rFonts w:hint="eastAsia"/>
                      <w:szCs w:val="21"/>
                    </w:rPr>
                    <w:t>8</w:t>
                  </w:r>
                  <w:r>
                    <w:rPr>
                      <w:szCs w:val="21"/>
                    </w:rPr>
                    <w:t>316000</w:t>
                  </w:r>
                </w:p>
              </w:tc>
              <w:tc>
                <w:tcPr>
                  <w:tcW w:w="2103" w:type="dxa"/>
                  <w:vAlign w:val="center"/>
                </w:tcPr>
                <w:p w14:paraId="5342F0D1">
                  <w:pPr>
                    <w:jc w:val="center"/>
                    <w:rPr>
                      <w:szCs w:val="21"/>
                    </w:rPr>
                  </w:pPr>
                  <w:r>
                    <w:rPr>
                      <w:rFonts w:hint="eastAsia"/>
                      <w:szCs w:val="21"/>
                    </w:rPr>
                    <w:t>8</w:t>
                  </w:r>
                  <w:r>
                    <w:rPr>
                      <w:szCs w:val="21"/>
                    </w:rPr>
                    <w:t>000000</w:t>
                  </w:r>
                </w:p>
              </w:tc>
              <w:tc>
                <w:tcPr>
                  <w:tcW w:w="2103" w:type="dxa"/>
                  <w:vAlign w:val="center"/>
                </w:tcPr>
                <w:p w14:paraId="17AE757F">
                  <w:pPr>
                    <w:jc w:val="center"/>
                    <w:rPr>
                      <w:szCs w:val="21"/>
                    </w:rPr>
                  </w:pPr>
                  <w:r>
                    <w:rPr>
                      <w:szCs w:val="21"/>
                    </w:rPr>
                    <w:t>符合</w:t>
                  </w:r>
                </w:p>
              </w:tc>
            </w:tr>
            <w:tr w14:paraId="1A6F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vAlign w:val="center"/>
                </w:tcPr>
                <w:p w14:paraId="06053988">
                  <w:pPr>
                    <w:jc w:val="center"/>
                    <w:rPr>
                      <w:szCs w:val="21"/>
                    </w:rPr>
                  </w:pPr>
                  <w:r>
                    <w:rPr>
                      <w:szCs w:val="21"/>
                    </w:rPr>
                    <w:t>浸渗工序</w:t>
                  </w:r>
                </w:p>
              </w:tc>
              <w:tc>
                <w:tcPr>
                  <w:tcW w:w="2761" w:type="dxa"/>
                  <w:gridSpan w:val="2"/>
                  <w:vAlign w:val="center"/>
                </w:tcPr>
                <w:p w14:paraId="0F22BF60">
                  <w:pPr>
                    <w:jc w:val="center"/>
                    <w:rPr>
                      <w:szCs w:val="21"/>
                    </w:rPr>
                  </w:pPr>
                  <w:r>
                    <w:rPr>
                      <w:szCs w:val="21"/>
                    </w:rPr>
                    <w:t>2621793</w:t>
                  </w:r>
                </w:p>
              </w:tc>
              <w:tc>
                <w:tcPr>
                  <w:tcW w:w="2103" w:type="dxa"/>
                  <w:vAlign w:val="center"/>
                </w:tcPr>
                <w:p w14:paraId="12F2C6A1">
                  <w:pPr>
                    <w:jc w:val="center"/>
                    <w:rPr>
                      <w:szCs w:val="21"/>
                    </w:rPr>
                  </w:pPr>
                  <w:r>
                    <w:rPr>
                      <w:rFonts w:hint="eastAsia"/>
                      <w:szCs w:val="21"/>
                    </w:rPr>
                    <w:t>2</w:t>
                  </w:r>
                  <w:r>
                    <w:rPr>
                      <w:szCs w:val="21"/>
                    </w:rPr>
                    <w:t>500000</w:t>
                  </w:r>
                </w:p>
              </w:tc>
              <w:tc>
                <w:tcPr>
                  <w:tcW w:w="2103" w:type="dxa"/>
                  <w:vAlign w:val="center"/>
                </w:tcPr>
                <w:p w14:paraId="1B2320E6">
                  <w:pPr>
                    <w:jc w:val="center"/>
                    <w:rPr>
                      <w:szCs w:val="21"/>
                    </w:rPr>
                  </w:pPr>
                  <w:r>
                    <w:rPr>
                      <w:szCs w:val="21"/>
                    </w:rPr>
                    <w:t>符合</w:t>
                  </w:r>
                </w:p>
              </w:tc>
            </w:tr>
          </w:tbl>
          <w:p w14:paraId="7F884DAA">
            <w:pPr>
              <w:adjustRightInd w:val="0"/>
              <w:snapToGrid w:val="0"/>
              <w:spacing w:line="360" w:lineRule="auto"/>
              <w:ind w:firstLine="480" w:firstLineChars="200"/>
              <w:jc w:val="left"/>
              <w:rPr>
                <w:sz w:val="24"/>
              </w:rPr>
            </w:pPr>
            <w:r>
              <w:rPr>
                <w:sz w:val="24"/>
              </w:rPr>
              <w:t>综上分析可知</w:t>
            </w:r>
            <w:r>
              <w:rPr>
                <w:rFonts w:hint="eastAsia"/>
                <w:sz w:val="24"/>
              </w:rPr>
              <w:t>，</w:t>
            </w:r>
            <w:r>
              <w:rPr>
                <w:sz w:val="24"/>
              </w:rPr>
              <w:t>项目产能满足设计生产要求</w:t>
            </w:r>
            <w:r>
              <w:rPr>
                <w:rFonts w:hint="eastAsia"/>
                <w:sz w:val="24"/>
              </w:rPr>
              <w:t>。</w:t>
            </w:r>
          </w:p>
          <w:p w14:paraId="28BF1592">
            <w:pPr>
              <w:adjustRightInd w:val="0"/>
              <w:snapToGrid w:val="0"/>
              <w:spacing w:line="360" w:lineRule="auto"/>
              <w:jc w:val="left"/>
              <w:rPr>
                <w:b/>
                <w:sz w:val="24"/>
              </w:rPr>
            </w:pPr>
            <w:r>
              <w:rPr>
                <w:b/>
                <w:sz w:val="24"/>
              </w:rPr>
              <w:t>6、主要原辅材料及燃料</w:t>
            </w:r>
          </w:p>
          <w:p w14:paraId="7C53EF57">
            <w:pPr>
              <w:spacing w:line="360" w:lineRule="auto"/>
              <w:ind w:firstLine="480" w:firstLineChars="200"/>
              <w:rPr>
                <w:sz w:val="24"/>
              </w:rPr>
            </w:pPr>
            <w:r>
              <w:rPr>
                <w:sz w:val="24"/>
              </w:rPr>
              <w:t>项目主要原辅材料名称及年消耗数量详见表2-5。原辅料理化特性见表2-6。</w:t>
            </w:r>
          </w:p>
          <w:p w14:paraId="1079960E">
            <w:pPr>
              <w:adjustRightInd w:val="0"/>
              <w:snapToGrid w:val="0"/>
              <w:spacing w:line="360" w:lineRule="auto"/>
              <w:jc w:val="center"/>
              <w:rPr>
                <w:sz w:val="24"/>
              </w:rPr>
            </w:pPr>
            <w:r>
              <w:rPr>
                <w:bCs/>
                <w:sz w:val="24"/>
              </w:rPr>
              <w:t xml:space="preserve">表2-5 </w:t>
            </w:r>
            <w:r>
              <w:rPr>
                <w:sz w:val="24"/>
              </w:rPr>
              <w:t xml:space="preserve"> 项目</w:t>
            </w:r>
            <w:r>
              <w:rPr>
                <w:rFonts w:hint="eastAsia"/>
                <w:sz w:val="24"/>
              </w:rPr>
              <w:t>迁建</w:t>
            </w:r>
            <w:r>
              <w:rPr>
                <w:sz w:val="24"/>
              </w:rPr>
              <w:t>前后主要原辅材料名称及年消耗数量</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7"/>
              <w:gridCol w:w="714"/>
              <w:gridCol w:w="757"/>
              <w:gridCol w:w="595"/>
              <w:gridCol w:w="1229"/>
              <w:gridCol w:w="1040"/>
              <w:gridCol w:w="2270"/>
              <w:gridCol w:w="1083"/>
            </w:tblGrid>
            <w:tr w14:paraId="3ED09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6" w:hRule="atLeast"/>
                <w:jc w:val="center"/>
              </w:trPr>
              <w:tc>
                <w:tcPr>
                  <w:tcW w:w="727" w:type="dxa"/>
                  <w:shd w:val="clear" w:color="auto" w:fill="auto"/>
                  <w:noWrap/>
                  <w:vAlign w:val="center"/>
                </w:tcPr>
                <w:p w14:paraId="09BCFCFE">
                  <w:pPr>
                    <w:jc w:val="center"/>
                    <w:rPr>
                      <w:szCs w:val="21"/>
                    </w:rPr>
                  </w:pPr>
                  <w:r>
                    <w:rPr>
                      <w:szCs w:val="21"/>
                    </w:rPr>
                    <w:t>序号</w:t>
                  </w:r>
                </w:p>
              </w:tc>
              <w:tc>
                <w:tcPr>
                  <w:tcW w:w="714" w:type="dxa"/>
                  <w:tcBorders>
                    <w:right w:val="single" w:color="auto" w:sz="4" w:space="0"/>
                  </w:tcBorders>
                  <w:shd w:val="clear" w:color="auto" w:fill="auto"/>
                  <w:noWrap/>
                  <w:vAlign w:val="center"/>
                </w:tcPr>
                <w:p w14:paraId="62A35548">
                  <w:pPr>
                    <w:jc w:val="center"/>
                    <w:rPr>
                      <w:szCs w:val="21"/>
                    </w:rPr>
                  </w:pPr>
                  <w:r>
                    <w:rPr>
                      <w:rFonts w:hint="eastAsia"/>
                      <w:szCs w:val="21"/>
                    </w:rPr>
                    <w:t>工序</w:t>
                  </w:r>
                </w:p>
              </w:tc>
              <w:tc>
                <w:tcPr>
                  <w:tcW w:w="757" w:type="dxa"/>
                  <w:tcBorders>
                    <w:left w:val="single" w:color="auto" w:sz="4" w:space="0"/>
                  </w:tcBorders>
                  <w:shd w:val="clear" w:color="auto" w:fill="auto"/>
                  <w:vAlign w:val="center"/>
                </w:tcPr>
                <w:p w14:paraId="5604AD35">
                  <w:pPr>
                    <w:jc w:val="center"/>
                    <w:rPr>
                      <w:szCs w:val="21"/>
                    </w:rPr>
                  </w:pPr>
                  <w:r>
                    <w:rPr>
                      <w:szCs w:val="21"/>
                    </w:rPr>
                    <w:t>物料名称</w:t>
                  </w:r>
                </w:p>
              </w:tc>
              <w:tc>
                <w:tcPr>
                  <w:tcW w:w="595" w:type="dxa"/>
                  <w:shd w:val="clear" w:color="auto" w:fill="auto"/>
                  <w:vAlign w:val="center"/>
                </w:tcPr>
                <w:p w14:paraId="4C08F95E">
                  <w:pPr>
                    <w:jc w:val="center"/>
                    <w:rPr>
                      <w:szCs w:val="21"/>
                    </w:rPr>
                  </w:pPr>
                  <w:r>
                    <w:rPr>
                      <w:szCs w:val="21"/>
                    </w:rPr>
                    <w:t>单位</w:t>
                  </w:r>
                </w:p>
              </w:tc>
              <w:tc>
                <w:tcPr>
                  <w:tcW w:w="1229" w:type="dxa"/>
                  <w:tcBorders>
                    <w:right w:val="single" w:color="auto" w:sz="4" w:space="0"/>
                  </w:tcBorders>
                  <w:shd w:val="clear" w:color="auto" w:fill="auto"/>
                  <w:vAlign w:val="center"/>
                </w:tcPr>
                <w:p w14:paraId="6C4215C0">
                  <w:pPr>
                    <w:jc w:val="center"/>
                    <w:rPr>
                      <w:szCs w:val="21"/>
                    </w:rPr>
                  </w:pPr>
                  <w:r>
                    <w:rPr>
                      <w:rFonts w:hint="eastAsia"/>
                      <w:szCs w:val="21"/>
                    </w:rPr>
                    <w:t>总用量</w:t>
                  </w:r>
                </w:p>
                <w:p w14:paraId="002F510C">
                  <w:pPr>
                    <w:jc w:val="center"/>
                    <w:rPr>
                      <w:szCs w:val="21"/>
                    </w:rPr>
                  </w:pPr>
                  <w:r>
                    <w:rPr>
                      <w:szCs w:val="21"/>
                    </w:rPr>
                    <w:t>t/a</w:t>
                  </w:r>
                </w:p>
              </w:tc>
              <w:tc>
                <w:tcPr>
                  <w:tcW w:w="1040" w:type="dxa"/>
                  <w:tcBorders>
                    <w:right w:val="single" w:color="auto" w:sz="4" w:space="0"/>
                  </w:tcBorders>
                  <w:vAlign w:val="center"/>
                </w:tcPr>
                <w:p w14:paraId="15EEA033">
                  <w:pPr>
                    <w:jc w:val="center"/>
                    <w:rPr>
                      <w:szCs w:val="21"/>
                    </w:rPr>
                  </w:pPr>
                  <w:r>
                    <w:rPr>
                      <w:rFonts w:hint="eastAsia"/>
                      <w:szCs w:val="21"/>
                    </w:rPr>
                    <w:t>最大储存量</w:t>
                  </w:r>
                </w:p>
              </w:tc>
              <w:tc>
                <w:tcPr>
                  <w:tcW w:w="2270" w:type="dxa"/>
                  <w:tcBorders>
                    <w:left w:val="single" w:color="auto" w:sz="4" w:space="0"/>
                  </w:tcBorders>
                  <w:shd w:val="clear" w:color="auto" w:fill="auto"/>
                  <w:vAlign w:val="center"/>
                </w:tcPr>
                <w:p w14:paraId="3DCF23A7">
                  <w:pPr>
                    <w:jc w:val="center"/>
                    <w:rPr>
                      <w:szCs w:val="21"/>
                    </w:rPr>
                  </w:pPr>
                  <w:r>
                    <w:rPr>
                      <w:szCs w:val="21"/>
                    </w:rPr>
                    <w:t>主要成分</w:t>
                  </w:r>
                </w:p>
              </w:tc>
              <w:tc>
                <w:tcPr>
                  <w:tcW w:w="1083" w:type="dxa"/>
                  <w:tcBorders>
                    <w:left w:val="single" w:color="auto" w:sz="4" w:space="0"/>
                  </w:tcBorders>
                  <w:vAlign w:val="center"/>
                </w:tcPr>
                <w:p w14:paraId="1BF5828B">
                  <w:pPr>
                    <w:jc w:val="center"/>
                    <w:rPr>
                      <w:szCs w:val="21"/>
                    </w:rPr>
                  </w:pPr>
                  <w:r>
                    <w:rPr>
                      <w:rFonts w:hint="eastAsia"/>
                      <w:szCs w:val="21"/>
                    </w:rPr>
                    <w:t>特性</w:t>
                  </w:r>
                </w:p>
              </w:tc>
            </w:tr>
            <w:tr w14:paraId="35049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19715B0D">
                  <w:pPr>
                    <w:jc w:val="center"/>
                    <w:rPr>
                      <w:szCs w:val="21"/>
                    </w:rPr>
                  </w:pPr>
                  <w:r>
                    <w:rPr>
                      <w:rFonts w:hint="eastAsia"/>
                      <w:szCs w:val="21"/>
                    </w:rPr>
                    <w:t>1</w:t>
                  </w:r>
                </w:p>
              </w:tc>
              <w:tc>
                <w:tcPr>
                  <w:tcW w:w="714" w:type="dxa"/>
                  <w:vMerge w:val="restart"/>
                  <w:tcBorders>
                    <w:right w:val="single" w:color="auto" w:sz="4" w:space="0"/>
                  </w:tcBorders>
                  <w:shd w:val="clear" w:color="auto" w:fill="auto"/>
                  <w:noWrap/>
                  <w:vAlign w:val="center"/>
                </w:tcPr>
                <w:p w14:paraId="363045F1">
                  <w:pPr>
                    <w:jc w:val="center"/>
                    <w:rPr>
                      <w:szCs w:val="21"/>
                    </w:rPr>
                  </w:pPr>
                  <w:r>
                    <w:rPr>
                      <w:rFonts w:hint="eastAsia"/>
                      <w:szCs w:val="21"/>
                    </w:rPr>
                    <w:t>熔化工序</w:t>
                  </w:r>
                </w:p>
              </w:tc>
              <w:tc>
                <w:tcPr>
                  <w:tcW w:w="757" w:type="dxa"/>
                  <w:tcBorders>
                    <w:left w:val="single" w:color="auto" w:sz="4" w:space="0"/>
                  </w:tcBorders>
                  <w:shd w:val="clear" w:color="auto" w:fill="auto"/>
                  <w:vAlign w:val="center"/>
                </w:tcPr>
                <w:p w14:paraId="3D2AED78">
                  <w:pPr>
                    <w:jc w:val="center"/>
                    <w:rPr>
                      <w:szCs w:val="21"/>
                    </w:rPr>
                  </w:pPr>
                  <w:r>
                    <w:rPr>
                      <w:rFonts w:hint="eastAsia"/>
                      <w:szCs w:val="21"/>
                    </w:rPr>
                    <w:t>铝合金液</w:t>
                  </w:r>
                </w:p>
              </w:tc>
              <w:tc>
                <w:tcPr>
                  <w:tcW w:w="595" w:type="dxa"/>
                  <w:shd w:val="clear" w:color="auto" w:fill="auto"/>
                  <w:vAlign w:val="center"/>
                </w:tcPr>
                <w:p w14:paraId="51117B11">
                  <w:pPr>
                    <w:jc w:val="center"/>
                    <w:rPr>
                      <w:szCs w:val="21"/>
                    </w:rPr>
                  </w:pPr>
                  <w:r>
                    <w:rPr>
                      <w:rFonts w:hint="eastAsia"/>
                      <w:szCs w:val="21"/>
                    </w:rPr>
                    <w:t>t/a</w:t>
                  </w:r>
                </w:p>
              </w:tc>
              <w:tc>
                <w:tcPr>
                  <w:tcW w:w="1229" w:type="dxa"/>
                  <w:vAlign w:val="center"/>
                </w:tcPr>
                <w:p w14:paraId="4DC5374E">
                  <w:pPr>
                    <w:jc w:val="center"/>
                    <w:rPr>
                      <w:rFonts w:eastAsia="等线"/>
                      <w:szCs w:val="21"/>
                    </w:rPr>
                  </w:pPr>
                  <w:r>
                    <w:rPr>
                      <w:rFonts w:eastAsia="等线"/>
                      <w:szCs w:val="21"/>
                    </w:rPr>
                    <w:t>6500</w:t>
                  </w:r>
                </w:p>
              </w:tc>
              <w:tc>
                <w:tcPr>
                  <w:tcW w:w="1040" w:type="dxa"/>
                  <w:vAlign w:val="center"/>
                </w:tcPr>
                <w:p w14:paraId="619F4F11">
                  <w:pPr>
                    <w:jc w:val="center"/>
                    <w:rPr>
                      <w:szCs w:val="21"/>
                    </w:rPr>
                  </w:pPr>
                  <w:r>
                    <w:rPr>
                      <w:rFonts w:hint="eastAsia"/>
                      <w:szCs w:val="21"/>
                    </w:rPr>
                    <w:t>/</w:t>
                  </w:r>
                </w:p>
              </w:tc>
              <w:tc>
                <w:tcPr>
                  <w:tcW w:w="2270" w:type="dxa"/>
                  <w:shd w:val="clear" w:color="auto" w:fill="auto"/>
                  <w:noWrap/>
                  <w:vAlign w:val="center"/>
                </w:tcPr>
                <w:p w14:paraId="0AB4ECB6">
                  <w:pPr>
                    <w:jc w:val="center"/>
                    <w:rPr>
                      <w:szCs w:val="21"/>
                    </w:rPr>
                  </w:pPr>
                  <w:r>
                    <w:rPr>
                      <w:rFonts w:hint="eastAsia"/>
                      <w:szCs w:val="21"/>
                    </w:rPr>
                    <w:t>铝，ACD12系列，由重庆剑涛铝业有限公司及重庆国丰实业有限公司提供</w:t>
                  </w:r>
                </w:p>
              </w:tc>
              <w:tc>
                <w:tcPr>
                  <w:tcW w:w="1083" w:type="dxa"/>
                  <w:vAlign w:val="center"/>
                </w:tcPr>
                <w:p w14:paraId="0B77E425">
                  <w:pPr>
                    <w:jc w:val="center"/>
                    <w:rPr>
                      <w:szCs w:val="21"/>
                    </w:rPr>
                  </w:pPr>
                  <w:r>
                    <w:rPr>
                      <w:rFonts w:hint="eastAsia"/>
                      <w:szCs w:val="21"/>
                    </w:rPr>
                    <w:t>高温铝合金液</w:t>
                  </w:r>
                </w:p>
              </w:tc>
            </w:tr>
            <w:tr w14:paraId="62730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7C92A83C">
                  <w:pPr>
                    <w:jc w:val="center"/>
                    <w:rPr>
                      <w:szCs w:val="21"/>
                    </w:rPr>
                  </w:pPr>
                  <w:r>
                    <w:rPr>
                      <w:rFonts w:hint="eastAsia"/>
                      <w:szCs w:val="21"/>
                    </w:rPr>
                    <w:t>2</w:t>
                  </w:r>
                </w:p>
              </w:tc>
              <w:tc>
                <w:tcPr>
                  <w:tcW w:w="714" w:type="dxa"/>
                  <w:vMerge w:val="continue"/>
                  <w:tcBorders>
                    <w:right w:val="single" w:color="auto" w:sz="4" w:space="0"/>
                  </w:tcBorders>
                  <w:shd w:val="clear" w:color="auto" w:fill="auto"/>
                  <w:noWrap/>
                  <w:vAlign w:val="center"/>
                </w:tcPr>
                <w:p w14:paraId="2D03B07E">
                  <w:pPr>
                    <w:jc w:val="center"/>
                    <w:rPr>
                      <w:szCs w:val="21"/>
                    </w:rPr>
                  </w:pPr>
                </w:p>
              </w:tc>
              <w:tc>
                <w:tcPr>
                  <w:tcW w:w="757" w:type="dxa"/>
                  <w:tcBorders>
                    <w:left w:val="single" w:color="auto" w:sz="4" w:space="0"/>
                  </w:tcBorders>
                  <w:shd w:val="clear" w:color="auto" w:fill="auto"/>
                  <w:vAlign w:val="center"/>
                </w:tcPr>
                <w:p w14:paraId="0BB2F2EC">
                  <w:pPr>
                    <w:jc w:val="center"/>
                    <w:rPr>
                      <w:szCs w:val="21"/>
                    </w:rPr>
                  </w:pPr>
                  <w:r>
                    <w:rPr>
                      <w:rFonts w:hint="eastAsia"/>
                      <w:szCs w:val="21"/>
                    </w:rPr>
                    <w:t>铝合金锭</w:t>
                  </w:r>
                </w:p>
              </w:tc>
              <w:tc>
                <w:tcPr>
                  <w:tcW w:w="595" w:type="dxa"/>
                  <w:shd w:val="clear" w:color="auto" w:fill="auto"/>
                  <w:vAlign w:val="center"/>
                </w:tcPr>
                <w:p w14:paraId="75DCA833">
                  <w:pPr>
                    <w:jc w:val="center"/>
                    <w:rPr>
                      <w:szCs w:val="21"/>
                    </w:rPr>
                  </w:pPr>
                  <w:r>
                    <w:rPr>
                      <w:rFonts w:hint="eastAsia"/>
                      <w:szCs w:val="21"/>
                    </w:rPr>
                    <w:t>t/a</w:t>
                  </w:r>
                </w:p>
              </w:tc>
              <w:tc>
                <w:tcPr>
                  <w:tcW w:w="1229" w:type="dxa"/>
                  <w:vAlign w:val="center"/>
                </w:tcPr>
                <w:p w14:paraId="226D8F2A">
                  <w:pPr>
                    <w:jc w:val="center"/>
                    <w:rPr>
                      <w:rFonts w:eastAsia="等线"/>
                      <w:szCs w:val="21"/>
                    </w:rPr>
                  </w:pPr>
                  <w:r>
                    <w:rPr>
                      <w:rFonts w:eastAsia="等线"/>
                      <w:szCs w:val="21"/>
                    </w:rPr>
                    <w:t>1500</w:t>
                  </w:r>
                </w:p>
              </w:tc>
              <w:tc>
                <w:tcPr>
                  <w:tcW w:w="1040" w:type="dxa"/>
                  <w:vAlign w:val="center"/>
                </w:tcPr>
                <w:p w14:paraId="56CD9564">
                  <w:pPr>
                    <w:jc w:val="center"/>
                    <w:rPr>
                      <w:szCs w:val="21"/>
                    </w:rPr>
                  </w:pPr>
                  <w:r>
                    <w:rPr>
                      <w:szCs w:val="21"/>
                    </w:rPr>
                    <w:t>20</w:t>
                  </w:r>
                </w:p>
              </w:tc>
              <w:tc>
                <w:tcPr>
                  <w:tcW w:w="2270" w:type="dxa"/>
                  <w:shd w:val="clear" w:color="auto" w:fill="auto"/>
                  <w:noWrap/>
                  <w:vAlign w:val="center"/>
                </w:tcPr>
                <w:p w14:paraId="3498D586">
                  <w:pPr>
                    <w:jc w:val="center"/>
                    <w:rPr>
                      <w:szCs w:val="21"/>
                    </w:rPr>
                  </w:pPr>
                  <w:r>
                    <w:rPr>
                      <w:rFonts w:hint="eastAsia"/>
                      <w:szCs w:val="21"/>
                    </w:rPr>
                    <w:t>铝，ACD12系列，外购</w:t>
                  </w:r>
                </w:p>
              </w:tc>
              <w:tc>
                <w:tcPr>
                  <w:tcW w:w="1083" w:type="dxa"/>
                  <w:vAlign w:val="center"/>
                </w:tcPr>
                <w:p w14:paraId="63B4BCCD">
                  <w:pPr>
                    <w:jc w:val="center"/>
                    <w:rPr>
                      <w:szCs w:val="21"/>
                    </w:rPr>
                  </w:pPr>
                  <w:r>
                    <w:rPr>
                      <w:rFonts w:hint="eastAsia"/>
                      <w:szCs w:val="21"/>
                    </w:rPr>
                    <w:t>固态</w:t>
                  </w:r>
                </w:p>
              </w:tc>
            </w:tr>
            <w:tr w14:paraId="18322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57300164">
                  <w:pPr>
                    <w:jc w:val="center"/>
                    <w:rPr>
                      <w:szCs w:val="21"/>
                    </w:rPr>
                  </w:pPr>
                  <w:r>
                    <w:rPr>
                      <w:rFonts w:hint="eastAsia"/>
                      <w:szCs w:val="21"/>
                    </w:rPr>
                    <w:t>3</w:t>
                  </w:r>
                </w:p>
              </w:tc>
              <w:tc>
                <w:tcPr>
                  <w:tcW w:w="714" w:type="dxa"/>
                  <w:vMerge w:val="continue"/>
                  <w:tcBorders>
                    <w:right w:val="single" w:color="auto" w:sz="4" w:space="0"/>
                  </w:tcBorders>
                  <w:shd w:val="clear" w:color="auto" w:fill="auto"/>
                  <w:noWrap/>
                  <w:vAlign w:val="center"/>
                </w:tcPr>
                <w:p w14:paraId="2AA1448A">
                  <w:pPr>
                    <w:jc w:val="center"/>
                    <w:rPr>
                      <w:szCs w:val="21"/>
                    </w:rPr>
                  </w:pPr>
                </w:p>
              </w:tc>
              <w:tc>
                <w:tcPr>
                  <w:tcW w:w="757" w:type="dxa"/>
                  <w:tcBorders>
                    <w:left w:val="single" w:color="auto" w:sz="4" w:space="0"/>
                  </w:tcBorders>
                  <w:shd w:val="clear" w:color="auto" w:fill="auto"/>
                  <w:vAlign w:val="center"/>
                </w:tcPr>
                <w:p w14:paraId="4D33C670">
                  <w:pPr>
                    <w:jc w:val="center"/>
                    <w:rPr>
                      <w:szCs w:val="21"/>
                    </w:rPr>
                  </w:pPr>
                  <w:r>
                    <w:rPr>
                      <w:rFonts w:hint="eastAsia"/>
                      <w:szCs w:val="21"/>
                    </w:rPr>
                    <w:t>精炼剂</w:t>
                  </w:r>
                </w:p>
              </w:tc>
              <w:tc>
                <w:tcPr>
                  <w:tcW w:w="595" w:type="dxa"/>
                  <w:shd w:val="clear" w:color="auto" w:fill="auto"/>
                  <w:vAlign w:val="center"/>
                </w:tcPr>
                <w:p w14:paraId="5E1C2AEB">
                  <w:pPr>
                    <w:jc w:val="center"/>
                    <w:rPr>
                      <w:szCs w:val="21"/>
                    </w:rPr>
                  </w:pPr>
                  <w:r>
                    <w:rPr>
                      <w:rFonts w:hint="eastAsia"/>
                      <w:szCs w:val="21"/>
                    </w:rPr>
                    <w:t>t/a</w:t>
                  </w:r>
                </w:p>
              </w:tc>
              <w:tc>
                <w:tcPr>
                  <w:tcW w:w="1229" w:type="dxa"/>
                  <w:vAlign w:val="center"/>
                </w:tcPr>
                <w:p w14:paraId="36D07119">
                  <w:pPr>
                    <w:jc w:val="center"/>
                    <w:rPr>
                      <w:rFonts w:eastAsia="等线"/>
                      <w:szCs w:val="21"/>
                    </w:rPr>
                  </w:pPr>
                  <w:r>
                    <w:rPr>
                      <w:rFonts w:eastAsia="等线"/>
                      <w:szCs w:val="21"/>
                    </w:rPr>
                    <w:t>3</w:t>
                  </w:r>
                </w:p>
              </w:tc>
              <w:tc>
                <w:tcPr>
                  <w:tcW w:w="1040" w:type="dxa"/>
                  <w:vAlign w:val="center"/>
                </w:tcPr>
                <w:p w14:paraId="35E6D8E8">
                  <w:pPr>
                    <w:jc w:val="center"/>
                    <w:rPr>
                      <w:szCs w:val="21"/>
                    </w:rPr>
                  </w:pPr>
                  <w:r>
                    <w:rPr>
                      <w:szCs w:val="21"/>
                    </w:rPr>
                    <w:t>0.5</w:t>
                  </w:r>
                </w:p>
              </w:tc>
              <w:tc>
                <w:tcPr>
                  <w:tcW w:w="2270" w:type="dxa"/>
                  <w:shd w:val="clear" w:color="auto" w:fill="auto"/>
                  <w:noWrap/>
                  <w:vAlign w:val="center"/>
                </w:tcPr>
                <w:p w14:paraId="5841A5BB">
                  <w:pPr>
                    <w:jc w:val="center"/>
                    <w:rPr>
                      <w:szCs w:val="21"/>
                    </w:rPr>
                  </w:pPr>
                  <w:r>
                    <w:rPr>
                      <w:rFonts w:hint="eastAsia"/>
                      <w:szCs w:val="21"/>
                    </w:rPr>
                    <w:t>硝酸钠、硅酸盐、不含氟化物</w:t>
                  </w:r>
                </w:p>
              </w:tc>
              <w:tc>
                <w:tcPr>
                  <w:tcW w:w="1083" w:type="dxa"/>
                  <w:vAlign w:val="center"/>
                </w:tcPr>
                <w:p w14:paraId="7A1ACA84">
                  <w:pPr>
                    <w:jc w:val="center"/>
                    <w:rPr>
                      <w:szCs w:val="21"/>
                    </w:rPr>
                  </w:pPr>
                  <w:r>
                    <w:rPr>
                      <w:rFonts w:hint="eastAsia"/>
                      <w:szCs w:val="21"/>
                    </w:rPr>
                    <w:t>固态</w:t>
                  </w:r>
                </w:p>
              </w:tc>
            </w:tr>
            <w:tr w14:paraId="022B3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69" w:hRule="atLeast"/>
                <w:jc w:val="center"/>
              </w:trPr>
              <w:tc>
                <w:tcPr>
                  <w:tcW w:w="727" w:type="dxa"/>
                  <w:shd w:val="clear" w:color="auto" w:fill="auto"/>
                  <w:noWrap/>
                  <w:vAlign w:val="center"/>
                </w:tcPr>
                <w:p w14:paraId="19131038">
                  <w:pPr>
                    <w:jc w:val="center"/>
                    <w:rPr>
                      <w:szCs w:val="21"/>
                    </w:rPr>
                  </w:pPr>
                  <w:r>
                    <w:rPr>
                      <w:rFonts w:hint="eastAsia"/>
                      <w:szCs w:val="21"/>
                    </w:rPr>
                    <w:t>4</w:t>
                  </w:r>
                </w:p>
              </w:tc>
              <w:tc>
                <w:tcPr>
                  <w:tcW w:w="714" w:type="dxa"/>
                  <w:vMerge w:val="continue"/>
                  <w:tcBorders>
                    <w:right w:val="single" w:color="auto" w:sz="4" w:space="0"/>
                  </w:tcBorders>
                  <w:shd w:val="clear" w:color="auto" w:fill="auto"/>
                  <w:noWrap/>
                  <w:vAlign w:val="center"/>
                </w:tcPr>
                <w:p w14:paraId="1505E32E">
                  <w:pPr>
                    <w:jc w:val="center"/>
                    <w:rPr>
                      <w:szCs w:val="21"/>
                    </w:rPr>
                  </w:pPr>
                </w:p>
              </w:tc>
              <w:tc>
                <w:tcPr>
                  <w:tcW w:w="757" w:type="dxa"/>
                  <w:tcBorders>
                    <w:left w:val="single" w:color="auto" w:sz="4" w:space="0"/>
                  </w:tcBorders>
                  <w:shd w:val="clear" w:color="auto" w:fill="auto"/>
                  <w:vAlign w:val="center"/>
                </w:tcPr>
                <w:p w14:paraId="4CE11DF8">
                  <w:pPr>
                    <w:jc w:val="center"/>
                    <w:rPr>
                      <w:szCs w:val="21"/>
                    </w:rPr>
                  </w:pPr>
                  <w:r>
                    <w:rPr>
                      <w:rFonts w:hint="eastAsia"/>
                      <w:szCs w:val="21"/>
                    </w:rPr>
                    <w:t>铝除渣除气剂</w:t>
                  </w:r>
                </w:p>
              </w:tc>
              <w:tc>
                <w:tcPr>
                  <w:tcW w:w="595" w:type="dxa"/>
                  <w:shd w:val="clear" w:color="auto" w:fill="auto"/>
                  <w:vAlign w:val="center"/>
                </w:tcPr>
                <w:p w14:paraId="141C7A31">
                  <w:pPr>
                    <w:jc w:val="center"/>
                    <w:rPr>
                      <w:szCs w:val="21"/>
                    </w:rPr>
                  </w:pPr>
                  <w:r>
                    <w:rPr>
                      <w:rFonts w:hint="eastAsia"/>
                      <w:szCs w:val="21"/>
                    </w:rPr>
                    <w:t>t/a</w:t>
                  </w:r>
                </w:p>
              </w:tc>
              <w:tc>
                <w:tcPr>
                  <w:tcW w:w="1229" w:type="dxa"/>
                  <w:vAlign w:val="center"/>
                </w:tcPr>
                <w:p w14:paraId="79EF9AE4">
                  <w:pPr>
                    <w:jc w:val="center"/>
                    <w:rPr>
                      <w:rFonts w:eastAsia="等线"/>
                      <w:szCs w:val="21"/>
                    </w:rPr>
                  </w:pPr>
                  <w:r>
                    <w:rPr>
                      <w:rFonts w:eastAsia="等线"/>
                      <w:szCs w:val="21"/>
                    </w:rPr>
                    <w:t>3</w:t>
                  </w:r>
                </w:p>
              </w:tc>
              <w:tc>
                <w:tcPr>
                  <w:tcW w:w="1040" w:type="dxa"/>
                  <w:vAlign w:val="center"/>
                </w:tcPr>
                <w:p w14:paraId="4243C357">
                  <w:pPr>
                    <w:jc w:val="center"/>
                    <w:rPr>
                      <w:szCs w:val="21"/>
                    </w:rPr>
                  </w:pPr>
                  <w:r>
                    <w:rPr>
                      <w:szCs w:val="21"/>
                    </w:rPr>
                    <w:t>0.5</w:t>
                  </w:r>
                </w:p>
              </w:tc>
              <w:tc>
                <w:tcPr>
                  <w:tcW w:w="2270" w:type="dxa"/>
                  <w:shd w:val="clear" w:color="auto" w:fill="auto"/>
                  <w:noWrap/>
                  <w:vAlign w:val="center"/>
                </w:tcPr>
                <w:p w14:paraId="7B174586">
                  <w:pPr>
                    <w:jc w:val="center"/>
                    <w:rPr>
                      <w:szCs w:val="21"/>
                    </w:rPr>
                  </w:pPr>
                  <w:r>
                    <w:rPr>
                      <w:rFonts w:hint="eastAsia"/>
                      <w:szCs w:val="21"/>
                    </w:rPr>
                    <w:t>氯化钠、氯化钾、硫酸钠、碳酸钙及二氧化硅，不含氟化物</w:t>
                  </w:r>
                </w:p>
              </w:tc>
              <w:tc>
                <w:tcPr>
                  <w:tcW w:w="1083" w:type="dxa"/>
                  <w:vAlign w:val="center"/>
                </w:tcPr>
                <w:p w14:paraId="02F8046D">
                  <w:pPr>
                    <w:jc w:val="center"/>
                    <w:rPr>
                      <w:szCs w:val="21"/>
                    </w:rPr>
                  </w:pPr>
                  <w:r>
                    <w:rPr>
                      <w:rFonts w:hint="eastAsia"/>
                      <w:szCs w:val="21"/>
                    </w:rPr>
                    <w:t>白色粉末</w:t>
                  </w:r>
                </w:p>
              </w:tc>
            </w:tr>
            <w:tr w14:paraId="44E90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69" w:hRule="atLeast"/>
                <w:jc w:val="center"/>
              </w:trPr>
              <w:tc>
                <w:tcPr>
                  <w:tcW w:w="727" w:type="dxa"/>
                  <w:shd w:val="clear" w:color="auto" w:fill="auto"/>
                  <w:noWrap/>
                  <w:vAlign w:val="center"/>
                </w:tcPr>
                <w:p w14:paraId="273F4753">
                  <w:pPr>
                    <w:jc w:val="center"/>
                    <w:rPr>
                      <w:szCs w:val="21"/>
                    </w:rPr>
                  </w:pPr>
                  <w:r>
                    <w:rPr>
                      <w:szCs w:val="21"/>
                    </w:rPr>
                    <w:t>5</w:t>
                  </w:r>
                </w:p>
              </w:tc>
              <w:tc>
                <w:tcPr>
                  <w:tcW w:w="714" w:type="dxa"/>
                  <w:vMerge w:val="restart"/>
                  <w:tcBorders>
                    <w:right w:val="single" w:color="auto" w:sz="4" w:space="0"/>
                  </w:tcBorders>
                  <w:shd w:val="clear" w:color="auto" w:fill="auto"/>
                  <w:noWrap/>
                  <w:vAlign w:val="center"/>
                </w:tcPr>
                <w:p w14:paraId="2FAD9235">
                  <w:pPr>
                    <w:jc w:val="center"/>
                    <w:rPr>
                      <w:szCs w:val="21"/>
                    </w:rPr>
                  </w:pPr>
                  <w:r>
                    <w:rPr>
                      <w:rFonts w:hint="eastAsia"/>
                      <w:szCs w:val="21"/>
                    </w:rPr>
                    <w:t>压铸工序</w:t>
                  </w:r>
                </w:p>
              </w:tc>
              <w:tc>
                <w:tcPr>
                  <w:tcW w:w="757" w:type="dxa"/>
                  <w:tcBorders>
                    <w:left w:val="single" w:color="auto" w:sz="4" w:space="0"/>
                  </w:tcBorders>
                  <w:shd w:val="clear" w:color="auto" w:fill="auto"/>
                  <w:vAlign w:val="center"/>
                </w:tcPr>
                <w:p w14:paraId="6A567F85">
                  <w:pPr>
                    <w:jc w:val="center"/>
                    <w:rPr>
                      <w:szCs w:val="21"/>
                    </w:rPr>
                  </w:pPr>
                  <w:r>
                    <w:rPr>
                      <w:rFonts w:hint="eastAsia"/>
                      <w:szCs w:val="21"/>
                    </w:rPr>
                    <w:t>颗粒柱塞油</w:t>
                  </w:r>
                </w:p>
              </w:tc>
              <w:tc>
                <w:tcPr>
                  <w:tcW w:w="595" w:type="dxa"/>
                  <w:shd w:val="clear" w:color="auto" w:fill="auto"/>
                  <w:vAlign w:val="center"/>
                </w:tcPr>
                <w:p w14:paraId="3438FF3E">
                  <w:pPr>
                    <w:jc w:val="center"/>
                    <w:rPr>
                      <w:szCs w:val="21"/>
                    </w:rPr>
                  </w:pPr>
                  <w:r>
                    <w:rPr>
                      <w:rFonts w:hint="eastAsia"/>
                      <w:szCs w:val="21"/>
                    </w:rPr>
                    <w:t>t/a</w:t>
                  </w:r>
                </w:p>
              </w:tc>
              <w:tc>
                <w:tcPr>
                  <w:tcW w:w="1229" w:type="dxa"/>
                  <w:vAlign w:val="center"/>
                </w:tcPr>
                <w:p w14:paraId="3408F93B">
                  <w:pPr>
                    <w:jc w:val="center"/>
                    <w:rPr>
                      <w:rFonts w:eastAsia="等线"/>
                      <w:szCs w:val="21"/>
                    </w:rPr>
                  </w:pPr>
                  <w:r>
                    <w:rPr>
                      <w:rFonts w:eastAsia="等线"/>
                      <w:szCs w:val="21"/>
                    </w:rPr>
                    <w:t>9.5</w:t>
                  </w:r>
                </w:p>
              </w:tc>
              <w:tc>
                <w:tcPr>
                  <w:tcW w:w="1040" w:type="dxa"/>
                  <w:vAlign w:val="center"/>
                </w:tcPr>
                <w:p w14:paraId="7C06D178">
                  <w:pPr>
                    <w:jc w:val="center"/>
                    <w:rPr>
                      <w:szCs w:val="21"/>
                    </w:rPr>
                  </w:pPr>
                  <w:r>
                    <w:rPr>
                      <w:szCs w:val="21"/>
                    </w:rPr>
                    <w:t>0.5</w:t>
                  </w:r>
                </w:p>
              </w:tc>
              <w:tc>
                <w:tcPr>
                  <w:tcW w:w="2270" w:type="dxa"/>
                  <w:shd w:val="clear" w:color="auto" w:fill="auto"/>
                  <w:noWrap/>
                  <w:vAlign w:val="center"/>
                </w:tcPr>
                <w:p w14:paraId="00F3012E">
                  <w:pPr>
                    <w:jc w:val="center"/>
                    <w:rPr>
                      <w:szCs w:val="21"/>
                    </w:rPr>
                  </w:pPr>
                  <w:r>
                    <w:rPr>
                      <w:rFonts w:hint="eastAsia"/>
                      <w:szCs w:val="21"/>
                    </w:rPr>
                    <w:t>聚乙烯蜡、石墨</w:t>
                  </w:r>
                </w:p>
              </w:tc>
              <w:tc>
                <w:tcPr>
                  <w:tcW w:w="1083" w:type="dxa"/>
                  <w:vAlign w:val="center"/>
                </w:tcPr>
                <w:p w14:paraId="3DDDC1FC">
                  <w:pPr>
                    <w:jc w:val="center"/>
                    <w:rPr>
                      <w:szCs w:val="21"/>
                    </w:rPr>
                  </w:pPr>
                  <w:r>
                    <w:rPr>
                      <w:rFonts w:hint="eastAsia"/>
                      <w:szCs w:val="21"/>
                    </w:rPr>
                    <w:t>黑色蜡状固体</w:t>
                  </w:r>
                </w:p>
              </w:tc>
            </w:tr>
            <w:tr w14:paraId="46642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065AAB15">
                  <w:pPr>
                    <w:jc w:val="center"/>
                    <w:rPr>
                      <w:szCs w:val="21"/>
                    </w:rPr>
                  </w:pPr>
                  <w:r>
                    <w:rPr>
                      <w:szCs w:val="21"/>
                    </w:rPr>
                    <w:t>6</w:t>
                  </w:r>
                </w:p>
              </w:tc>
              <w:tc>
                <w:tcPr>
                  <w:tcW w:w="714" w:type="dxa"/>
                  <w:vMerge w:val="continue"/>
                  <w:tcBorders>
                    <w:right w:val="single" w:color="auto" w:sz="4" w:space="0"/>
                  </w:tcBorders>
                  <w:shd w:val="clear" w:color="auto" w:fill="auto"/>
                  <w:noWrap/>
                  <w:vAlign w:val="center"/>
                </w:tcPr>
                <w:p w14:paraId="5A9137D8">
                  <w:pPr>
                    <w:jc w:val="center"/>
                    <w:rPr>
                      <w:szCs w:val="21"/>
                    </w:rPr>
                  </w:pPr>
                </w:p>
              </w:tc>
              <w:tc>
                <w:tcPr>
                  <w:tcW w:w="757" w:type="dxa"/>
                  <w:tcBorders>
                    <w:left w:val="single" w:color="auto" w:sz="4" w:space="0"/>
                  </w:tcBorders>
                  <w:shd w:val="clear" w:color="auto" w:fill="auto"/>
                  <w:vAlign w:val="center"/>
                </w:tcPr>
                <w:p w14:paraId="2DC1DB37">
                  <w:pPr>
                    <w:jc w:val="center"/>
                    <w:rPr>
                      <w:szCs w:val="21"/>
                    </w:rPr>
                  </w:pPr>
                  <w:r>
                    <w:rPr>
                      <w:rFonts w:hint="eastAsia"/>
                      <w:szCs w:val="21"/>
                    </w:rPr>
                    <w:t>液压油</w:t>
                  </w:r>
                </w:p>
              </w:tc>
              <w:tc>
                <w:tcPr>
                  <w:tcW w:w="595" w:type="dxa"/>
                  <w:shd w:val="clear" w:color="auto" w:fill="auto"/>
                  <w:vAlign w:val="center"/>
                </w:tcPr>
                <w:p w14:paraId="305E8F43">
                  <w:pPr>
                    <w:jc w:val="center"/>
                    <w:rPr>
                      <w:szCs w:val="21"/>
                    </w:rPr>
                  </w:pPr>
                  <w:r>
                    <w:rPr>
                      <w:rFonts w:hint="eastAsia"/>
                      <w:szCs w:val="21"/>
                    </w:rPr>
                    <w:t>t/a</w:t>
                  </w:r>
                </w:p>
              </w:tc>
              <w:tc>
                <w:tcPr>
                  <w:tcW w:w="1229" w:type="dxa"/>
                  <w:vAlign w:val="center"/>
                </w:tcPr>
                <w:p w14:paraId="1F054B8F">
                  <w:pPr>
                    <w:jc w:val="center"/>
                    <w:rPr>
                      <w:rFonts w:eastAsia="等线"/>
                      <w:szCs w:val="21"/>
                    </w:rPr>
                  </w:pPr>
                  <w:r>
                    <w:rPr>
                      <w:rFonts w:eastAsia="等线"/>
                      <w:szCs w:val="21"/>
                    </w:rPr>
                    <w:t>12.5</w:t>
                  </w:r>
                </w:p>
              </w:tc>
              <w:tc>
                <w:tcPr>
                  <w:tcW w:w="1040" w:type="dxa"/>
                  <w:vAlign w:val="center"/>
                </w:tcPr>
                <w:p w14:paraId="3F207C08">
                  <w:pPr>
                    <w:jc w:val="center"/>
                    <w:rPr>
                      <w:szCs w:val="21"/>
                    </w:rPr>
                  </w:pPr>
                  <w:r>
                    <w:rPr>
                      <w:szCs w:val="21"/>
                    </w:rPr>
                    <w:t>2</w:t>
                  </w:r>
                </w:p>
              </w:tc>
              <w:tc>
                <w:tcPr>
                  <w:tcW w:w="2270" w:type="dxa"/>
                  <w:shd w:val="clear" w:color="auto" w:fill="auto"/>
                  <w:noWrap/>
                  <w:vAlign w:val="center"/>
                </w:tcPr>
                <w:p w14:paraId="4BEE6AFE">
                  <w:pPr>
                    <w:jc w:val="center"/>
                    <w:rPr>
                      <w:szCs w:val="21"/>
                    </w:rPr>
                  </w:pPr>
                  <w:r>
                    <w:rPr>
                      <w:rFonts w:hint="eastAsia"/>
                      <w:szCs w:val="21"/>
                    </w:rPr>
                    <w:t>基础油、各类添加剂</w:t>
                  </w:r>
                </w:p>
              </w:tc>
              <w:tc>
                <w:tcPr>
                  <w:tcW w:w="1083" w:type="dxa"/>
                  <w:vAlign w:val="center"/>
                </w:tcPr>
                <w:p w14:paraId="21A6D71C">
                  <w:pPr>
                    <w:jc w:val="center"/>
                    <w:rPr>
                      <w:szCs w:val="21"/>
                    </w:rPr>
                  </w:pPr>
                  <w:r>
                    <w:rPr>
                      <w:rFonts w:hint="eastAsia"/>
                      <w:szCs w:val="21"/>
                    </w:rPr>
                    <w:t>液态</w:t>
                  </w:r>
                </w:p>
              </w:tc>
            </w:tr>
            <w:tr w14:paraId="72F97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70F79BD9">
                  <w:pPr>
                    <w:jc w:val="center"/>
                    <w:rPr>
                      <w:szCs w:val="21"/>
                    </w:rPr>
                  </w:pPr>
                  <w:r>
                    <w:rPr>
                      <w:rFonts w:hint="eastAsia"/>
                      <w:szCs w:val="21"/>
                    </w:rPr>
                    <w:t>7</w:t>
                  </w:r>
                </w:p>
              </w:tc>
              <w:tc>
                <w:tcPr>
                  <w:tcW w:w="714" w:type="dxa"/>
                  <w:vMerge w:val="continue"/>
                  <w:tcBorders>
                    <w:right w:val="single" w:color="auto" w:sz="4" w:space="0"/>
                  </w:tcBorders>
                  <w:shd w:val="clear" w:color="auto" w:fill="auto"/>
                  <w:noWrap/>
                  <w:vAlign w:val="center"/>
                </w:tcPr>
                <w:p w14:paraId="6204F51F">
                  <w:pPr>
                    <w:jc w:val="center"/>
                    <w:rPr>
                      <w:szCs w:val="21"/>
                    </w:rPr>
                  </w:pPr>
                </w:p>
              </w:tc>
              <w:tc>
                <w:tcPr>
                  <w:tcW w:w="757" w:type="dxa"/>
                  <w:tcBorders>
                    <w:left w:val="single" w:color="auto" w:sz="4" w:space="0"/>
                  </w:tcBorders>
                  <w:shd w:val="clear" w:color="auto" w:fill="auto"/>
                  <w:vAlign w:val="center"/>
                </w:tcPr>
                <w:p w14:paraId="5A9A418D">
                  <w:pPr>
                    <w:jc w:val="center"/>
                    <w:rPr>
                      <w:szCs w:val="21"/>
                    </w:rPr>
                  </w:pPr>
                  <w:r>
                    <w:rPr>
                      <w:rFonts w:hint="eastAsia"/>
                      <w:szCs w:val="21"/>
                    </w:rPr>
                    <w:t>水基脱模剂</w:t>
                  </w:r>
                </w:p>
              </w:tc>
              <w:tc>
                <w:tcPr>
                  <w:tcW w:w="595" w:type="dxa"/>
                  <w:shd w:val="clear" w:color="auto" w:fill="auto"/>
                  <w:vAlign w:val="center"/>
                </w:tcPr>
                <w:p w14:paraId="1BF5FF0F">
                  <w:pPr>
                    <w:jc w:val="center"/>
                    <w:rPr>
                      <w:szCs w:val="21"/>
                    </w:rPr>
                  </w:pPr>
                  <w:r>
                    <w:rPr>
                      <w:rFonts w:hint="eastAsia"/>
                      <w:szCs w:val="21"/>
                    </w:rPr>
                    <w:t>t/a</w:t>
                  </w:r>
                </w:p>
              </w:tc>
              <w:tc>
                <w:tcPr>
                  <w:tcW w:w="1229" w:type="dxa"/>
                  <w:vAlign w:val="center"/>
                </w:tcPr>
                <w:p w14:paraId="1E414BC2">
                  <w:pPr>
                    <w:jc w:val="center"/>
                    <w:rPr>
                      <w:rFonts w:eastAsia="等线"/>
                      <w:szCs w:val="21"/>
                      <w:highlight w:val="yellow"/>
                    </w:rPr>
                  </w:pPr>
                  <w:r>
                    <w:rPr>
                      <w:rFonts w:eastAsia="等线"/>
                      <w:szCs w:val="21"/>
                    </w:rPr>
                    <w:t>21.4</w:t>
                  </w:r>
                </w:p>
              </w:tc>
              <w:tc>
                <w:tcPr>
                  <w:tcW w:w="1040" w:type="dxa"/>
                  <w:vAlign w:val="center"/>
                </w:tcPr>
                <w:p w14:paraId="085C0CBE">
                  <w:pPr>
                    <w:jc w:val="center"/>
                    <w:rPr>
                      <w:szCs w:val="21"/>
                      <w:highlight w:val="yellow"/>
                    </w:rPr>
                  </w:pPr>
                  <w:r>
                    <w:rPr>
                      <w:szCs w:val="21"/>
                    </w:rPr>
                    <w:t>2</w:t>
                  </w:r>
                </w:p>
              </w:tc>
              <w:tc>
                <w:tcPr>
                  <w:tcW w:w="2270" w:type="dxa"/>
                  <w:shd w:val="clear" w:color="auto" w:fill="auto"/>
                  <w:noWrap/>
                  <w:vAlign w:val="center"/>
                </w:tcPr>
                <w:p w14:paraId="4FD0781C">
                  <w:pPr>
                    <w:jc w:val="center"/>
                    <w:rPr>
                      <w:szCs w:val="21"/>
                    </w:rPr>
                  </w:pPr>
                  <w:r>
                    <w:rPr>
                      <w:rFonts w:hint="eastAsia"/>
                      <w:szCs w:val="21"/>
                    </w:rPr>
                    <w:t>烷芳氢基改性硅、聚乙烯蜡、高温合成脂及水</w:t>
                  </w:r>
                </w:p>
              </w:tc>
              <w:tc>
                <w:tcPr>
                  <w:tcW w:w="1083" w:type="dxa"/>
                  <w:vAlign w:val="center"/>
                </w:tcPr>
                <w:p w14:paraId="76B77141">
                  <w:pPr>
                    <w:jc w:val="center"/>
                    <w:rPr>
                      <w:szCs w:val="21"/>
                    </w:rPr>
                  </w:pPr>
                  <w:r>
                    <w:rPr>
                      <w:rFonts w:hint="eastAsia"/>
                      <w:szCs w:val="21"/>
                    </w:rPr>
                    <w:t>乳白色液体</w:t>
                  </w:r>
                </w:p>
              </w:tc>
            </w:tr>
            <w:tr w14:paraId="0424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2C843244">
                  <w:pPr>
                    <w:jc w:val="center"/>
                    <w:rPr>
                      <w:szCs w:val="21"/>
                    </w:rPr>
                  </w:pPr>
                  <w:r>
                    <w:rPr>
                      <w:szCs w:val="21"/>
                    </w:rPr>
                    <w:t>8</w:t>
                  </w:r>
                </w:p>
              </w:tc>
              <w:tc>
                <w:tcPr>
                  <w:tcW w:w="714" w:type="dxa"/>
                  <w:tcBorders>
                    <w:right w:val="single" w:color="auto" w:sz="4" w:space="0"/>
                  </w:tcBorders>
                  <w:shd w:val="clear" w:color="auto" w:fill="auto"/>
                  <w:noWrap/>
                  <w:vAlign w:val="center"/>
                </w:tcPr>
                <w:p w14:paraId="60EA4E7D">
                  <w:pPr>
                    <w:jc w:val="center"/>
                    <w:rPr>
                      <w:szCs w:val="21"/>
                    </w:rPr>
                  </w:pPr>
                  <w:r>
                    <w:rPr>
                      <w:rFonts w:hint="eastAsia"/>
                      <w:szCs w:val="21"/>
                    </w:rPr>
                    <w:t>抛丸工序</w:t>
                  </w:r>
                </w:p>
              </w:tc>
              <w:tc>
                <w:tcPr>
                  <w:tcW w:w="757" w:type="dxa"/>
                  <w:tcBorders>
                    <w:left w:val="single" w:color="auto" w:sz="4" w:space="0"/>
                  </w:tcBorders>
                  <w:shd w:val="clear" w:color="auto" w:fill="auto"/>
                  <w:vAlign w:val="center"/>
                </w:tcPr>
                <w:p w14:paraId="0934E2AC">
                  <w:pPr>
                    <w:jc w:val="center"/>
                    <w:rPr>
                      <w:szCs w:val="21"/>
                    </w:rPr>
                  </w:pPr>
                  <w:r>
                    <w:rPr>
                      <w:rFonts w:hint="eastAsia"/>
                      <w:szCs w:val="21"/>
                    </w:rPr>
                    <w:t>钢丸</w:t>
                  </w:r>
                </w:p>
              </w:tc>
              <w:tc>
                <w:tcPr>
                  <w:tcW w:w="595" w:type="dxa"/>
                  <w:shd w:val="clear" w:color="auto" w:fill="auto"/>
                  <w:vAlign w:val="center"/>
                </w:tcPr>
                <w:p w14:paraId="5AA82CC9">
                  <w:pPr>
                    <w:jc w:val="center"/>
                    <w:rPr>
                      <w:szCs w:val="21"/>
                    </w:rPr>
                  </w:pPr>
                  <w:r>
                    <w:rPr>
                      <w:rFonts w:hint="eastAsia"/>
                      <w:szCs w:val="21"/>
                    </w:rPr>
                    <w:t>t/a</w:t>
                  </w:r>
                </w:p>
              </w:tc>
              <w:tc>
                <w:tcPr>
                  <w:tcW w:w="1229" w:type="dxa"/>
                  <w:vAlign w:val="center"/>
                </w:tcPr>
                <w:p w14:paraId="315725B9">
                  <w:pPr>
                    <w:jc w:val="center"/>
                    <w:rPr>
                      <w:rFonts w:eastAsia="等线"/>
                      <w:szCs w:val="21"/>
                    </w:rPr>
                  </w:pPr>
                  <w:r>
                    <w:rPr>
                      <w:rFonts w:eastAsia="等线"/>
                      <w:szCs w:val="21"/>
                    </w:rPr>
                    <w:t>20.8</w:t>
                  </w:r>
                </w:p>
              </w:tc>
              <w:tc>
                <w:tcPr>
                  <w:tcW w:w="1040" w:type="dxa"/>
                  <w:vAlign w:val="center"/>
                </w:tcPr>
                <w:p w14:paraId="71BDE004">
                  <w:pPr>
                    <w:jc w:val="center"/>
                    <w:rPr>
                      <w:szCs w:val="21"/>
                    </w:rPr>
                  </w:pPr>
                  <w:r>
                    <w:rPr>
                      <w:szCs w:val="21"/>
                    </w:rPr>
                    <w:t>2</w:t>
                  </w:r>
                </w:p>
              </w:tc>
              <w:tc>
                <w:tcPr>
                  <w:tcW w:w="2270" w:type="dxa"/>
                  <w:shd w:val="clear" w:color="auto" w:fill="auto"/>
                  <w:noWrap/>
                  <w:vAlign w:val="center"/>
                </w:tcPr>
                <w:p w14:paraId="4D9B956C">
                  <w:pPr>
                    <w:jc w:val="center"/>
                    <w:rPr>
                      <w:szCs w:val="21"/>
                    </w:rPr>
                  </w:pPr>
                  <w:r>
                    <w:rPr>
                      <w:szCs w:val="21"/>
                    </w:rPr>
                    <w:t>F</w:t>
                  </w:r>
                  <w:r>
                    <w:rPr>
                      <w:rFonts w:hint="eastAsia"/>
                      <w:szCs w:val="21"/>
                    </w:rPr>
                    <w:t>e、C</w:t>
                  </w:r>
                </w:p>
              </w:tc>
              <w:tc>
                <w:tcPr>
                  <w:tcW w:w="1083" w:type="dxa"/>
                  <w:vAlign w:val="center"/>
                </w:tcPr>
                <w:p w14:paraId="632CE57B">
                  <w:pPr>
                    <w:jc w:val="center"/>
                    <w:rPr>
                      <w:szCs w:val="21"/>
                    </w:rPr>
                  </w:pPr>
                  <w:r>
                    <w:rPr>
                      <w:rFonts w:hint="eastAsia"/>
                      <w:szCs w:val="21"/>
                    </w:rPr>
                    <w:t>固态</w:t>
                  </w:r>
                </w:p>
              </w:tc>
            </w:tr>
            <w:tr w14:paraId="21885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4B84CD48">
                  <w:pPr>
                    <w:jc w:val="center"/>
                    <w:rPr>
                      <w:szCs w:val="21"/>
                    </w:rPr>
                  </w:pPr>
                  <w:r>
                    <w:rPr>
                      <w:rFonts w:hint="eastAsia"/>
                      <w:szCs w:val="21"/>
                    </w:rPr>
                    <w:t>9</w:t>
                  </w:r>
                </w:p>
              </w:tc>
              <w:tc>
                <w:tcPr>
                  <w:tcW w:w="714" w:type="dxa"/>
                  <w:tcBorders>
                    <w:right w:val="single" w:color="auto" w:sz="4" w:space="0"/>
                  </w:tcBorders>
                  <w:shd w:val="clear" w:color="auto" w:fill="auto"/>
                  <w:noWrap/>
                  <w:vAlign w:val="center"/>
                </w:tcPr>
                <w:p w14:paraId="7EF614CF">
                  <w:pPr>
                    <w:jc w:val="center"/>
                    <w:rPr>
                      <w:szCs w:val="21"/>
                    </w:rPr>
                  </w:pPr>
                  <w:r>
                    <w:rPr>
                      <w:rFonts w:hint="eastAsia"/>
                      <w:szCs w:val="21"/>
                    </w:rPr>
                    <w:t>机加工序</w:t>
                  </w:r>
                </w:p>
              </w:tc>
              <w:tc>
                <w:tcPr>
                  <w:tcW w:w="757" w:type="dxa"/>
                  <w:tcBorders>
                    <w:left w:val="single" w:color="auto" w:sz="4" w:space="0"/>
                  </w:tcBorders>
                  <w:shd w:val="clear" w:color="auto" w:fill="auto"/>
                  <w:vAlign w:val="center"/>
                </w:tcPr>
                <w:p w14:paraId="7614FCAC">
                  <w:pPr>
                    <w:jc w:val="center"/>
                    <w:rPr>
                      <w:szCs w:val="21"/>
                    </w:rPr>
                  </w:pPr>
                  <w:r>
                    <w:rPr>
                      <w:rFonts w:hint="eastAsia"/>
                      <w:szCs w:val="21"/>
                    </w:rPr>
                    <w:t>水基切削液</w:t>
                  </w:r>
                </w:p>
              </w:tc>
              <w:tc>
                <w:tcPr>
                  <w:tcW w:w="595" w:type="dxa"/>
                  <w:shd w:val="clear" w:color="auto" w:fill="auto"/>
                  <w:vAlign w:val="center"/>
                </w:tcPr>
                <w:p w14:paraId="67115CF5">
                  <w:pPr>
                    <w:jc w:val="center"/>
                    <w:rPr>
                      <w:szCs w:val="21"/>
                    </w:rPr>
                  </w:pPr>
                  <w:r>
                    <w:rPr>
                      <w:rFonts w:hint="eastAsia"/>
                      <w:szCs w:val="21"/>
                    </w:rPr>
                    <w:t>t/a</w:t>
                  </w:r>
                </w:p>
              </w:tc>
              <w:tc>
                <w:tcPr>
                  <w:tcW w:w="1229" w:type="dxa"/>
                  <w:vAlign w:val="center"/>
                </w:tcPr>
                <w:p w14:paraId="5D5FBB04">
                  <w:pPr>
                    <w:jc w:val="center"/>
                    <w:rPr>
                      <w:rFonts w:eastAsia="等线"/>
                      <w:szCs w:val="21"/>
                    </w:rPr>
                  </w:pPr>
                  <w:r>
                    <w:rPr>
                      <w:rFonts w:eastAsia="等线"/>
                      <w:szCs w:val="21"/>
                    </w:rPr>
                    <w:t>184.8</w:t>
                  </w:r>
                </w:p>
              </w:tc>
              <w:tc>
                <w:tcPr>
                  <w:tcW w:w="1040" w:type="dxa"/>
                  <w:vAlign w:val="center"/>
                </w:tcPr>
                <w:p w14:paraId="31707263">
                  <w:pPr>
                    <w:jc w:val="center"/>
                    <w:rPr>
                      <w:szCs w:val="21"/>
                    </w:rPr>
                  </w:pPr>
                  <w:r>
                    <w:rPr>
                      <w:szCs w:val="21"/>
                    </w:rPr>
                    <w:t>2</w:t>
                  </w:r>
                </w:p>
              </w:tc>
              <w:tc>
                <w:tcPr>
                  <w:tcW w:w="2270" w:type="dxa"/>
                  <w:shd w:val="clear" w:color="auto" w:fill="auto"/>
                  <w:noWrap/>
                  <w:vAlign w:val="center"/>
                </w:tcPr>
                <w:p w14:paraId="112F7F80">
                  <w:pPr>
                    <w:jc w:val="center"/>
                    <w:rPr>
                      <w:szCs w:val="21"/>
                    </w:rPr>
                  </w:pPr>
                  <w:r>
                    <w:rPr>
                      <w:rFonts w:hint="eastAsia"/>
                      <w:szCs w:val="21"/>
                    </w:rPr>
                    <w:t>基础油、硼酸、磷酸钠等</w:t>
                  </w:r>
                </w:p>
              </w:tc>
              <w:tc>
                <w:tcPr>
                  <w:tcW w:w="1083" w:type="dxa"/>
                  <w:vAlign w:val="center"/>
                </w:tcPr>
                <w:p w14:paraId="4F625D02">
                  <w:pPr>
                    <w:jc w:val="center"/>
                    <w:rPr>
                      <w:szCs w:val="21"/>
                    </w:rPr>
                  </w:pPr>
                  <w:r>
                    <w:rPr>
                      <w:rFonts w:hint="eastAsia"/>
                      <w:szCs w:val="21"/>
                    </w:rPr>
                    <w:t>乳白色液体</w:t>
                  </w:r>
                </w:p>
              </w:tc>
            </w:tr>
            <w:tr w14:paraId="7AC91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285A1957">
                  <w:pPr>
                    <w:jc w:val="center"/>
                    <w:rPr>
                      <w:szCs w:val="21"/>
                    </w:rPr>
                  </w:pPr>
                  <w:r>
                    <w:rPr>
                      <w:rFonts w:hint="eastAsia"/>
                      <w:szCs w:val="21"/>
                    </w:rPr>
                    <w:t>10</w:t>
                  </w:r>
                </w:p>
              </w:tc>
              <w:tc>
                <w:tcPr>
                  <w:tcW w:w="714" w:type="dxa"/>
                  <w:vMerge w:val="restart"/>
                  <w:tcBorders>
                    <w:right w:val="single" w:color="auto" w:sz="4" w:space="0"/>
                  </w:tcBorders>
                  <w:shd w:val="clear" w:color="auto" w:fill="auto"/>
                  <w:noWrap/>
                  <w:vAlign w:val="center"/>
                </w:tcPr>
                <w:p w14:paraId="3518E635">
                  <w:pPr>
                    <w:jc w:val="center"/>
                    <w:rPr>
                      <w:szCs w:val="21"/>
                    </w:rPr>
                  </w:pPr>
                  <w:r>
                    <w:rPr>
                      <w:rFonts w:hint="eastAsia"/>
                      <w:szCs w:val="21"/>
                    </w:rPr>
                    <w:t>浸渗工序</w:t>
                  </w:r>
                </w:p>
              </w:tc>
              <w:tc>
                <w:tcPr>
                  <w:tcW w:w="757" w:type="dxa"/>
                  <w:tcBorders>
                    <w:left w:val="single" w:color="auto" w:sz="4" w:space="0"/>
                  </w:tcBorders>
                  <w:shd w:val="clear" w:color="auto" w:fill="auto"/>
                  <w:vAlign w:val="center"/>
                </w:tcPr>
                <w:p w14:paraId="5F02A229">
                  <w:pPr>
                    <w:jc w:val="center"/>
                    <w:rPr>
                      <w:szCs w:val="21"/>
                    </w:rPr>
                  </w:pPr>
                  <w:r>
                    <w:rPr>
                      <w:rFonts w:hint="eastAsia"/>
                      <w:szCs w:val="21"/>
                    </w:rPr>
                    <w:t>浸渗剂</w:t>
                  </w:r>
                </w:p>
              </w:tc>
              <w:tc>
                <w:tcPr>
                  <w:tcW w:w="595" w:type="dxa"/>
                  <w:shd w:val="clear" w:color="auto" w:fill="auto"/>
                  <w:vAlign w:val="center"/>
                </w:tcPr>
                <w:p w14:paraId="50DDF543">
                  <w:pPr>
                    <w:jc w:val="center"/>
                    <w:rPr>
                      <w:szCs w:val="21"/>
                    </w:rPr>
                  </w:pPr>
                  <w:r>
                    <w:rPr>
                      <w:rFonts w:hint="eastAsia"/>
                      <w:szCs w:val="21"/>
                    </w:rPr>
                    <w:t>t/a</w:t>
                  </w:r>
                </w:p>
              </w:tc>
              <w:tc>
                <w:tcPr>
                  <w:tcW w:w="1229" w:type="dxa"/>
                  <w:vAlign w:val="center"/>
                </w:tcPr>
                <w:p w14:paraId="40825905">
                  <w:pPr>
                    <w:jc w:val="center"/>
                    <w:rPr>
                      <w:rFonts w:eastAsia="等线"/>
                      <w:szCs w:val="21"/>
                    </w:rPr>
                  </w:pPr>
                  <w:r>
                    <w:rPr>
                      <w:rFonts w:eastAsia="等线"/>
                      <w:szCs w:val="21"/>
                    </w:rPr>
                    <w:t>12</w:t>
                  </w:r>
                </w:p>
              </w:tc>
              <w:tc>
                <w:tcPr>
                  <w:tcW w:w="1040" w:type="dxa"/>
                  <w:vAlign w:val="center"/>
                </w:tcPr>
                <w:p w14:paraId="68AE83E3">
                  <w:pPr>
                    <w:jc w:val="center"/>
                    <w:rPr>
                      <w:szCs w:val="21"/>
                    </w:rPr>
                  </w:pPr>
                  <w:r>
                    <w:rPr>
                      <w:szCs w:val="21"/>
                    </w:rPr>
                    <w:t>0.5</w:t>
                  </w:r>
                </w:p>
              </w:tc>
              <w:tc>
                <w:tcPr>
                  <w:tcW w:w="2270" w:type="dxa"/>
                  <w:shd w:val="clear" w:color="auto" w:fill="auto"/>
                  <w:noWrap/>
                  <w:vAlign w:val="center"/>
                </w:tcPr>
                <w:p w14:paraId="44F6B1F3">
                  <w:pPr>
                    <w:jc w:val="center"/>
                    <w:rPr>
                      <w:szCs w:val="21"/>
                    </w:rPr>
                  </w:pPr>
                  <w:r>
                    <w:rPr>
                      <w:rFonts w:hint="eastAsia"/>
                      <w:szCs w:val="21"/>
                    </w:rPr>
                    <w:t>单（甲基）丙烯酸酯、多（甲基）丙烯酸酯、表面活性剂、其他助剂</w:t>
                  </w:r>
                </w:p>
              </w:tc>
              <w:tc>
                <w:tcPr>
                  <w:tcW w:w="1083" w:type="dxa"/>
                  <w:vAlign w:val="center"/>
                </w:tcPr>
                <w:p w14:paraId="3092ACA1">
                  <w:pPr>
                    <w:jc w:val="center"/>
                    <w:rPr>
                      <w:szCs w:val="21"/>
                    </w:rPr>
                  </w:pPr>
                  <w:r>
                    <w:rPr>
                      <w:rFonts w:hint="eastAsia"/>
                      <w:szCs w:val="21"/>
                    </w:rPr>
                    <w:t>透明略带酯黄色液体</w:t>
                  </w:r>
                </w:p>
              </w:tc>
            </w:tr>
            <w:tr w14:paraId="4F5E6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12BB06DC">
                  <w:pPr>
                    <w:jc w:val="center"/>
                    <w:rPr>
                      <w:szCs w:val="21"/>
                    </w:rPr>
                  </w:pPr>
                  <w:r>
                    <w:rPr>
                      <w:rFonts w:hint="eastAsia"/>
                      <w:szCs w:val="21"/>
                    </w:rPr>
                    <w:t>1</w:t>
                  </w:r>
                  <w:r>
                    <w:rPr>
                      <w:szCs w:val="21"/>
                    </w:rPr>
                    <w:t>1</w:t>
                  </w:r>
                </w:p>
              </w:tc>
              <w:tc>
                <w:tcPr>
                  <w:tcW w:w="714" w:type="dxa"/>
                  <w:vMerge w:val="continue"/>
                  <w:tcBorders>
                    <w:right w:val="single" w:color="auto" w:sz="4" w:space="0"/>
                  </w:tcBorders>
                  <w:shd w:val="clear" w:color="auto" w:fill="auto"/>
                  <w:noWrap/>
                  <w:vAlign w:val="center"/>
                </w:tcPr>
                <w:p w14:paraId="56423DF5">
                  <w:pPr>
                    <w:jc w:val="center"/>
                    <w:rPr>
                      <w:szCs w:val="21"/>
                    </w:rPr>
                  </w:pPr>
                </w:p>
              </w:tc>
              <w:tc>
                <w:tcPr>
                  <w:tcW w:w="757" w:type="dxa"/>
                  <w:tcBorders>
                    <w:left w:val="single" w:color="auto" w:sz="4" w:space="0"/>
                  </w:tcBorders>
                  <w:shd w:val="clear" w:color="auto" w:fill="auto"/>
                  <w:vAlign w:val="center"/>
                </w:tcPr>
                <w:p w14:paraId="0E62117B">
                  <w:pPr>
                    <w:jc w:val="center"/>
                    <w:rPr>
                      <w:szCs w:val="21"/>
                    </w:rPr>
                  </w:pPr>
                  <w:r>
                    <w:rPr>
                      <w:rFonts w:hint="eastAsia"/>
                      <w:szCs w:val="21"/>
                    </w:rPr>
                    <w:t>分离剂</w:t>
                  </w:r>
                </w:p>
              </w:tc>
              <w:tc>
                <w:tcPr>
                  <w:tcW w:w="595" w:type="dxa"/>
                  <w:shd w:val="clear" w:color="auto" w:fill="auto"/>
                  <w:vAlign w:val="center"/>
                </w:tcPr>
                <w:p w14:paraId="0914D28A">
                  <w:pPr>
                    <w:jc w:val="center"/>
                    <w:rPr>
                      <w:szCs w:val="21"/>
                    </w:rPr>
                  </w:pPr>
                  <w:r>
                    <w:rPr>
                      <w:rFonts w:hint="eastAsia"/>
                      <w:szCs w:val="21"/>
                    </w:rPr>
                    <w:t>t/a</w:t>
                  </w:r>
                </w:p>
              </w:tc>
              <w:tc>
                <w:tcPr>
                  <w:tcW w:w="1229" w:type="dxa"/>
                  <w:vAlign w:val="center"/>
                </w:tcPr>
                <w:p w14:paraId="7BC34B03">
                  <w:pPr>
                    <w:jc w:val="center"/>
                    <w:rPr>
                      <w:rFonts w:eastAsia="等线"/>
                      <w:szCs w:val="21"/>
                      <w:highlight w:val="yellow"/>
                    </w:rPr>
                  </w:pPr>
                  <w:r>
                    <w:rPr>
                      <w:rFonts w:eastAsia="等线"/>
                      <w:szCs w:val="21"/>
                    </w:rPr>
                    <w:t>13.6</w:t>
                  </w:r>
                </w:p>
              </w:tc>
              <w:tc>
                <w:tcPr>
                  <w:tcW w:w="1040" w:type="dxa"/>
                  <w:vAlign w:val="center"/>
                </w:tcPr>
                <w:p w14:paraId="5788DFC5">
                  <w:pPr>
                    <w:jc w:val="center"/>
                    <w:rPr>
                      <w:szCs w:val="21"/>
                    </w:rPr>
                  </w:pPr>
                  <w:r>
                    <w:rPr>
                      <w:rFonts w:hint="eastAsia"/>
                      <w:szCs w:val="21"/>
                    </w:rPr>
                    <w:t>0</w:t>
                  </w:r>
                  <w:r>
                    <w:rPr>
                      <w:szCs w:val="21"/>
                    </w:rPr>
                    <w:t>.5</w:t>
                  </w:r>
                </w:p>
              </w:tc>
              <w:tc>
                <w:tcPr>
                  <w:tcW w:w="2270" w:type="dxa"/>
                  <w:shd w:val="clear" w:color="auto" w:fill="auto"/>
                  <w:noWrap/>
                  <w:vAlign w:val="center"/>
                </w:tcPr>
                <w:p w14:paraId="543E70B0">
                  <w:pPr>
                    <w:jc w:val="center"/>
                    <w:rPr>
                      <w:szCs w:val="21"/>
                    </w:rPr>
                  </w:pPr>
                  <w:r>
                    <w:rPr>
                      <w:rFonts w:hint="eastAsia"/>
                      <w:szCs w:val="21"/>
                    </w:rPr>
                    <w:t>黄色透明液体，p</w:t>
                  </w:r>
                  <w:r>
                    <w:rPr>
                      <w:szCs w:val="21"/>
                    </w:rPr>
                    <w:t>H=7</w:t>
                  </w:r>
                  <w:r>
                    <w:rPr>
                      <w:rFonts w:hint="eastAsia"/>
                      <w:szCs w:val="21"/>
                    </w:rPr>
                    <w:t>，组分：功能型丙烯酸酯（8</w:t>
                  </w:r>
                  <w:r>
                    <w:rPr>
                      <w:szCs w:val="21"/>
                    </w:rPr>
                    <w:t>0~92%</w:t>
                  </w:r>
                  <w:r>
                    <w:rPr>
                      <w:rFonts w:hint="eastAsia"/>
                      <w:szCs w:val="21"/>
                    </w:rPr>
                    <w:t>）、表面活性剂（4</w:t>
                  </w:r>
                  <w:r>
                    <w:rPr>
                      <w:szCs w:val="21"/>
                    </w:rPr>
                    <w:t>~6%</w:t>
                  </w:r>
                  <w:r>
                    <w:rPr>
                      <w:rFonts w:hint="eastAsia"/>
                      <w:szCs w:val="21"/>
                    </w:rPr>
                    <w:t>）、调节剂（1</w:t>
                  </w:r>
                  <w:r>
                    <w:rPr>
                      <w:szCs w:val="21"/>
                    </w:rPr>
                    <w:t>~4%</w:t>
                  </w:r>
                  <w:r>
                    <w:rPr>
                      <w:rFonts w:hint="eastAsia"/>
                      <w:szCs w:val="21"/>
                    </w:rPr>
                    <w:t>）；</w:t>
                  </w:r>
                </w:p>
              </w:tc>
              <w:tc>
                <w:tcPr>
                  <w:tcW w:w="1083" w:type="dxa"/>
                  <w:vAlign w:val="center"/>
                </w:tcPr>
                <w:p w14:paraId="5C252660">
                  <w:pPr>
                    <w:jc w:val="center"/>
                    <w:rPr>
                      <w:szCs w:val="21"/>
                    </w:rPr>
                  </w:pPr>
                  <w:r>
                    <w:rPr>
                      <w:rFonts w:hint="eastAsia"/>
                      <w:szCs w:val="21"/>
                    </w:rPr>
                    <w:t>黄色透明液体</w:t>
                  </w:r>
                </w:p>
              </w:tc>
            </w:tr>
            <w:tr w14:paraId="7E6E2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658B1E51">
                  <w:pPr>
                    <w:jc w:val="center"/>
                    <w:rPr>
                      <w:szCs w:val="21"/>
                    </w:rPr>
                  </w:pPr>
                  <w:r>
                    <w:rPr>
                      <w:rFonts w:hint="eastAsia"/>
                      <w:szCs w:val="21"/>
                    </w:rPr>
                    <w:t>1</w:t>
                  </w:r>
                  <w:r>
                    <w:rPr>
                      <w:szCs w:val="21"/>
                    </w:rPr>
                    <w:t>2</w:t>
                  </w:r>
                </w:p>
              </w:tc>
              <w:tc>
                <w:tcPr>
                  <w:tcW w:w="714" w:type="dxa"/>
                  <w:vMerge w:val="continue"/>
                  <w:tcBorders>
                    <w:right w:val="single" w:color="auto" w:sz="4" w:space="0"/>
                  </w:tcBorders>
                  <w:shd w:val="clear" w:color="auto" w:fill="auto"/>
                  <w:noWrap/>
                  <w:vAlign w:val="center"/>
                </w:tcPr>
                <w:p w14:paraId="0157A104">
                  <w:pPr>
                    <w:jc w:val="center"/>
                    <w:rPr>
                      <w:szCs w:val="21"/>
                    </w:rPr>
                  </w:pPr>
                </w:p>
              </w:tc>
              <w:tc>
                <w:tcPr>
                  <w:tcW w:w="757" w:type="dxa"/>
                  <w:tcBorders>
                    <w:left w:val="single" w:color="auto" w:sz="4" w:space="0"/>
                  </w:tcBorders>
                  <w:shd w:val="clear" w:color="auto" w:fill="auto"/>
                  <w:vAlign w:val="center"/>
                </w:tcPr>
                <w:p w14:paraId="6F74753B">
                  <w:pPr>
                    <w:jc w:val="center"/>
                    <w:rPr>
                      <w:szCs w:val="21"/>
                    </w:rPr>
                  </w:pPr>
                  <w:r>
                    <w:rPr>
                      <w:rFonts w:hint="eastAsia"/>
                      <w:szCs w:val="21"/>
                    </w:rPr>
                    <w:t>缓蚀剂</w:t>
                  </w:r>
                </w:p>
              </w:tc>
              <w:tc>
                <w:tcPr>
                  <w:tcW w:w="595" w:type="dxa"/>
                  <w:shd w:val="clear" w:color="auto" w:fill="auto"/>
                  <w:vAlign w:val="center"/>
                </w:tcPr>
                <w:p w14:paraId="22D241AF">
                  <w:pPr>
                    <w:jc w:val="center"/>
                    <w:rPr>
                      <w:szCs w:val="21"/>
                    </w:rPr>
                  </w:pPr>
                  <w:r>
                    <w:rPr>
                      <w:rFonts w:hint="eastAsia"/>
                      <w:szCs w:val="21"/>
                    </w:rPr>
                    <w:t>t/a</w:t>
                  </w:r>
                </w:p>
              </w:tc>
              <w:tc>
                <w:tcPr>
                  <w:tcW w:w="1229" w:type="dxa"/>
                  <w:vAlign w:val="center"/>
                </w:tcPr>
                <w:p w14:paraId="5FA95479">
                  <w:pPr>
                    <w:jc w:val="center"/>
                    <w:rPr>
                      <w:rFonts w:eastAsia="等线"/>
                      <w:szCs w:val="21"/>
                      <w:highlight w:val="yellow"/>
                    </w:rPr>
                  </w:pPr>
                  <w:r>
                    <w:rPr>
                      <w:rFonts w:eastAsia="等线"/>
                      <w:szCs w:val="21"/>
                    </w:rPr>
                    <w:t>2.38</w:t>
                  </w:r>
                </w:p>
              </w:tc>
              <w:tc>
                <w:tcPr>
                  <w:tcW w:w="1040" w:type="dxa"/>
                  <w:vAlign w:val="center"/>
                </w:tcPr>
                <w:p w14:paraId="6E3A5EA9">
                  <w:pPr>
                    <w:jc w:val="center"/>
                    <w:rPr>
                      <w:szCs w:val="21"/>
                    </w:rPr>
                  </w:pPr>
                  <w:r>
                    <w:rPr>
                      <w:rFonts w:hint="eastAsia"/>
                      <w:szCs w:val="21"/>
                    </w:rPr>
                    <w:t>0</w:t>
                  </w:r>
                  <w:r>
                    <w:rPr>
                      <w:szCs w:val="21"/>
                    </w:rPr>
                    <w:t>.3</w:t>
                  </w:r>
                </w:p>
              </w:tc>
              <w:tc>
                <w:tcPr>
                  <w:tcW w:w="2270" w:type="dxa"/>
                  <w:shd w:val="clear" w:color="auto" w:fill="auto"/>
                  <w:noWrap/>
                  <w:vAlign w:val="center"/>
                </w:tcPr>
                <w:p w14:paraId="7E0736C5">
                  <w:pPr>
                    <w:jc w:val="center"/>
                    <w:rPr>
                      <w:szCs w:val="21"/>
                    </w:rPr>
                  </w:pPr>
                  <w:r>
                    <w:rPr>
                      <w:rFonts w:hint="eastAsia"/>
                      <w:szCs w:val="21"/>
                    </w:rPr>
                    <w:t>硅烷、无机盐、葡萄糖酸钠、其他；</w:t>
                  </w:r>
                </w:p>
              </w:tc>
              <w:tc>
                <w:tcPr>
                  <w:tcW w:w="1083" w:type="dxa"/>
                  <w:vAlign w:val="center"/>
                </w:tcPr>
                <w:p w14:paraId="3E77226A">
                  <w:pPr>
                    <w:jc w:val="center"/>
                    <w:rPr>
                      <w:szCs w:val="21"/>
                    </w:rPr>
                  </w:pPr>
                  <w:r>
                    <w:rPr>
                      <w:rFonts w:hint="eastAsia"/>
                      <w:szCs w:val="21"/>
                    </w:rPr>
                    <w:t>无色透明液体</w:t>
                  </w:r>
                </w:p>
              </w:tc>
            </w:tr>
            <w:tr w14:paraId="087FF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625414B6">
                  <w:pPr>
                    <w:jc w:val="center"/>
                    <w:rPr>
                      <w:szCs w:val="21"/>
                    </w:rPr>
                  </w:pPr>
                  <w:r>
                    <w:rPr>
                      <w:rFonts w:hint="eastAsia"/>
                      <w:szCs w:val="21"/>
                    </w:rPr>
                    <w:t>1</w:t>
                  </w:r>
                  <w:r>
                    <w:rPr>
                      <w:szCs w:val="21"/>
                    </w:rPr>
                    <w:t>3</w:t>
                  </w:r>
                </w:p>
              </w:tc>
              <w:tc>
                <w:tcPr>
                  <w:tcW w:w="714" w:type="dxa"/>
                  <w:tcBorders>
                    <w:right w:val="single" w:color="auto" w:sz="4" w:space="0"/>
                  </w:tcBorders>
                  <w:shd w:val="clear" w:color="auto" w:fill="auto"/>
                  <w:noWrap/>
                  <w:vAlign w:val="center"/>
                </w:tcPr>
                <w:p w14:paraId="127788E6">
                  <w:pPr>
                    <w:jc w:val="center"/>
                    <w:rPr>
                      <w:szCs w:val="21"/>
                    </w:rPr>
                  </w:pPr>
                  <w:r>
                    <w:rPr>
                      <w:szCs w:val="21"/>
                    </w:rPr>
                    <w:t>清洗工序</w:t>
                  </w:r>
                </w:p>
              </w:tc>
              <w:tc>
                <w:tcPr>
                  <w:tcW w:w="757" w:type="dxa"/>
                  <w:tcBorders>
                    <w:left w:val="single" w:color="auto" w:sz="4" w:space="0"/>
                  </w:tcBorders>
                  <w:shd w:val="clear" w:color="auto" w:fill="auto"/>
                  <w:vAlign w:val="center"/>
                </w:tcPr>
                <w:p w14:paraId="3CDEC2E6">
                  <w:pPr>
                    <w:jc w:val="center"/>
                    <w:rPr>
                      <w:szCs w:val="21"/>
                    </w:rPr>
                  </w:pPr>
                  <w:r>
                    <w:rPr>
                      <w:szCs w:val="21"/>
                    </w:rPr>
                    <w:t>清洗剂</w:t>
                  </w:r>
                </w:p>
              </w:tc>
              <w:tc>
                <w:tcPr>
                  <w:tcW w:w="595" w:type="dxa"/>
                  <w:shd w:val="clear" w:color="auto" w:fill="auto"/>
                  <w:vAlign w:val="center"/>
                </w:tcPr>
                <w:p w14:paraId="3375B455">
                  <w:pPr>
                    <w:rPr>
                      <w:szCs w:val="21"/>
                    </w:rPr>
                  </w:pPr>
                  <w:r>
                    <w:rPr>
                      <w:szCs w:val="21"/>
                    </w:rPr>
                    <w:t>t/a</w:t>
                  </w:r>
                </w:p>
              </w:tc>
              <w:tc>
                <w:tcPr>
                  <w:tcW w:w="1229" w:type="dxa"/>
                  <w:vAlign w:val="center"/>
                </w:tcPr>
                <w:p w14:paraId="6E13EEB4">
                  <w:pPr>
                    <w:jc w:val="center"/>
                    <w:rPr>
                      <w:rFonts w:eastAsia="等线"/>
                      <w:szCs w:val="21"/>
                    </w:rPr>
                  </w:pPr>
                  <w:r>
                    <w:rPr>
                      <w:rFonts w:eastAsia="等线"/>
                      <w:szCs w:val="21"/>
                    </w:rPr>
                    <w:t>16.5</w:t>
                  </w:r>
                </w:p>
              </w:tc>
              <w:tc>
                <w:tcPr>
                  <w:tcW w:w="1040" w:type="dxa"/>
                  <w:vAlign w:val="center"/>
                </w:tcPr>
                <w:p w14:paraId="0727C622">
                  <w:pPr>
                    <w:jc w:val="center"/>
                    <w:rPr>
                      <w:szCs w:val="21"/>
                    </w:rPr>
                  </w:pPr>
                  <w:r>
                    <w:rPr>
                      <w:szCs w:val="21"/>
                    </w:rPr>
                    <w:t>0.5</w:t>
                  </w:r>
                </w:p>
              </w:tc>
              <w:tc>
                <w:tcPr>
                  <w:tcW w:w="2270" w:type="dxa"/>
                  <w:shd w:val="clear" w:color="auto" w:fill="auto"/>
                  <w:noWrap/>
                  <w:vAlign w:val="center"/>
                </w:tcPr>
                <w:p w14:paraId="43516F85">
                  <w:pPr>
                    <w:jc w:val="center"/>
                    <w:rPr>
                      <w:szCs w:val="21"/>
                    </w:rPr>
                  </w:pPr>
                  <w:r>
                    <w:rPr>
                      <w:szCs w:val="21"/>
                    </w:rPr>
                    <w:t>氨基磺酸</w:t>
                  </w:r>
                </w:p>
              </w:tc>
              <w:tc>
                <w:tcPr>
                  <w:tcW w:w="1083" w:type="dxa"/>
                  <w:vAlign w:val="center"/>
                </w:tcPr>
                <w:p w14:paraId="6FE20B85">
                  <w:pPr>
                    <w:jc w:val="center"/>
                    <w:rPr>
                      <w:szCs w:val="21"/>
                    </w:rPr>
                  </w:pPr>
                  <w:r>
                    <w:rPr>
                      <w:szCs w:val="21"/>
                    </w:rPr>
                    <w:t>白色结晶状固体</w:t>
                  </w:r>
                </w:p>
              </w:tc>
            </w:tr>
            <w:tr w14:paraId="36EF3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65063FB9">
                  <w:pPr>
                    <w:jc w:val="center"/>
                    <w:rPr>
                      <w:szCs w:val="21"/>
                    </w:rPr>
                  </w:pPr>
                  <w:r>
                    <w:rPr>
                      <w:rFonts w:hint="eastAsia"/>
                      <w:szCs w:val="21"/>
                    </w:rPr>
                    <w:t>1</w:t>
                  </w:r>
                  <w:r>
                    <w:rPr>
                      <w:szCs w:val="21"/>
                    </w:rPr>
                    <w:t>4</w:t>
                  </w:r>
                </w:p>
              </w:tc>
              <w:tc>
                <w:tcPr>
                  <w:tcW w:w="714" w:type="dxa"/>
                  <w:vMerge w:val="restart"/>
                  <w:tcBorders>
                    <w:right w:val="single" w:color="auto" w:sz="4" w:space="0"/>
                  </w:tcBorders>
                  <w:shd w:val="clear" w:color="auto" w:fill="auto"/>
                  <w:noWrap/>
                  <w:vAlign w:val="center"/>
                </w:tcPr>
                <w:p w14:paraId="35DD1326">
                  <w:pPr>
                    <w:jc w:val="center"/>
                    <w:rPr>
                      <w:szCs w:val="21"/>
                    </w:rPr>
                  </w:pPr>
                  <w:r>
                    <w:rPr>
                      <w:rFonts w:hint="eastAsia"/>
                      <w:szCs w:val="21"/>
                    </w:rPr>
                    <w:t>其他</w:t>
                  </w:r>
                </w:p>
              </w:tc>
              <w:tc>
                <w:tcPr>
                  <w:tcW w:w="757" w:type="dxa"/>
                  <w:tcBorders>
                    <w:left w:val="single" w:color="auto" w:sz="4" w:space="0"/>
                  </w:tcBorders>
                  <w:shd w:val="clear" w:color="auto" w:fill="auto"/>
                  <w:vAlign w:val="center"/>
                </w:tcPr>
                <w:p w14:paraId="5DE658C7">
                  <w:pPr>
                    <w:jc w:val="center"/>
                    <w:rPr>
                      <w:szCs w:val="21"/>
                    </w:rPr>
                  </w:pPr>
                  <w:r>
                    <w:rPr>
                      <w:rFonts w:hint="eastAsia"/>
                      <w:szCs w:val="21"/>
                    </w:rPr>
                    <w:t>润滑油</w:t>
                  </w:r>
                </w:p>
              </w:tc>
              <w:tc>
                <w:tcPr>
                  <w:tcW w:w="595" w:type="dxa"/>
                  <w:shd w:val="clear" w:color="auto" w:fill="auto"/>
                  <w:vAlign w:val="center"/>
                </w:tcPr>
                <w:p w14:paraId="10F3030B">
                  <w:pPr>
                    <w:jc w:val="center"/>
                    <w:rPr>
                      <w:szCs w:val="21"/>
                    </w:rPr>
                  </w:pPr>
                  <w:r>
                    <w:rPr>
                      <w:rFonts w:hint="eastAsia"/>
                      <w:szCs w:val="21"/>
                    </w:rPr>
                    <w:t>t</w:t>
                  </w:r>
                  <w:r>
                    <w:rPr>
                      <w:szCs w:val="21"/>
                    </w:rPr>
                    <w:t>/a</w:t>
                  </w:r>
                </w:p>
              </w:tc>
              <w:tc>
                <w:tcPr>
                  <w:tcW w:w="1229" w:type="dxa"/>
                  <w:vAlign w:val="center"/>
                </w:tcPr>
                <w:p w14:paraId="4E7E6509">
                  <w:pPr>
                    <w:jc w:val="center"/>
                    <w:rPr>
                      <w:rFonts w:eastAsia="等线"/>
                      <w:szCs w:val="21"/>
                    </w:rPr>
                  </w:pPr>
                  <w:r>
                    <w:rPr>
                      <w:rFonts w:eastAsia="等线"/>
                      <w:szCs w:val="21"/>
                    </w:rPr>
                    <w:t>67</w:t>
                  </w:r>
                </w:p>
              </w:tc>
              <w:tc>
                <w:tcPr>
                  <w:tcW w:w="1040" w:type="dxa"/>
                  <w:vAlign w:val="center"/>
                </w:tcPr>
                <w:p w14:paraId="1B1EE188">
                  <w:pPr>
                    <w:jc w:val="center"/>
                    <w:rPr>
                      <w:szCs w:val="21"/>
                    </w:rPr>
                  </w:pPr>
                  <w:r>
                    <w:rPr>
                      <w:szCs w:val="21"/>
                    </w:rPr>
                    <w:t>2</w:t>
                  </w:r>
                </w:p>
              </w:tc>
              <w:tc>
                <w:tcPr>
                  <w:tcW w:w="2270" w:type="dxa"/>
                  <w:shd w:val="clear" w:color="auto" w:fill="auto"/>
                  <w:noWrap/>
                  <w:vAlign w:val="center"/>
                </w:tcPr>
                <w:p w14:paraId="7DCD71EF">
                  <w:pPr>
                    <w:jc w:val="center"/>
                    <w:rPr>
                      <w:szCs w:val="21"/>
                    </w:rPr>
                  </w:pPr>
                  <w:r>
                    <w:rPr>
                      <w:rFonts w:hint="eastAsia"/>
                      <w:szCs w:val="21"/>
                    </w:rPr>
                    <w:t>矿物油</w:t>
                  </w:r>
                </w:p>
              </w:tc>
              <w:tc>
                <w:tcPr>
                  <w:tcW w:w="1083" w:type="dxa"/>
                  <w:vAlign w:val="center"/>
                </w:tcPr>
                <w:p w14:paraId="0197EFF9">
                  <w:pPr>
                    <w:jc w:val="center"/>
                    <w:rPr>
                      <w:szCs w:val="21"/>
                    </w:rPr>
                  </w:pPr>
                  <w:r>
                    <w:rPr>
                      <w:rFonts w:hint="eastAsia"/>
                      <w:szCs w:val="21"/>
                    </w:rPr>
                    <w:t>淡黄色液体</w:t>
                  </w:r>
                </w:p>
              </w:tc>
            </w:tr>
            <w:tr w14:paraId="16D2F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776B5D13">
                  <w:pPr>
                    <w:jc w:val="center"/>
                    <w:rPr>
                      <w:szCs w:val="21"/>
                    </w:rPr>
                  </w:pPr>
                  <w:r>
                    <w:rPr>
                      <w:rFonts w:hint="eastAsia"/>
                      <w:szCs w:val="21"/>
                    </w:rPr>
                    <w:t>1</w:t>
                  </w:r>
                  <w:r>
                    <w:rPr>
                      <w:szCs w:val="21"/>
                    </w:rPr>
                    <w:t>5</w:t>
                  </w:r>
                </w:p>
              </w:tc>
              <w:tc>
                <w:tcPr>
                  <w:tcW w:w="714" w:type="dxa"/>
                  <w:vMerge w:val="continue"/>
                  <w:tcBorders>
                    <w:right w:val="single" w:color="auto" w:sz="4" w:space="0"/>
                  </w:tcBorders>
                  <w:shd w:val="clear" w:color="auto" w:fill="auto"/>
                  <w:noWrap/>
                  <w:vAlign w:val="center"/>
                </w:tcPr>
                <w:p w14:paraId="4976F99C">
                  <w:pPr>
                    <w:jc w:val="center"/>
                    <w:rPr>
                      <w:szCs w:val="21"/>
                    </w:rPr>
                  </w:pPr>
                </w:p>
              </w:tc>
              <w:tc>
                <w:tcPr>
                  <w:tcW w:w="757" w:type="dxa"/>
                  <w:tcBorders>
                    <w:left w:val="single" w:color="auto" w:sz="4" w:space="0"/>
                  </w:tcBorders>
                  <w:shd w:val="clear" w:color="auto" w:fill="auto"/>
                  <w:vAlign w:val="center"/>
                </w:tcPr>
                <w:p w14:paraId="590D742B">
                  <w:pPr>
                    <w:jc w:val="center"/>
                    <w:rPr>
                      <w:szCs w:val="21"/>
                    </w:rPr>
                  </w:pPr>
                  <w:r>
                    <w:rPr>
                      <w:rFonts w:hint="eastAsia"/>
                      <w:szCs w:val="21"/>
                    </w:rPr>
                    <w:t>乙炔</w:t>
                  </w:r>
                </w:p>
              </w:tc>
              <w:tc>
                <w:tcPr>
                  <w:tcW w:w="595" w:type="dxa"/>
                  <w:shd w:val="clear" w:color="auto" w:fill="auto"/>
                  <w:vAlign w:val="center"/>
                </w:tcPr>
                <w:p w14:paraId="0A9FEAEA">
                  <w:pPr>
                    <w:jc w:val="center"/>
                    <w:rPr>
                      <w:szCs w:val="21"/>
                    </w:rPr>
                  </w:pPr>
                  <w:r>
                    <w:rPr>
                      <w:rFonts w:hint="eastAsia"/>
                      <w:szCs w:val="21"/>
                    </w:rPr>
                    <w:t>t</w:t>
                  </w:r>
                  <w:r>
                    <w:rPr>
                      <w:szCs w:val="21"/>
                    </w:rPr>
                    <w:t>/a</w:t>
                  </w:r>
                </w:p>
              </w:tc>
              <w:tc>
                <w:tcPr>
                  <w:tcW w:w="1229" w:type="dxa"/>
                  <w:vAlign w:val="center"/>
                </w:tcPr>
                <w:p w14:paraId="053B1585">
                  <w:pPr>
                    <w:jc w:val="center"/>
                    <w:rPr>
                      <w:rFonts w:eastAsia="等线"/>
                      <w:szCs w:val="21"/>
                    </w:rPr>
                  </w:pPr>
                  <w:r>
                    <w:rPr>
                      <w:rFonts w:eastAsia="等线"/>
                      <w:szCs w:val="21"/>
                    </w:rPr>
                    <w:t>0.12</w:t>
                  </w:r>
                </w:p>
              </w:tc>
              <w:tc>
                <w:tcPr>
                  <w:tcW w:w="1040" w:type="dxa"/>
                  <w:vAlign w:val="center"/>
                </w:tcPr>
                <w:p w14:paraId="489809A3">
                  <w:pPr>
                    <w:jc w:val="center"/>
                    <w:rPr>
                      <w:szCs w:val="21"/>
                    </w:rPr>
                  </w:pPr>
                  <w:r>
                    <w:rPr>
                      <w:szCs w:val="21"/>
                    </w:rPr>
                    <w:t>0.0125</w:t>
                  </w:r>
                </w:p>
              </w:tc>
              <w:tc>
                <w:tcPr>
                  <w:tcW w:w="2270" w:type="dxa"/>
                  <w:shd w:val="clear" w:color="auto" w:fill="auto"/>
                  <w:noWrap/>
                  <w:vAlign w:val="center"/>
                </w:tcPr>
                <w:p w14:paraId="197F7673">
                  <w:pPr>
                    <w:jc w:val="center"/>
                    <w:rPr>
                      <w:szCs w:val="21"/>
                    </w:rPr>
                  </w:pPr>
                  <w:r>
                    <w:rPr>
                      <w:szCs w:val="21"/>
                    </w:rPr>
                    <w:t>C</w:t>
                  </w:r>
                  <w:r>
                    <w:rPr>
                      <w:szCs w:val="21"/>
                      <w:vertAlign w:val="subscript"/>
                    </w:rPr>
                    <w:t>2</w:t>
                  </w:r>
                  <w:r>
                    <w:rPr>
                      <w:szCs w:val="21"/>
                    </w:rPr>
                    <w:t>H</w:t>
                  </w:r>
                  <w:r>
                    <w:rPr>
                      <w:szCs w:val="21"/>
                      <w:vertAlign w:val="subscript"/>
                    </w:rPr>
                    <w:t>2</w:t>
                  </w:r>
                </w:p>
              </w:tc>
              <w:tc>
                <w:tcPr>
                  <w:tcW w:w="1083" w:type="dxa"/>
                  <w:vAlign w:val="center"/>
                </w:tcPr>
                <w:p w14:paraId="73623680">
                  <w:pPr>
                    <w:jc w:val="center"/>
                    <w:rPr>
                      <w:szCs w:val="21"/>
                    </w:rPr>
                  </w:pPr>
                  <w:r>
                    <w:rPr>
                      <w:rFonts w:hint="eastAsia"/>
                      <w:szCs w:val="21"/>
                    </w:rPr>
                    <w:t>气态瓶装，2.5kg/瓶</w:t>
                  </w:r>
                </w:p>
              </w:tc>
            </w:tr>
            <w:tr w14:paraId="77C0C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3FE00482">
                  <w:pPr>
                    <w:jc w:val="center"/>
                    <w:rPr>
                      <w:szCs w:val="21"/>
                    </w:rPr>
                  </w:pPr>
                  <w:r>
                    <w:rPr>
                      <w:rFonts w:hint="eastAsia"/>
                      <w:szCs w:val="21"/>
                    </w:rPr>
                    <w:t>1</w:t>
                  </w:r>
                  <w:r>
                    <w:rPr>
                      <w:szCs w:val="21"/>
                    </w:rPr>
                    <w:t>6</w:t>
                  </w:r>
                </w:p>
              </w:tc>
              <w:tc>
                <w:tcPr>
                  <w:tcW w:w="714" w:type="dxa"/>
                  <w:vMerge w:val="continue"/>
                  <w:tcBorders>
                    <w:right w:val="single" w:color="auto" w:sz="4" w:space="0"/>
                  </w:tcBorders>
                  <w:shd w:val="clear" w:color="auto" w:fill="auto"/>
                  <w:noWrap/>
                  <w:vAlign w:val="center"/>
                </w:tcPr>
                <w:p w14:paraId="0681D077">
                  <w:pPr>
                    <w:jc w:val="center"/>
                    <w:rPr>
                      <w:szCs w:val="21"/>
                    </w:rPr>
                  </w:pPr>
                </w:p>
              </w:tc>
              <w:tc>
                <w:tcPr>
                  <w:tcW w:w="757" w:type="dxa"/>
                  <w:tcBorders>
                    <w:left w:val="single" w:color="auto" w:sz="4" w:space="0"/>
                  </w:tcBorders>
                  <w:shd w:val="clear" w:color="auto" w:fill="auto"/>
                  <w:vAlign w:val="center"/>
                </w:tcPr>
                <w:p w14:paraId="186C29A5">
                  <w:pPr>
                    <w:jc w:val="center"/>
                    <w:rPr>
                      <w:szCs w:val="21"/>
                    </w:rPr>
                  </w:pPr>
                  <w:r>
                    <w:rPr>
                      <w:rFonts w:hint="eastAsia"/>
                      <w:szCs w:val="21"/>
                    </w:rPr>
                    <w:t>氧气</w:t>
                  </w:r>
                </w:p>
              </w:tc>
              <w:tc>
                <w:tcPr>
                  <w:tcW w:w="595" w:type="dxa"/>
                  <w:shd w:val="clear" w:color="auto" w:fill="auto"/>
                  <w:vAlign w:val="center"/>
                </w:tcPr>
                <w:p w14:paraId="69C0A3CA">
                  <w:pPr>
                    <w:jc w:val="center"/>
                    <w:rPr>
                      <w:szCs w:val="21"/>
                    </w:rPr>
                  </w:pPr>
                  <w:r>
                    <w:rPr>
                      <w:rFonts w:hint="eastAsia"/>
                      <w:szCs w:val="21"/>
                    </w:rPr>
                    <w:t>t</w:t>
                  </w:r>
                  <w:r>
                    <w:rPr>
                      <w:szCs w:val="21"/>
                    </w:rPr>
                    <w:t>/a</w:t>
                  </w:r>
                </w:p>
              </w:tc>
              <w:tc>
                <w:tcPr>
                  <w:tcW w:w="1229" w:type="dxa"/>
                  <w:vAlign w:val="center"/>
                </w:tcPr>
                <w:p w14:paraId="125C083A">
                  <w:pPr>
                    <w:jc w:val="center"/>
                    <w:rPr>
                      <w:rFonts w:eastAsia="等线"/>
                      <w:szCs w:val="21"/>
                    </w:rPr>
                  </w:pPr>
                  <w:r>
                    <w:rPr>
                      <w:rFonts w:eastAsia="等线"/>
                      <w:szCs w:val="21"/>
                    </w:rPr>
                    <w:t>0.2</w:t>
                  </w:r>
                </w:p>
              </w:tc>
              <w:tc>
                <w:tcPr>
                  <w:tcW w:w="1040" w:type="dxa"/>
                  <w:vAlign w:val="center"/>
                </w:tcPr>
                <w:p w14:paraId="205A6639">
                  <w:pPr>
                    <w:jc w:val="center"/>
                    <w:rPr>
                      <w:szCs w:val="21"/>
                    </w:rPr>
                  </w:pPr>
                  <w:r>
                    <w:rPr>
                      <w:szCs w:val="21"/>
                    </w:rPr>
                    <w:t>0.02</w:t>
                  </w:r>
                </w:p>
              </w:tc>
              <w:tc>
                <w:tcPr>
                  <w:tcW w:w="2270" w:type="dxa"/>
                  <w:shd w:val="clear" w:color="auto" w:fill="auto"/>
                  <w:noWrap/>
                  <w:vAlign w:val="center"/>
                </w:tcPr>
                <w:p w14:paraId="3146CA6A">
                  <w:pPr>
                    <w:jc w:val="center"/>
                    <w:rPr>
                      <w:szCs w:val="21"/>
                    </w:rPr>
                  </w:pPr>
                  <w:r>
                    <w:rPr>
                      <w:szCs w:val="21"/>
                    </w:rPr>
                    <w:t>O</w:t>
                  </w:r>
                  <w:r>
                    <w:rPr>
                      <w:szCs w:val="21"/>
                      <w:vertAlign w:val="subscript"/>
                    </w:rPr>
                    <w:t>2</w:t>
                  </w:r>
                </w:p>
              </w:tc>
              <w:tc>
                <w:tcPr>
                  <w:tcW w:w="1083" w:type="dxa"/>
                  <w:vAlign w:val="center"/>
                </w:tcPr>
                <w:p w14:paraId="6A59D3D7">
                  <w:pPr>
                    <w:jc w:val="center"/>
                    <w:rPr>
                      <w:szCs w:val="21"/>
                    </w:rPr>
                  </w:pPr>
                  <w:r>
                    <w:rPr>
                      <w:rFonts w:hint="eastAsia"/>
                      <w:szCs w:val="21"/>
                    </w:rPr>
                    <w:t>气态瓶装，4kg/瓶</w:t>
                  </w:r>
                </w:p>
              </w:tc>
            </w:tr>
            <w:tr w14:paraId="0D82B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69" w:hRule="atLeast"/>
                <w:jc w:val="center"/>
              </w:trPr>
              <w:tc>
                <w:tcPr>
                  <w:tcW w:w="727" w:type="dxa"/>
                  <w:shd w:val="clear" w:color="auto" w:fill="auto"/>
                  <w:noWrap/>
                  <w:vAlign w:val="center"/>
                </w:tcPr>
                <w:p w14:paraId="1062926E">
                  <w:pPr>
                    <w:jc w:val="center"/>
                    <w:rPr>
                      <w:szCs w:val="21"/>
                    </w:rPr>
                  </w:pPr>
                  <w:r>
                    <w:rPr>
                      <w:rFonts w:hint="eastAsia"/>
                      <w:szCs w:val="21"/>
                    </w:rPr>
                    <w:t>1</w:t>
                  </w:r>
                  <w:r>
                    <w:rPr>
                      <w:szCs w:val="21"/>
                    </w:rPr>
                    <w:t>7</w:t>
                  </w:r>
                </w:p>
              </w:tc>
              <w:tc>
                <w:tcPr>
                  <w:tcW w:w="714" w:type="dxa"/>
                  <w:vMerge w:val="continue"/>
                  <w:tcBorders>
                    <w:right w:val="single" w:color="auto" w:sz="4" w:space="0"/>
                  </w:tcBorders>
                  <w:shd w:val="clear" w:color="auto" w:fill="auto"/>
                  <w:noWrap/>
                  <w:vAlign w:val="center"/>
                </w:tcPr>
                <w:p w14:paraId="09057D7F">
                  <w:pPr>
                    <w:jc w:val="center"/>
                    <w:rPr>
                      <w:szCs w:val="21"/>
                    </w:rPr>
                  </w:pPr>
                </w:p>
              </w:tc>
              <w:tc>
                <w:tcPr>
                  <w:tcW w:w="757" w:type="dxa"/>
                  <w:tcBorders>
                    <w:left w:val="single" w:color="auto" w:sz="4" w:space="0"/>
                  </w:tcBorders>
                  <w:shd w:val="clear" w:color="auto" w:fill="auto"/>
                  <w:vAlign w:val="center"/>
                </w:tcPr>
                <w:p w14:paraId="174BFD8D">
                  <w:pPr>
                    <w:jc w:val="center"/>
                    <w:rPr>
                      <w:szCs w:val="21"/>
                    </w:rPr>
                  </w:pPr>
                  <w:r>
                    <w:rPr>
                      <w:rFonts w:hint="eastAsia"/>
                      <w:szCs w:val="21"/>
                    </w:rPr>
                    <w:t>氮气</w:t>
                  </w:r>
                </w:p>
              </w:tc>
              <w:tc>
                <w:tcPr>
                  <w:tcW w:w="595" w:type="dxa"/>
                  <w:shd w:val="clear" w:color="auto" w:fill="auto"/>
                  <w:vAlign w:val="center"/>
                </w:tcPr>
                <w:p w14:paraId="0811461F">
                  <w:pPr>
                    <w:jc w:val="center"/>
                    <w:rPr>
                      <w:szCs w:val="21"/>
                    </w:rPr>
                  </w:pPr>
                  <w:r>
                    <w:rPr>
                      <w:szCs w:val="21"/>
                    </w:rPr>
                    <w:t>t/a</w:t>
                  </w:r>
                </w:p>
              </w:tc>
              <w:tc>
                <w:tcPr>
                  <w:tcW w:w="1229" w:type="dxa"/>
                  <w:vAlign w:val="center"/>
                </w:tcPr>
                <w:p w14:paraId="00B0780C">
                  <w:pPr>
                    <w:jc w:val="center"/>
                    <w:rPr>
                      <w:rFonts w:eastAsia="等线"/>
                      <w:szCs w:val="21"/>
                    </w:rPr>
                  </w:pPr>
                  <w:r>
                    <w:rPr>
                      <w:rFonts w:eastAsia="等线"/>
                      <w:szCs w:val="21"/>
                    </w:rPr>
                    <w:t>1.2</w:t>
                  </w:r>
                </w:p>
              </w:tc>
              <w:tc>
                <w:tcPr>
                  <w:tcW w:w="1040" w:type="dxa"/>
                  <w:vAlign w:val="center"/>
                </w:tcPr>
                <w:p w14:paraId="689C5069">
                  <w:pPr>
                    <w:jc w:val="center"/>
                    <w:rPr>
                      <w:szCs w:val="21"/>
                    </w:rPr>
                  </w:pPr>
                  <w:r>
                    <w:rPr>
                      <w:szCs w:val="21"/>
                    </w:rPr>
                    <w:t>0.04</w:t>
                  </w:r>
                </w:p>
              </w:tc>
              <w:tc>
                <w:tcPr>
                  <w:tcW w:w="2270" w:type="dxa"/>
                  <w:shd w:val="clear" w:color="auto" w:fill="auto"/>
                  <w:noWrap/>
                  <w:vAlign w:val="center"/>
                </w:tcPr>
                <w:p w14:paraId="3BCB4622">
                  <w:pPr>
                    <w:jc w:val="center"/>
                    <w:rPr>
                      <w:szCs w:val="21"/>
                    </w:rPr>
                  </w:pPr>
                  <w:r>
                    <w:rPr>
                      <w:szCs w:val="21"/>
                    </w:rPr>
                    <w:t>N</w:t>
                  </w:r>
                  <w:r>
                    <w:rPr>
                      <w:szCs w:val="21"/>
                      <w:vertAlign w:val="subscript"/>
                    </w:rPr>
                    <w:t>2</w:t>
                  </w:r>
                </w:p>
              </w:tc>
              <w:tc>
                <w:tcPr>
                  <w:tcW w:w="1083" w:type="dxa"/>
                  <w:vAlign w:val="center"/>
                </w:tcPr>
                <w:p w14:paraId="6EE1D276">
                  <w:pPr>
                    <w:jc w:val="center"/>
                    <w:rPr>
                      <w:szCs w:val="21"/>
                    </w:rPr>
                  </w:pPr>
                  <w:r>
                    <w:rPr>
                      <w:rFonts w:hint="eastAsia"/>
                      <w:szCs w:val="21"/>
                    </w:rPr>
                    <w:t>气态瓶装，</w:t>
                  </w:r>
                  <w:r>
                    <w:rPr>
                      <w:szCs w:val="21"/>
                    </w:rPr>
                    <w:t>4kg/</w:t>
                  </w:r>
                  <w:r>
                    <w:rPr>
                      <w:rFonts w:hint="eastAsia"/>
                      <w:szCs w:val="21"/>
                    </w:rPr>
                    <w:t>瓶</w:t>
                  </w:r>
                </w:p>
              </w:tc>
            </w:tr>
            <w:tr w14:paraId="665DA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2AAE5B1C">
                  <w:pPr>
                    <w:jc w:val="center"/>
                    <w:rPr>
                      <w:szCs w:val="21"/>
                    </w:rPr>
                  </w:pPr>
                  <w:r>
                    <w:rPr>
                      <w:rFonts w:hint="eastAsia"/>
                      <w:szCs w:val="21"/>
                    </w:rPr>
                    <w:t>1</w:t>
                  </w:r>
                  <w:r>
                    <w:rPr>
                      <w:szCs w:val="21"/>
                    </w:rPr>
                    <w:t>8</w:t>
                  </w:r>
                </w:p>
              </w:tc>
              <w:tc>
                <w:tcPr>
                  <w:tcW w:w="714" w:type="dxa"/>
                  <w:vMerge w:val="continue"/>
                  <w:tcBorders>
                    <w:right w:val="single" w:color="auto" w:sz="4" w:space="0"/>
                  </w:tcBorders>
                  <w:shd w:val="clear" w:color="auto" w:fill="auto"/>
                  <w:noWrap/>
                  <w:vAlign w:val="center"/>
                </w:tcPr>
                <w:p w14:paraId="68EFFAFF">
                  <w:pPr>
                    <w:jc w:val="center"/>
                    <w:rPr>
                      <w:szCs w:val="21"/>
                    </w:rPr>
                  </w:pPr>
                </w:p>
              </w:tc>
              <w:tc>
                <w:tcPr>
                  <w:tcW w:w="757" w:type="dxa"/>
                  <w:tcBorders>
                    <w:left w:val="single" w:color="auto" w:sz="4" w:space="0"/>
                  </w:tcBorders>
                  <w:shd w:val="clear" w:color="auto" w:fill="auto"/>
                  <w:vAlign w:val="center"/>
                </w:tcPr>
                <w:p w14:paraId="118681CF">
                  <w:pPr>
                    <w:jc w:val="center"/>
                    <w:rPr>
                      <w:szCs w:val="21"/>
                    </w:rPr>
                  </w:pPr>
                  <w:r>
                    <w:rPr>
                      <w:rFonts w:hint="eastAsia"/>
                      <w:szCs w:val="21"/>
                    </w:rPr>
                    <w:t>氦气</w:t>
                  </w:r>
                </w:p>
              </w:tc>
              <w:tc>
                <w:tcPr>
                  <w:tcW w:w="595" w:type="dxa"/>
                  <w:shd w:val="clear" w:color="auto" w:fill="auto"/>
                  <w:vAlign w:val="center"/>
                </w:tcPr>
                <w:p w14:paraId="051BE9D2">
                  <w:pPr>
                    <w:jc w:val="center"/>
                    <w:rPr>
                      <w:szCs w:val="21"/>
                    </w:rPr>
                  </w:pPr>
                  <w:r>
                    <w:rPr>
                      <w:szCs w:val="21"/>
                    </w:rPr>
                    <w:t>t/a</w:t>
                  </w:r>
                </w:p>
              </w:tc>
              <w:tc>
                <w:tcPr>
                  <w:tcW w:w="1229" w:type="dxa"/>
                  <w:vAlign w:val="center"/>
                </w:tcPr>
                <w:p w14:paraId="56A3B97F">
                  <w:pPr>
                    <w:jc w:val="center"/>
                    <w:rPr>
                      <w:rFonts w:eastAsia="等线"/>
                      <w:szCs w:val="21"/>
                    </w:rPr>
                  </w:pPr>
                  <w:r>
                    <w:rPr>
                      <w:rFonts w:eastAsia="等线"/>
                      <w:szCs w:val="21"/>
                    </w:rPr>
                    <w:t>0.48</w:t>
                  </w:r>
                </w:p>
              </w:tc>
              <w:tc>
                <w:tcPr>
                  <w:tcW w:w="1040" w:type="dxa"/>
                  <w:vAlign w:val="center"/>
                </w:tcPr>
                <w:p w14:paraId="2A78364C">
                  <w:pPr>
                    <w:jc w:val="center"/>
                    <w:rPr>
                      <w:szCs w:val="21"/>
                    </w:rPr>
                  </w:pPr>
                  <w:r>
                    <w:rPr>
                      <w:szCs w:val="21"/>
                    </w:rPr>
                    <w:t>0.02</w:t>
                  </w:r>
                </w:p>
              </w:tc>
              <w:tc>
                <w:tcPr>
                  <w:tcW w:w="2270" w:type="dxa"/>
                  <w:shd w:val="clear" w:color="auto" w:fill="auto"/>
                  <w:noWrap/>
                  <w:vAlign w:val="center"/>
                </w:tcPr>
                <w:p w14:paraId="2EDC8F64">
                  <w:pPr>
                    <w:jc w:val="center"/>
                    <w:rPr>
                      <w:szCs w:val="21"/>
                    </w:rPr>
                  </w:pPr>
                  <w:r>
                    <w:rPr>
                      <w:szCs w:val="21"/>
                    </w:rPr>
                    <w:t>He</w:t>
                  </w:r>
                  <w:r>
                    <w:rPr>
                      <w:szCs w:val="21"/>
                      <w:vertAlign w:val="subscript"/>
                    </w:rPr>
                    <w:t>2</w:t>
                  </w:r>
                </w:p>
              </w:tc>
              <w:tc>
                <w:tcPr>
                  <w:tcW w:w="1083" w:type="dxa"/>
                  <w:vAlign w:val="center"/>
                </w:tcPr>
                <w:p w14:paraId="3D7C9D4C">
                  <w:pPr>
                    <w:jc w:val="center"/>
                    <w:rPr>
                      <w:szCs w:val="21"/>
                    </w:rPr>
                  </w:pPr>
                  <w:r>
                    <w:rPr>
                      <w:rFonts w:hint="eastAsia"/>
                      <w:szCs w:val="21"/>
                    </w:rPr>
                    <w:t>气态瓶装，</w:t>
                  </w:r>
                  <w:r>
                    <w:rPr>
                      <w:szCs w:val="21"/>
                    </w:rPr>
                    <w:t>4kg/</w:t>
                  </w:r>
                  <w:r>
                    <w:rPr>
                      <w:rFonts w:hint="eastAsia"/>
                      <w:szCs w:val="21"/>
                    </w:rPr>
                    <w:t>瓶</w:t>
                  </w:r>
                </w:p>
              </w:tc>
            </w:tr>
            <w:tr w14:paraId="16F2E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2DE2E6D7">
                  <w:pPr>
                    <w:jc w:val="center"/>
                    <w:rPr>
                      <w:szCs w:val="21"/>
                    </w:rPr>
                  </w:pPr>
                  <w:r>
                    <w:rPr>
                      <w:szCs w:val="21"/>
                    </w:rPr>
                    <w:t>19</w:t>
                  </w:r>
                </w:p>
              </w:tc>
              <w:tc>
                <w:tcPr>
                  <w:tcW w:w="714" w:type="dxa"/>
                  <w:vMerge w:val="continue"/>
                  <w:tcBorders>
                    <w:right w:val="single" w:color="auto" w:sz="4" w:space="0"/>
                  </w:tcBorders>
                  <w:shd w:val="clear" w:color="auto" w:fill="auto"/>
                  <w:noWrap/>
                  <w:vAlign w:val="center"/>
                </w:tcPr>
                <w:p w14:paraId="078302FE">
                  <w:pPr>
                    <w:jc w:val="center"/>
                    <w:rPr>
                      <w:szCs w:val="21"/>
                    </w:rPr>
                  </w:pPr>
                </w:p>
              </w:tc>
              <w:tc>
                <w:tcPr>
                  <w:tcW w:w="757" w:type="dxa"/>
                  <w:tcBorders>
                    <w:left w:val="single" w:color="auto" w:sz="4" w:space="0"/>
                  </w:tcBorders>
                  <w:shd w:val="clear" w:color="auto" w:fill="auto"/>
                  <w:vAlign w:val="center"/>
                </w:tcPr>
                <w:p w14:paraId="0CC01203">
                  <w:pPr>
                    <w:jc w:val="center"/>
                    <w:rPr>
                      <w:szCs w:val="21"/>
                    </w:rPr>
                  </w:pPr>
                  <w:r>
                    <w:rPr>
                      <w:szCs w:val="21"/>
                    </w:rPr>
                    <w:t>焊丝</w:t>
                  </w:r>
                </w:p>
              </w:tc>
              <w:tc>
                <w:tcPr>
                  <w:tcW w:w="595" w:type="dxa"/>
                  <w:shd w:val="clear" w:color="auto" w:fill="auto"/>
                  <w:vAlign w:val="center"/>
                </w:tcPr>
                <w:p w14:paraId="70645D9C">
                  <w:pPr>
                    <w:jc w:val="center"/>
                    <w:rPr>
                      <w:szCs w:val="21"/>
                    </w:rPr>
                  </w:pPr>
                  <w:r>
                    <w:rPr>
                      <w:szCs w:val="21"/>
                    </w:rPr>
                    <w:t>t/a</w:t>
                  </w:r>
                </w:p>
              </w:tc>
              <w:tc>
                <w:tcPr>
                  <w:tcW w:w="1229" w:type="dxa"/>
                  <w:vAlign w:val="center"/>
                </w:tcPr>
                <w:p w14:paraId="288EA37D">
                  <w:pPr>
                    <w:jc w:val="center"/>
                    <w:rPr>
                      <w:rFonts w:eastAsia="等线"/>
                      <w:szCs w:val="21"/>
                    </w:rPr>
                  </w:pPr>
                  <w:r>
                    <w:rPr>
                      <w:rFonts w:hint="eastAsia" w:eastAsia="等线"/>
                      <w:szCs w:val="21"/>
                    </w:rPr>
                    <w:t>0</w:t>
                  </w:r>
                  <w:r>
                    <w:rPr>
                      <w:rFonts w:eastAsia="等线"/>
                      <w:szCs w:val="21"/>
                    </w:rPr>
                    <w:t>.06</w:t>
                  </w:r>
                </w:p>
              </w:tc>
              <w:tc>
                <w:tcPr>
                  <w:tcW w:w="1040" w:type="dxa"/>
                  <w:vAlign w:val="center"/>
                </w:tcPr>
                <w:p w14:paraId="2C1E1210">
                  <w:pPr>
                    <w:jc w:val="center"/>
                    <w:rPr>
                      <w:szCs w:val="21"/>
                    </w:rPr>
                  </w:pPr>
                  <w:r>
                    <w:rPr>
                      <w:rFonts w:hint="eastAsia"/>
                      <w:szCs w:val="21"/>
                    </w:rPr>
                    <w:t>0</w:t>
                  </w:r>
                  <w:r>
                    <w:rPr>
                      <w:szCs w:val="21"/>
                    </w:rPr>
                    <w:t>.005</w:t>
                  </w:r>
                </w:p>
              </w:tc>
              <w:tc>
                <w:tcPr>
                  <w:tcW w:w="2270" w:type="dxa"/>
                  <w:shd w:val="clear" w:color="auto" w:fill="auto"/>
                  <w:noWrap/>
                  <w:vAlign w:val="center"/>
                </w:tcPr>
                <w:p w14:paraId="30ECB114">
                  <w:pPr>
                    <w:jc w:val="center"/>
                    <w:rPr>
                      <w:szCs w:val="21"/>
                    </w:rPr>
                  </w:pPr>
                  <w:r>
                    <w:rPr>
                      <w:rFonts w:hint="eastAsia"/>
                      <w:szCs w:val="21"/>
                    </w:rPr>
                    <w:t>碳、硅、铝、铜、硫等</w:t>
                  </w:r>
                </w:p>
              </w:tc>
              <w:tc>
                <w:tcPr>
                  <w:tcW w:w="1083" w:type="dxa"/>
                  <w:vAlign w:val="center"/>
                </w:tcPr>
                <w:p w14:paraId="4B98A14E">
                  <w:pPr>
                    <w:jc w:val="center"/>
                    <w:rPr>
                      <w:szCs w:val="21"/>
                    </w:rPr>
                  </w:pPr>
                  <w:r>
                    <w:rPr>
                      <w:rFonts w:hint="eastAsia"/>
                      <w:szCs w:val="21"/>
                    </w:rPr>
                    <w:t>2kg</w:t>
                  </w:r>
                  <w:r>
                    <w:rPr>
                      <w:szCs w:val="21"/>
                    </w:rPr>
                    <w:t>/盒</w:t>
                  </w:r>
                </w:p>
              </w:tc>
            </w:tr>
            <w:tr w14:paraId="6A776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69" w:hRule="atLeast"/>
                <w:jc w:val="center"/>
              </w:trPr>
              <w:tc>
                <w:tcPr>
                  <w:tcW w:w="727" w:type="dxa"/>
                  <w:shd w:val="clear" w:color="auto" w:fill="auto"/>
                  <w:noWrap/>
                  <w:vAlign w:val="center"/>
                </w:tcPr>
                <w:p w14:paraId="73605938">
                  <w:pPr>
                    <w:jc w:val="center"/>
                    <w:rPr>
                      <w:szCs w:val="21"/>
                    </w:rPr>
                  </w:pPr>
                  <w:r>
                    <w:rPr>
                      <w:rFonts w:hint="eastAsia"/>
                      <w:szCs w:val="21"/>
                    </w:rPr>
                    <w:t>2</w:t>
                  </w:r>
                  <w:r>
                    <w:rPr>
                      <w:szCs w:val="21"/>
                    </w:rPr>
                    <w:t>0</w:t>
                  </w:r>
                </w:p>
              </w:tc>
              <w:tc>
                <w:tcPr>
                  <w:tcW w:w="714" w:type="dxa"/>
                  <w:vMerge w:val="continue"/>
                  <w:tcBorders>
                    <w:right w:val="single" w:color="auto" w:sz="4" w:space="0"/>
                  </w:tcBorders>
                  <w:shd w:val="clear" w:color="auto" w:fill="auto"/>
                  <w:noWrap/>
                  <w:vAlign w:val="center"/>
                </w:tcPr>
                <w:p w14:paraId="31B6485A">
                  <w:pPr>
                    <w:jc w:val="center"/>
                    <w:rPr>
                      <w:szCs w:val="21"/>
                    </w:rPr>
                  </w:pPr>
                </w:p>
              </w:tc>
              <w:tc>
                <w:tcPr>
                  <w:tcW w:w="757" w:type="dxa"/>
                  <w:tcBorders>
                    <w:left w:val="single" w:color="auto" w:sz="4" w:space="0"/>
                  </w:tcBorders>
                  <w:shd w:val="clear" w:color="auto" w:fill="auto"/>
                  <w:vAlign w:val="center"/>
                </w:tcPr>
                <w:p w14:paraId="0D6BCE1B">
                  <w:pPr>
                    <w:jc w:val="center"/>
                    <w:rPr>
                      <w:szCs w:val="21"/>
                    </w:rPr>
                  </w:pPr>
                  <w:r>
                    <w:rPr>
                      <w:rFonts w:hint="eastAsia"/>
                      <w:szCs w:val="21"/>
                    </w:rPr>
                    <w:t>被覆条</w:t>
                  </w:r>
                </w:p>
              </w:tc>
              <w:tc>
                <w:tcPr>
                  <w:tcW w:w="595" w:type="dxa"/>
                  <w:shd w:val="clear" w:color="auto" w:fill="auto"/>
                  <w:vAlign w:val="center"/>
                </w:tcPr>
                <w:p w14:paraId="0FEFC1EC">
                  <w:pPr>
                    <w:jc w:val="center"/>
                    <w:rPr>
                      <w:szCs w:val="21"/>
                    </w:rPr>
                  </w:pPr>
                  <w:r>
                    <w:rPr>
                      <w:szCs w:val="21"/>
                    </w:rPr>
                    <w:t>t/a</w:t>
                  </w:r>
                </w:p>
              </w:tc>
              <w:tc>
                <w:tcPr>
                  <w:tcW w:w="1229" w:type="dxa"/>
                  <w:vAlign w:val="center"/>
                </w:tcPr>
                <w:p w14:paraId="018EDB4F">
                  <w:pPr>
                    <w:jc w:val="center"/>
                    <w:rPr>
                      <w:rFonts w:eastAsia="等线"/>
                      <w:szCs w:val="21"/>
                    </w:rPr>
                  </w:pPr>
                  <w:r>
                    <w:rPr>
                      <w:rFonts w:hint="eastAsia" w:eastAsia="等线"/>
                      <w:szCs w:val="21"/>
                    </w:rPr>
                    <w:t>0</w:t>
                  </w:r>
                  <w:r>
                    <w:rPr>
                      <w:rFonts w:eastAsia="等线"/>
                      <w:szCs w:val="21"/>
                    </w:rPr>
                    <w:t>.024</w:t>
                  </w:r>
                </w:p>
              </w:tc>
              <w:tc>
                <w:tcPr>
                  <w:tcW w:w="1040" w:type="dxa"/>
                  <w:vAlign w:val="center"/>
                </w:tcPr>
                <w:p w14:paraId="25133383">
                  <w:pPr>
                    <w:jc w:val="center"/>
                    <w:rPr>
                      <w:szCs w:val="21"/>
                    </w:rPr>
                  </w:pPr>
                  <w:r>
                    <w:rPr>
                      <w:rFonts w:hint="eastAsia"/>
                      <w:szCs w:val="21"/>
                    </w:rPr>
                    <w:t>0</w:t>
                  </w:r>
                  <w:r>
                    <w:rPr>
                      <w:szCs w:val="21"/>
                    </w:rPr>
                    <w:t>.002</w:t>
                  </w:r>
                </w:p>
              </w:tc>
              <w:tc>
                <w:tcPr>
                  <w:tcW w:w="2270" w:type="dxa"/>
                  <w:shd w:val="clear" w:color="auto" w:fill="auto"/>
                  <w:noWrap/>
                  <w:vAlign w:val="center"/>
                </w:tcPr>
                <w:p w14:paraId="63D3302A">
                  <w:pPr>
                    <w:jc w:val="center"/>
                    <w:rPr>
                      <w:szCs w:val="21"/>
                    </w:rPr>
                  </w:pPr>
                  <w:r>
                    <w:rPr>
                      <w:rFonts w:hint="eastAsia"/>
                      <w:szCs w:val="21"/>
                    </w:rPr>
                    <w:t>碳化钨和钴</w:t>
                  </w:r>
                </w:p>
              </w:tc>
              <w:tc>
                <w:tcPr>
                  <w:tcW w:w="1083" w:type="dxa"/>
                  <w:vAlign w:val="center"/>
                </w:tcPr>
                <w:p w14:paraId="7AD25C62">
                  <w:pPr>
                    <w:jc w:val="center"/>
                    <w:rPr>
                      <w:szCs w:val="21"/>
                    </w:rPr>
                  </w:pPr>
                  <w:r>
                    <w:rPr>
                      <w:rFonts w:hint="eastAsia"/>
                      <w:szCs w:val="21"/>
                    </w:rPr>
                    <w:t>2kg</w:t>
                  </w:r>
                  <w:r>
                    <w:rPr>
                      <w:szCs w:val="21"/>
                    </w:rPr>
                    <w:t>/盒</w:t>
                  </w:r>
                </w:p>
              </w:tc>
            </w:tr>
            <w:tr w14:paraId="5961A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69" w:hRule="atLeast"/>
                <w:jc w:val="center"/>
              </w:trPr>
              <w:tc>
                <w:tcPr>
                  <w:tcW w:w="727" w:type="dxa"/>
                  <w:shd w:val="clear" w:color="auto" w:fill="auto"/>
                  <w:noWrap/>
                  <w:vAlign w:val="center"/>
                </w:tcPr>
                <w:p w14:paraId="1522C0F7">
                  <w:pPr>
                    <w:jc w:val="center"/>
                    <w:rPr>
                      <w:szCs w:val="21"/>
                    </w:rPr>
                  </w:pPr>
                  <w:r>
                    <w:rPr>
                      <w:szCs w:val="21"/>
                    </w:rPr>
                    <w:t>21</w:t>
                  </w:r>
                </w:p>
              </w:tc>
              <w:tc>
                <w:tcPr>
                  <w:tcW w:w="714" w:type="dxa"/>
                  <w:vMerge w:val="continue"/>
                  <w:tcBorders>
                    <w:right w:val="single" w:color="auto" w:sz="4" w:space="0"/>
                  </w:tcBorders>
                  <w:shd w:val="clear" w:color="auto" w:fill="auto"/>
                  <w:noWrap/>
                  <w:vAlign w:val="center"/>
                </w:tcPr>
                <w:p w14:paraId="232C8C83">
                  <w:pPr>
                    <w:jc w:val="center"/>
                    <w:rPr>
                      <w:szCs w:val="21"/>
                    </w:rPr>
                  </w:pPr>
                </w:p>
              </w:tc>
              <w:tc>
                <w:tcPr>
                  <w:tcW w:w="757" w:type="dxa"/>
                  <w:tcBorders>
                    <w:left w:val="single" w:color="auto" w:sz="4" w:space="0"/>
                  </w:tcBorders>
                  <w:shd w:val="clear" w:color="auto" w:fill="auto"/>
                  <w:vAlign w:val="center"/>
                </w:tcPr>
                <w:p w14:paraId="737719BF">
                  <w:pPr>
                    <w:jc w:val="center"/>
                    <w:rPr>
                      <w:szCs w:val="21"/>
                    </w:rPr>
                  </w:pPr>
                  <w:r>
                    <w:rPr>
                      <w:rFonts w:hint="eastAsia"/>
                      <w:szCs w:val="21"/>
                    </w:rPr>
                    <w:t>天然气</w:t>
                  </w:r>
                </w:p>
              </w:tc>
              <w:tc>
                <w:tcPr>
                  <w:tcW w:w="595" w:type="dxa"/>
                  <w:shd w:val="clear" w:color="auto" w:fill="auto"/>
                  <w:vAlign w:val="center"/>
                </w:tcPr>
                <w:p w14:paraId="016F852D">
                  <w:pPr>
                    <w:jc w:val="center"/>
                    <w:rPr>
                      <w:szCs w:val="21"/>
                    </w:rPr>
                  </w:pPr>
                  <w:r>
                    <w:rPr>
                      <w:rFonts w:hint="eastAsia"/>
                      <w:szCs w:val="21"/>
                    </w:rPr>
                    <w:t>m</w:t>
                  </w:r>
                  <w:r>
                    <w:rPr>
                      <w:szCs w:val="21"/>
                      <w:vertAlign w:val="superscript"/>
                    </w:rPr>
                    <w:t>3</w:t>
                  </w:r>
                  <w:r>
                    <w:rPr>
                      <w:szCs w:val="21"/>
                    </w:rPr>
                    <w:t>/a</w:t>
                  </w:r>
                </w:p>
              </w:tc>
              <w:tc>
                <w:tcPr>
                  <w:tcW w:w="1229" w:type="dxa"/>
                  <w:vAlign w:val="center"/>
                </w:tcPr>
                <w:p w14:paraId="039CD2FD">
                  <w:pPr>
                    <w:jc w:val="center"/>
                    <w:rPr>
                      <w:rFonts w:eastAsia="等线"/>
                      <w:szCs w:val="21"/>
                    </w:rPr>
                  </w:pPr>
                  <w:r>
                    <w:rPr>
                      <w:rFonts w:eastAsia="等线"/>
                      <w:szCs w:val="21"/>
                    </w:rPr>
                    <w:t>3071310</w:t>
                  </w:r>
                </w:p>
              </w:tc>
              <w:tc>
                <w:tcPr>
                  <w:tcW w:w="1040" w:type="dxa"/>
                  <w:vAlign w:val="center"/>
                </w:tcPr>
                <w:p w14:paraId="65F1EF92">
                  <w:pPr>
                    <w:jc w:val="center"/>
                    <w:rPr>
                      <w:szCs w:val="21"/>
                    </w:rPr>
                  </w:pPr>
                  <w:r>
                    <w:rPr>
                      <w:rFonts w:hint="eastAsia"/>
                      <w:szCs w:val="21"/>
                    </w:rPr>
                    <w:t>/</w:t>
                  </w:r>
                </w:p>
              </w:tc>
              <w:tc>
                <w:tcPr>
                  <w:tcW w:w="2270" w:type="dxa"/>
                  <w:shd w:val="clear" w:color="auto" w:fill="auto"/>
                  <w:noWrap/>
                  <w:vAlign w:val="center"/>
                </w:tcPr>
                <w:p w14:paraId="3E617556">
                  <w:pPr>
                    <w:jc w:val="center"/>
                    <w:rPr>
                      <w:szCs w:val="21"/>
                    </w:rPr>
                  </w:pPr>
                  <w:r>
                    <w:rPr>
                      <w:szCs w:val="21"/>
                    </w:rPr>
                    <w:t>CH</w:t>
                  </w:r>
                  <w:r>
                    <w:rPr>
                      <w:szCs w:val="21"/>
                      <w:vertAlign w:val="subscript"/>
                    </w:rPr>
                    <w:t>4</w:t>
                  </w:r>
                </w:p>
              </w:tc>
              <w:tc>
                <w:tcPr>
                  <w:tcW w:w="1083" w:type="dxa"/>
                  <w:vAlign w:val="center"/>
                </w:tcPr>
                <w:p w14:paraId="0F305DCF">
                  <w:pPr>
                    <w:jc w:val="center"/>
                    <w:rPr>
                      <w:szCs w:val="21"/>
                    </w:rPr>
                  </w:pPr>
                  <w:r>
                    <w:rPr>
                      <w:rFonts w:hint="eastAsia"/>
                      <w:szCs w:val="21"/>
                    </w:rPr>
                    <w:t>气态，不储存</w:t>
                  </w:r>
                </w:p>
              </w:tc>
            </w:tr>
          </w:tbl>
          <w:p w14:paraId="02E194BD">
            <w:pPr>
              <w:adjustRightInd w:val="0"/>
              <w:snapToGrid w:val="0"/>
              <w:spacing w:line="360" w:lineRule="auto"/>
              <w:jc w:val="center"/>
              <w:rPr>
                <w:sz w:val="24"/>
              </w:rPr>
            </w:pPr>
            <w:r>
              <w:rPr>
                <w:bCs/>
                <w:sz w:val="24"/>
              </w:rPr>
              <w:t xml:space="preserve">表2-6  </w:t>
            </w:r>
            <w:r>
              <w:rPr>
                <w:sz w:val="24"/>
              </w:rPr>
              <w:t xml:space="preserve"> 项目主要原辅材料</w:t>
            </w:r>
            <w:r>
              <w:rPr>
                <w:rFonts w:hint="eastAsia"/>
                <w:sz w:val="24"/>
              </w:rPr>
              <w:t>理化</w:t>
            </w:r>
            <w:r>
              <w:rPr>
                <w:sz w:val="24"/>
              </w:rPr>
              <w:t>特性</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12"/>
              <w:gridCol w:w="2978"/>
              <w:gridCol w:w="3425"/>
            </w:tblGrid>
            <w:tr w14:paraId="766A3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2012" w:type="dxa"/>
                  <w:vMerge w:val="restart"/>
                  <w:tcBorders>
                    <w:left w:val="single" w:color="auto" w:sz="4" w:space="0"/>
                  </w:tcBorders>
                  <w:shd w:val="clear" w:color="auto" w:fill="auto"/>
                  <w:vAlign w:val="center"/>
                </w:tcPr>
                <w:p w14:paraId="00C47D9A">
                  <w:pPr>
                    <w:jc w:val="center"/>
                    <w:rPr>
                      <w:szCs w:val="21"/>
                    </w:rPr>
                  </w:pPr>
                  <w:r>
                    <w:rPr>
                      <w:szCs w:val="21"/>
                    </w:rPr>
                    <w:t>物料名称</w:t>
                  </w:r>
                </w:p>
              </w:tc>
              <w:tc>
                <w:tcPr>
                  <w:tcW w:w="2977" w:type="dxa"/>
                  <w:vMerge w:val="restart"/>
                  <w:tcBorders>
                    <w:left w:val="single" w:color="auto" w:sz="4" w:space="0"/>
                  </w:tcBorders>
                  <w:shd w:val="clear" w:color="auto" w:fill="auto"/>
                  <w:vAlign w:val="center"/>
                </w:tcPr>
                <w:p w14:paraId="59664EA7">
                  <w:pPr>
                    <w:jc w:val="center"/>
                    <w:rPr>
                      <w:szCs w:val="21"/>
                    </w:rPr>
                  </w:pPr>
                  <w:r>
                    <w:rPr>
                      <w:bCs/>
                      <w:szCs w:val="21"/>
                    </w:rPr>
                    <w:t>成分及占比</w:t>
                  </w:r>
                </w:p>
              </w:tc>
              <w:tc>
                <w:tcPr>
                  <w:tcW w:w="3424" w:type="dxa"/>
                  <w:vMerge w:val="restart"/>
                  <w:tcBorders>
                    <w:left w:val="single" w:color="auto" w:sz="4" w:space="0"/>
                  </w:tcBorders>
                  <w:vAlign w:val="center"/>
                </w:tcPr>
                <w:p w14:paraId="3A94CC48">
                  <w:pPr>
                    <w:jc w:val="center"/>
                    <w:rPr>
                      <w:szCs w:val="21"/>
                    </w:rPr>
                  </w:pPr>
                  <w:r>
                    <w:rPr>
                      <w:rFonts w:hint="eastAsia"/>
                      <w:szCs w:val="21"/>
                    </w:rPr>
                    <w:t>理化特性</w:t>
                  </w:r>
                </w:p>
              </w:tc>
            </w:tr>
            <w:tr w14:paraId="0C93E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2012" w:type="dxa"/>
                  <w:vMerge w:val="continue"/>
                  <w:tcBorders>
                    <w:left w:val="single" w:color="auto" w:sz="4" w:space="0"/>
                  </w:tcBorders>
                  <w:shd w:val="clear" w:color="auto" w:fill="auto"/>
                  <w:vAlign w:val="center"/>
                </w:tcPr>
                <w:p w14:paraId="3BB5EB0A">
                  <w:pPr>
                    <w:jc w:val="center"/>
                    <w:rPr>
                      <w:szCs w:val="21"/>
                    </w:rPr>
                  </w:pPr>
                </w:p>
              </w:tc>
              <w:tc>
                <w:tcPr>
                  <w:tcW w:w="2977" w:type="dxa"/>
                  <w:vMerge w:val="continue"/>
                  <w:tcBorders>
                    <w:left w:val="single" w:color="auto" w:sz="4" w:space="0"/>
                  </w:tcBorders>
                  <w:shd w:val="clear" w:color="auto" w:fill="auto"/>
                  <w:vAlign w:val="center"/>
                </w:tcPr>
                <w:p w14:paraId="633892EB">
                  <w:pPr>
                    <w:jc w:val="center"/>
                    <w:rPr>
                      <w:szCs w:val="21"/>
                    </w:rPr>
                  </w:pPr>
                </w:p>
              </w:tc>
              <w:tc>
                <w:tcPr>
                  <w:tcW w:w="3424" w:type="dxa"/>
                  <w:vMerge w:val="continue"/>
                  <w:tcBorders>
                    <w:left w:val="single" w:color="auto" w:sz="4" w:space="0"/>
                  </w:tcBorders>
                </w:tcPr>
                <w:p w14:paraId="45ABD157">
                  <w:pPr>
                    <w:jc w:val="center"/>
                    <w:rPr>
                      <w:szCs w:val="21"/>
                    </w:rPr>
                  </w:pPr>
                </w:p>
              </w:tc>
            </w:tr>
            <w:tr w14:paraId="7BA14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03239936">
                  <w:pPr>
                    <w:jc w:val="center"/>
                    <w:rPr>
                      <w:szCs w:val="21"/>
                    </w:rPr>
                  </w:pPr>
                  <w:r>
                    <w:rPr>
                      <w:rFonts w:hint="eastAsia"/>
                      <w:szCs w:val="21"/>
                    </w:rPr>
                    <w:t>精炼剂</w:t>
                  </w:r>
                </w:p>
              </w:tc>
              <w:tc>
                <w:tcPr>
                  <w:tcW w:w="2977" w:type="dxa"/>
                  <w:shd w:val="clear" w:color="auto" w:fill="auto"/>
                  <w:noWrap/>
                  <w:vAlign w:val="center"/>
                </w:tcPr>
                <w:p w14:paraId="4D26CA32">
                  <w:pPr>
                    <w:jc w:val="center"/>
                    <w:rPr>
                      <w:szCs w:val="21"/>
                    </w:rPr>
                  </w:pPr>
                  <w:r>
                    <w:rPr>
                      <w:rFonts w:hint="eastAsia"/>
                      <w:szCs w:val="21"/>
                    </w:rPr>
                    <w:t>黑色圆柱状颗粒，主要成分为硝酸钠（含量约50%）、硅酸盐（含量约50%）</w:t>
                  </w:r>
                </w:p>
              </w:tc>
              <w:tc>
                <w:tcPr>
                  <w:tcW w:w="3424" w:type="dxa"/>
                </w:tcPr>
                <w:p w14:paraId="60BD643D">
                  <w:pPr>
                    <w:jc w:val="center"/>
                    <w:rPr>
                      <w:szCs w:val="21"/>
                    </w:rPr>
                  </w:pPr>
                  <w:r>
                    <w:rPr>
                      <w:rFonts w:hint="eastAsia"/>
                      <w:szCs w:val="21"/>
                    </w:rPr>
                    <w:t>黑色圆柱状固体，无臭，无特殊气味，正常环境温度下稳定，燃烧或高温分解时，释放出氮氧化物。应避免在潮湿环境、高热和暴晒条件下储存，禁止与强还原剂、活性金属粉末、强酸、易燃或可燃物共同储存。</w:t>
                  </w:r>
                </w:p>
              </w:tc>
            </w:tr>
            <w:tr w14:paraId="347C3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2EAE1EF0">
                  <w:pPr>
                    <w:jc w:val="center"/>
                    <w:rPr>
                      <w:szCs w:val="21"/>
                    </w:rPr>
                  </w:pPr>
                  <w:r>
                    <w:rPr>
                      <w:rFonts w:hint="eastAsia"/>
                      <w:szCs w:val="21"/>
                    </w:rPr>
                    <w:t>铝除渣除气剂</w:t>
                  </w:r>
                </w:p>
              </w:tc>
              <w:tc>
                <w:tcPr>
                  <w:tcW w:w="2977" w:type="dxa"/>
                  <w:shd w:val="clear" w:color="auto" w:fill="auto"/>
                  <w:noWrap/>
                  <w:vAlign w:val="center"/>
                </w:tcPr>
                <w:p w14:paraId="2635C95C">
                  <w:pPr>
                    <w:jc w:val="center"/>
                    <w:rPr>
                      <w:szCs w:val="21"/>
                    </w:rPr>
                  </w:pPr>
                  <w:r>
                    <w:rPr>
                      <w:rFonts w:hint="eastAsia"/>
                      <w:szCs w:val="21"/>
                    </w:rPr>
                    <w:t>白色粉末，主要成分为氯化钠（20%~45%）、氯化钾（5~20%）、硫酸钠（10~15%）、碳酸钙（10~20%）及二氧化硅（10~20%）</w:t>
                  </w:r>
                </w:p>
              </w:tc>
              <w:tc>
                <w:tcPr>
                  <w:tcW w:w="3424" w:type="dxa"/>
                </w:tcPr>
                <w:p w14:paraId="19588C50">
                  <w:pPr>
                    <w:jc w:val="center"/>
                    <w:rPr>
                      <w:szCs w:val="21"/>
                    </w:rPr>
                  </w:pPr>
                  <w:r>
                    <w:rPr>
                      <w:rFonts w:hint="eastAsia"/>
                      <w:szCs w:val="21"/>
                    </w:rPr>
                    <w:t>白色粉末，无臭，无特殊气味，具有轻微的刺激性，皮肤接触后应用肥皂水和清水彻底冲洗皮肤。大部分溶于水，微溶于醇。正常环境温度下稳定，应避免潮湿环境、高热和暴晒，禁配物为酸类、氧化剂。</w:t>
                  </w:r>
                </w:p>
              </w:tc>
            </w:tr>
            <w:tr w14:paraId="19F72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7223A229">
                  <w:pPr>
                    <w:jc w:val="center"/>
                    <w:rPr>
                      <w:szCs w:val="21"/>
                    </w:rPr>
                  </w:pPr>
                  <w:r>
                    <w:rPr>
                      <w:rFonts w:hint="eastAsia"/>
                      <w:szCs w:val="21"/>
                    </w:rPr>
                    <w:t>颗粒柱塞油</w:t>
                  </w:r>
                </w:p>
              </w:tc>
              <w:tc>
                <w:tcPr>
                  <w:tcW w:w="2977" w:type="dxa"/>
                  <w:shd w:val="clear" w:color="auto" w:fill="auto"/>
                  <w:noWrap/>
                  <w:vAlign w:val="center"/>
                </w:tcPr>
                <w:p w14:paraId="6AD8B3B1">
                  <w:pPr>
                    <w:jc w:val="center"/>
                    <w:rPr>
                      <w:szCs w:val="21"/>
                    </w:rPr>
                  </w:pPr>
                  <w:r>
                    <w:rPr>
                      <w:rFonts w:hint="eastAsia"/>
                      <w:szCs w:val="21"/>
                    </w:rPr>
                    <w:t>聚乙烯蜡（85~90%）及石墨（10~15%）</w:t>
                  </w:r>
                </w:p>
              </w:tc>
              <w:tc>
                <w:tcPr>
                  <w:tcW w:w="3424" w:type="dxa"/>
                </w:tcPr>
                <w:p w14:paraId="1908E79B">
                  <w:pPr>
                    <w:jc w:val="center"/>
                    <w:rPr>
                      <w:szCs w:val="21"/>
                    </w:rPr>
                  </w:pPr>
                  <w:r>
                    <w:rPr>
                      <w:rFonts w:hint="eastAsia"/>
                      <w:szCs w:val="21"/>
                    </w:rPr>
                    <w:t>黑色蜡状固体，比重</w:t>
                  </w:r>
                  <w:r>
                    <w:rPr>
                      <w:szCs w:val="21"/>
                    </w:rPr>
                    <w:t>0.95-1.05</w:t>
                  </w:r>
                  <w:r>
                    <w:rPr>
                      <w:rFonts w:hint="eastAsia"/>
                      <w:szCs w:val="21"/>
                    </w:rPr>
                    <w:t>，不溶于水，熔点范围90℃~100℃，长期或反复的皮肤接触可导致轻微的皮肤刺激，长时间吸入可能有害。吸入灰尘会导致头痛、恶心、鼻子、喉咙和肺部发炎。储存时远离明火、高温表面和火源。</w:t>
                  </w:r>
                </w:p>
              </w:tc>
            </w:tr>
            <w:tr w14:paraId="1A32C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315EBF2B">
                  <w:pPr>
                    <w:jc w:val="center"/>
                    <w:rPr>
                      <w:szCs w:val="21"/>
                    </w:rPr>
                  </w:pPr>
                  <w:r>
                    <w:rPr>
                      <w:rFonts w:hint="eastAsia"/>
                      <w:szCs w:val="21"/>
                    </w:rPr>
                    <w:t>液压油</w:t>
                  </w:r>
                </w:p>
              </w:tc>
              <w:tc>
                <w:tcPr>
                  <w:tcW w:w="2977" w:type="dxa"/>
                  <w:shd w:val="clear" w:color="auto" w:fill="auto"/>
                  <w:noWrap/>
                  <w:vAlign w:val="center"/>
                </w:tcPr>
                <w:p w14:paraId="2C163DA3">
                  <w:pPr>
                    <w:jc w:val="center"/>
                    <w:rPr>
                      <w:szCs w:val="21"/>
                    </w:rPr>
                  </w:pPr>
                  <w:r>
                    <w:rPr>
                      <w:rFonts w:hint="eastAsia"/>
                      <w:szCs w:val="21"/>
                    </w:rPr>
                    <w:t>基础油（85~90%）及各类添加剂（10~15%，闪点200℃以上）</w:t>
                  </w:r>
                </w:p>
              </w:tc>
              <w:tc>
                <w:tcPr>
                  <w:tcW w:w="3424" w:type="dxa"/>
                </w:tcPr>
                <w:p w14:paraId="5BCC7191">
                  <w:pPr>
                    <w:jc w:val="center"/>
                    <w:rPr>
                      <w:szCs w:val="21"/>
                    </w:rPr>
                  </w:pPr>
                  <w:r>
                    <w:rPr>
                      <w:szCs w:val="21"/>
                    </w:rPr>
                    <w:t>琥珀色液体，闪点</w:t>
                  </w:r>
                  <w:r>
                    <w:rPr>
                      <w:rStyle w:val="164"/>
                      <w:rFonts w:hint="default" w:ascii="Times New Roman" w:hAnsi="Times New Roman" w:eastAsia="宋体"/>
                      <w:color w:val="auto"/>
                      <w:sz w:val="21"/>
                      <w:szCs w:val="21"/>
                    </w:rPr>
                    <w:t>275</w:t>
                  </w:r>
                  <w:r>
                    <w:rPr>
                      <w:rStyle w:val="172"/>
                      <w:rFonts w:hint="default" w:ascii="Times New Roman" w:hAnsi="Times New Roman"/>
                      <w:color w:val="auto"/>
                      <w:sz w:val="21"/>
                      <w:szCs w:val="21"/>
                    </w:rPr>
                    <w:t>°C，密度0.921g/cm</w:t>
                  </w:r>
                  <w:r>
                    <w:rPr>
                      <w:rStyle w:val="172"/>
                      <w:rFonts w:hint="default" w:ascii="Times New Roman" w:hAnsi="Times New Roman"/>
                      <w:color w:val="auto"/>
                      <w:sz w:val="21"/>
                      <w:szCs w:val="21"/>
                      <w:vertAlign w:val="superscript"/>
                    </w:rPr>
                    <w:t>3</w:t>
                  </w:r>
                  <w:r>
                    <w:rPr>
                      <w:rStyle w:val="172"/>
                      <w:rFonts w:hint="default" w:ascii="Times New Roman" w:hAnsi="Times New Roman"/>
                      <w:color w:val="auto"/>
                      <w:sz w:val="21"/>
                      <w:szCs w:val="21"/>
                    </w:rPr>
                    <w:t>，不溶于水，</w:t>
                  </w:r>
                  <w:r>
                    <w:rPr>
                      <w:rStyle w:val="164"/>
                      <w:rFonts w:hint="default" w:ascii="Times New Roman" w:hAnsi="Times New Roman" w:eastAsia="宋体"/>
                      <w:color w:val="auto"/>
                      <w:sz w:val="21"/>
                      <w:szCs w:val="21"/>
                    </w:rPr>
                    <w:t>鱼：50(96h)=460mg/L，常规状态下稳定，储存时应避免热源、火焰及火花，避免与强氧化剂一起储存，泄漏时使用惰性材料吸附溢出物(如干沙子或泥土)，然后放到化学废弃物容器中，防止渗透进入下层土，火灾时使用干粉、二氧化碳、水雾或泡沫灭火器</w:t>
                  </w:r>
                </w:p>
              </w:tc>
            </w:tr>
            <w:tr w14:paraId="0A541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328DA782">
                  <w:pPr>
                    <w:jc w:val="center"/>
                    <w:rPr>
                      <w:szCs w:val="21"/>
                    </w:rPr>
                  </w:pPr>
                  <w:r>
                    <w:rPr>
                      <w:rFonts w:hint="eastAsia"/>
                      <w:szCs w:val="21"/>
                    </w:rPr>
                    <w:t>脱模剂</w:t>
                  </w:r>
                </w:p>
              </w:tc>
              <w:tc>
                <w:tcPr>
                  <w:tcW w:w="2977" w:type="dxa"/>
                  <w:shd w:val="clear" w:color="auto" w:fill="auto"/>
                  <w:noWrap/>
                  <w:vAlign w:val="center"/>
                </w:tcPr>
                <w:p w14:paraId="236317BF">
                  <w:pPr>
                    <w:jc w:val="center"/>
                    <w:rPr>
                      <w:szCs w:val="21"/>
                    </w:rPr>
                  </w:pPr>
                  <w:r>
                    <w:rPr>
                      <w:rFonts w:hint="eastAsia"/>
                      <w:szCs w:val="21"/>
                    </w:rPr>
                    <w:t>烷芳氢基改性硅、聚乙烯蜡、高温合成脂及水</w:t>
                  </w:r>
                </w:p>
              </w:tc>
              <w:tc>
                <w:tcPr>
                  <w:tcW w:w="3424" w:type="dxa"/>
                </w:tcPr>
                <w:p w14:paraId="2E80F6B5">
                  <w:pPr>
                    <w:jc w:val="center"/>
                    <w:rPr>
                      <w:szCs w:val="21"/>
                    </w:rPr>
                  </w:pPr>
                  <w:r>
                    <w:rPr>
                      <w:rFonts w:hint="eastAsia"/>
                      <w:szCs w:val="21"/>
                    </w:rPr>
                    <w:t>白色液体，比重（相对于水）</w:t>
                  </w:r>
                  <w:r>
                    <w:rPr>
                      <w:szCs w:val="21"/>
                    </w:rPr>
                    <w:t>0.96</w:t>
                  </w:r>
                  <w:r>
                    <w:rPr>
                      <w:rFonts w:hint="eastAsia"/>
                      <w:szCs w:val="21"/>
                    </w:rPr>
                    <w:t>，常温下稳定，禁配物为强氧化剂，储存于阴凉、通风干燥处、电源，室温低于40℃仓库内，不可倒置，不得靠近热源和酸碱等腐蚀性介质，严禁暴晒，储存和使用过程避免与氧化剂接触，皮肤可接触，眼镜接触时提起眼睑，用流动清水冲洗，就医</w:t>
                  </w:r>
                </w:p>
              </w:tc>
            </w:tr>
            <w:tr w14:paraId="28319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761BD2E9">
                  <w:pPr>
                    <w:jc w:val="center"/>
                    <w:rPr>
                      <w:szCs w:val="21"/>
                    </w:rPr>
                  </w:pPr>
                  <w:r>
                    <w:rPr>
                      <w:szCs w:val="21"/>
                    </w:rPr>
                    <w:t>清洗剂</w:t>
                  </w:r>
                </w:p>
              </w:tc>
              <w:tc>
                <w:tcPr>
                  <w:tcW w:w="2977" w:type="dxa"/>
                  <w:shd w:val="clear" w:color="auto" w:fill="auto"/>
                  <w:noWrap/>
                  <w:vAlign w:val="center"/>
                </w:tcPr>
                <w:p w14:paraId="08B02604">
                  <w:pPr>
                    <w:jc w:val="center"/>
                    <w:rPr>
                      <w:szCs w:val="21"/>
                    </w:rPr>
                  </w:pPr>
                  <w:r>
                    <w:rPr>
                      <w:szCs w:val="21"/>
                    </w:rPr>
                    <w:t>氨基磺酸</w:t>
                  </w:r>
                </w:p>
              </w:tc>
              <w:tc>
                <w:tcPr>
                  <w:tcW w:w="3424" w:type="dxa"/>
                </w:tcPr>
                <w:p w14:paraId="3E1A3235">
                  <w:pPr>
                    <w:jc w:val="center"/>
                    <w:rPr>
                      <w:szCs w:val="21"/>
                    </w:rPr>
                  </w:pPr>
                  <w:r>
                    <w:rPr>
                      <w:szCs w:val="21"/>
                    </w:rPr>
                    <w:t>白色结晶体，无臭无味。不挥发。不吸湿，</w:t>
                  </w:r>
                  <w:r>
                    <w:rPr>
                      <w:rStyle w:val="164"/>
                      <w:rFonts w:hint="default" w:ascii="Times New Roman" w:hAnsi="Times New Roman" w:eastAsia="宋体"/>
                      <w:color w:val="auto"/>
                      <w:sz w:val="21"/>
                      <w:szCs w:val="21"/>
                    </w:rPr>
                    <w:t>熔点205摄氏度，相对密度（水）2．13，溶于水、液氨，不溶于乙醇、乙醚，微溶于甲醇。常温时稳定，受热分解，分解温度(℃)：209，燃烧产物氧化氮、硫化物，禁忌物为</w:t>
                  </w:r>
                  <w:r>
                    <w:rPr>
                      <w:kern w:val="0"/>
                      <w:szCs w:val="21"/>
                    </w:rPr>
                    <w:t>强氧化剂、强碱，火灾是采用雾状水、泡沫、二氧化碳。砂土等物质灭火。储存于阴凉、通风</w:t>
                  </w:r>
                  <w:r>
                    <w:rPr>
                      <w:rFonts w:hint="eastAsia"/>
                      <w:kern w:val="0"/>
                      <w:szCs w:val="21"/>
                    </w:rPr>
                    <w:t>房</w:t>
                  </w:r>
                  <w:r>
                    <w:rPr>
                      <w:kern w:val="0"/>
                      <w:szCs w:val="21"/>
                    </w:rPr>
                    <w:t>间内。远离火种、热源。防止阳光直射。保持容器密封。应与氧化剂、碱类分开存放。皮肤或眼接触有强烈刺激性或造成灼伤。口服灼伤口腔和消化道。</w:t>
                  </w:r>
                </w:p>
              </w:tc>
            </w:tr>
            <w:tr w14:paraId="57D28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0E796859">
                  <w:pPr>
                    <w:jc w:val="center"/>
                    <w:rPr>
                      <w:szCs w:val="21"/>
                    </w:rPr>
                  </w:pPr>
                  <w:r>
                    <w:rPr>
                      <w:rFonts w:hint="eastAsia"/>
                      <w:szCs w:val="21"/>
                    </w:rPr>
                    <w:t>切削液</w:t>
                  </w:r>
                </w:p>
              </w:tc>
              <w:tc>
                <w:tcPr>
                  <w:tcW w:w="2977" w:type="dxa"/>
                  <w:shd w:val="clear" w:color="auto" w:fill="auto"/>
                  <w:noWrap/>
                  <w:vAlign w:val="center"/>
                </w:tcPr>
                <w:p w14:paraId="0A1E25DA">
                  <w:pPr>
                    <w:jc w:val="center"/>
                    <w:rPr>
                      <w:szCs w:val="21"/>
                    </w:rPr>
                  </w:pPr>
                  <w:r>
                    <w:rPr>
                      <w:rFonts w:hint="eastAsia"/>
                      <w:szCs w:val="21"/>
                    </w:rPr>
                    <w:t>加氢的石油轻环烷馏分油（1</w:t>
                  </w:r>
                  <w:r>
                    <w:rPr>
                      <w:szCs w:val="21"/>
                    </w:rPr>
                    <w:t>0~30%），</w:t>
                  </w:r>
                  <w:r>
                    <w:rPr>
                      <w:rFonts w:hint="eastAsia"/>
                      <w:szCs w:val="21"/>
                    </w:rPr>
                    <w:t>烷烃，C</w:t>
                  </w:r>
                  <w:r>
                    <w:rPr>
                      <w:rFonts w:hint="eastAsia"/>
                      <w:szCs w:val="21"/>
                      <w:vertAlign w:val="subscript"/>
                    </w:rPr>
                    <w:t>14</w:t>
                  </w:r>
                  <w:r>
                    <w:rPr>
                      <w:rFonts w:hint="eastAsia"/>
                      <w:szCs w:val="21"/>
                    </w:rPr>
                    <w:t>-</w:t>
                  </w:r>
                  <w:r>
                    <w:rPr>
                      <w:rFonts w:hint="eastAsia"/>
                      <w:szCs w:val="21"/>
                      <w:vertAlign w:val="subscript"/>
                    </w:rPr>
                    <w:t>17</w:t>
                  </w:r>
                  <w:r>
                    <w:rPr>
                      <w:rFonts w:hint="eastAsia"/>
                      <w:szCs w:val="21"/>
                    </w:rPr>
                    <w:t>，氯；氯化石蜡，C</w:t>
                  </w:r>
                  <w:r>
                    <w:rPr>
                      <w:rFonts w:hint="eastAsia"/>
                      <w:szCs w:val="21"/>
                      <w:vertAlign w:val="subscript"/>
                    </w:rPr>
                    <w:t>14</w:t>
                  </w:r>
                  <w:r>
                    <w:rPr>
                      <w:rFonts w:hint="eastAsia"/>
                      <w:szCs w:val="21"/>
                    </w:rPr>
                    <w:t>-</w:t>
                  </w:r>
                  <w:r>
                    <w:rPr>
                      <w:rFonts w:hint="eastAsia"/>
                      <w:szCs w:val="21"/>
                      <w:vertAlign w:val="subscript"/>
                    </w:rPr>
                    <w:t>17</w:t>
                  </w:r>
                  <w:r>
                    <w:rPr>
                      <w:rFonts w:hint="eastAsia"/>
                      <w:szCs w:val="21"/>
                    </w:rPr>
                    <w:t>（5~</w:t>
                  </w:r>
                  <w:r>
                    <w:rPr>
                      <w:szCs w:val="21"/>
                    </w:rPr>
                    <w:t>10%</w:t>
                  </w:r>
                  <w:r>
                    <w:rPr>
                      <w:rFonts w:hint="eastAsia"/>
                      <w:szCs w:val="21"/>
                    </w:rPr>
                    <w:t>），链烷醇胺（3~</w:t>
                  </w:r>
                  <w:r>
                    <w:rPr>
                      <w:szCs w:val="21"/>
                    </w:rPr>
                    <w:t>10</w:t>
                  </w:r>
                  <w:r>
                    <w:rPr>
                      <w:rFonts w:hint="eastAsia"/>
                      <w:szCs w:val="21"/>
                    </w:rPr>
                    <w:t>%），1,3,5-三嗪-1,3,5（2H,4H,6H）-三乙醇（1~</w:t>
                  </w:r>
                  <w:r>
                    <w:rPr>
                      <w:szCs w:val="21"/>
                    </w:rPr>
                    <w:t>5</w:t>
                  </w:r>
                  <w:r>
                    <w:rPr>
                      <w:rFonts w:hint="eastAsia"/>
                      <w:szCs w:val="21"/>
                    </w:rPr>
                    <w:t>%），硼酸（1~</w:t>
                  </w:r>
                  <w:r>
                    <w:rPr>
                      <w:szCs w:val="21"/>
                    </w:rPr>
                    <w:t>5</w:t>
                  </w:r>
                  <w:r>
                    <w:rPr>
                      <w:rFonts w:hint="eastAsia"/>
                      <w:szCs w:val="21"/>
                    </w:rPr>
                    <w:t>%），水和基础油（6</w:t>
                  </w:r>
                  <w:r>
                    <w:rPr>
                      <w:szCs w:val="21"/>
                    </w:rPr>
                    <w:t>0-99</w:t>
                  </w:r>
                  <w:r>
                    <w:rPr>
                      <w:rFonts w:hint="eastAsia"/>
                      <w:szCs w:val="21"/>
                    </w:rPr>
                    <w:t>%）</w:t>
                  </w:r>
                </w:p>
              </w:tc>
              <w:tc>
                <w:tcPr>
                  <w:tcW w:w="3424" w:type="dxa"/>
                </w:tcPr>
                <w:p w14:paraId="796F62D0">
                  <w:pPr>
                    <w:jc w:val="center"/>
                    <w:rPr>
                      <w:szCs w:val="21"/>
                    </w:rPr>
                  </w:pPr>
                  <w:r>
                    <w:rPr>
                      <w:szCs w:val="21"/>
                    </w:rPr>
                    <w:t>琥珀色液体，pH9.9，运动粘度</w:t>
                  </w:r>
                  <w:r>
                    <w:rPr>
                      <w:rStyle w:val="164"/>
                      <w:rFonts w:hint="default" w:ascii="Times New Roman" w:hAnsi="Times New Roman" w:eastAsia="宋体"/>
                      <w:color w:val="auto"/>
                      <w:sz w:val="21"/>
                      <w:szCs w:val="21"/>
                    </w:rPr>
                    <w:t>88mm</w:t>
                  </w:r>
                  <w:r>
                    <w:rPr>
                      <w:rStyle w:val="164"/>
                      <w:rFonts w:hint="default" w:ascii="Times New Roman" w:hAnsi="Times New Roman" w:eastAsia="宋体"/>
                      <w:color w:val="auto"/>
                      <w:sz w:val="21"/>
                      <w:szCs w:val="21"/>
                      <w:vertAlign w:val="superscript"/>
                    </w:rPr>
                    <w:t>2</w:t>
                  </w:r>
                  <w:r>
                    <w:rPr>
                      <w:rStyle w:val="164"/>
                      <w:rFonts w:hint="default" w:ascii="Times New Roman" w:hAnsi="Times New Roman" w:eastAsia="宋体"/>
                      <w:color w:val="auto"/>
                      <w:sz w:val="21"/>
                      <w:szCs w:val="21"/>
                    </w:rPr>
                    <w:t>/s，密度1004kg/m</w:t>
                  </w:r>
                  <w:r>
                    <w:rPr>
                      <w:rStyle w:val="164"/>
                      <w:rFonts w:hint="default" w:ascii="Times New Roman" w:hAnsi="Times New Roman" w:eastAsia="宋体"/>
                      <w:color w:val="auto"/>
                      <w:sz w:val="21"/>
                      <w:szCs w:val="21"/>
                      <w:vertAlign w:val="superscript"/>
                    </w:rPr>
                    <w:t>3</w:t>
                  </w:r>
                  <w:r>
                    <w:rPr>
                      <w:rStyle w:val="164"/>
                      <w:rFonts w:hint="default" w:ascii="Times New Roman" w:hAnsi="Times New Roman" w:eastAsia="宋体"/>
                      <w:color w:val="auto"/>
                      <w:sz w:val="21"/>
                      <w:szCs w:val="21"/>
                    </w:rPr>
                    <w:t>，不具有爆炸性和氧化性，与水混合可乳化，大鼠吸入LC50：0.37mg/l。吸入、皮肤接触可引起轻度的皮肤刺激，可能造成皮肤过敏反应、皮炎、皮疹。正常条件下物料稳定，储存时应远离强氧化剂。使用时避免吸入烟雾或蒸气，避免接触眼睛、皮肤和衣物，避免长期暴露，穿戴合适的个人防护设备，火灾时采用水雾、泡沫、化学干粉、二氧化碳(CO</w:t>
                  </w:r>
                  <w:r>
                    <w:rPr>
                      <w:rStyle w:val="164"/>
                      <w:rFonts w:hint="default" w:ascii="Times New Roman" w:hAnsi="Times New Roman" w:eastAsia="宋体"/>
                      <w:color w:val="auto"/>
                      <w:sz w:val="21"/>
                      <w:szCs w:val="21"/>
                      <w:vertAlign w:val="subscript"/>
                    </w:rPr>
                    <w:t>2</w:t>
                  </w:r>
                  <w:r>
                    <w:rPr>
                      <w:rStyle w:val="164"/>
                      <w:rFonts w:hint="default" w:ascii="Times New Roman" w:hAnsi="Times New Roman" w:eastAsia="宋体"/>
                      <w:color w:val="auto"/>
                      <w:sz w:val="21"/>
                      <w:szCs w:val="21"/>
                    </w:rPr>
                    <w:t>)等灭火，禁止使用直流水灭火。</w:t>
                  </w:r>
                </w:p>
              </w:tc>
            </w:tr>
            <w:tr w14:paraId="1EC1C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7E993FBC">
                  <w:pPr>
                    <w:jc w:val="center"/>
                    <w:rPr>
                      <w:szCs w:val="21"/>
                    </w:rPr>
                  </w:pPr>
                  <w:r>
                    <w:rPr>
                      <w:rFonts w:hint="eastAsia"/>
                      <w:szCs w:val="21"/>
                    </w:rPr>
                    <w:t>浸渗剂</w:t>
                  </w:r>
                </w:p>
              </w:tc>
              <w:tc>
                <w:tcPr>
                  <w:tcW w:w="2977" w:type="dxa"/>
                  <w:shd w:val="clear" w:color="auto" w:fill="auto"/>
                  <w:noWrap/>
                  <w:vAlign w:val="center"/>
                </w:tcPr>
                <w:p w14:paraId="70DB0F36">
                  <w:pPr>
                    <w:jc w:val="center"/>
                    <w:rPr>
                      <w:szCs w:val="21"/>
                    </w:rPr>
                  </w:pPr>
                  <w:r>
                    <w:rPr>
                      <w:rFonts w:hint="eastAsia"/>
                      <w:szCs w:val="21"/>
                    </w:rPr>
                    <w:t>单（甲基）丙烯酸酯（3</w:t>
                  </w:r>
                  <w:r>
                    <w:rPr>
                      <w:szCs w:val="21"/>
                    </w:rPr>
                    <w:t>0~44%</w:t>
                  </w:r>
                  <w:r>
                    <w:rPr>
                      <w:rFonts w:hint="eastAsia"/>
                      <w:szCs w:val="21"/>
                    </w:rPr>
                    <w:t>）、多（甲基）丙烯酸酯（6</w:t>
                  </w:r>
                  <w:r>
                    <w:rPr>
                      <w:szCs w:val="21"/>
                    </w:rPr>
                    <w:t>0~76%</w:t>
                  </w:r>
                  <w:r>
                    <w:rPr>
                      <w:rFonts w:hint="eastAsia"/>
                      <w:szCs w:val="21"/>
                    </w:rPr>
                    <w:t>）、表面活性剂（1</w:t>
                  </w:r>
                  <w:r>
                    <w:rPr>
                      <w:szCs w:val="21"/>
                    </w:rPr>
                    <w:t>~6%</w:t>
                  </w:r>
                  <w:r>
                    <w:rPr>
                      <w:rFonts w:hint="eastAsia"/>
                      <w:szCs w:val="21"/>
                    </w:rPr>
                    <w:t>）、其他助剂（0</w:t>
                  </w:r>
                  <w:r>
                    <w:rPr>
                      <w:szCs w:val="21"/>
                    </w:rPr>
                    <w:t>.2~0.6%</w:t>
                  </w:r>
                  <w:r>
                    <w:rPr>
                      <w:rFonts w:hint="eastAsia"/>
                      <w:szCs w:val="21"/>
                    </w:rPr>
                    <w:t>）</w:t>
                  </w:r>
                </w:p>
              </w:tc>
              <w:tc>
                <w:tcPr>
                  <w:tcW w:w="3424" w:type="dxa"/>
                </w:tcPr>
                <w:p w14:paraId="5C81B4FD">
                  <w:pPr>
                    <w:jc w:val="center"/>
                    <w:rPr>
                      <w:szCs w:val="21"/>
                    </w:rPr>
                  </w:pPr>
                  <w:r>
                    <w:rPr>
                      <w:szCs w:val="21"/>
                    </w:rPr>
                    <w:t>透明略带酯黄色液体，沸点</w:t>
                  </w:r>
                  <w:r>
                    <w:rPr>
                      <w:rStyle w:val="164"/>
                      <w:rFonts w:hint="default" w:ascii="Times New Roman" w:hAnsi="Times New Roman" w:eastAsia="宋体"/>
                      <w:color w:val="auto"/>
                      <w:sz w:val="21"/>
                      <w:szCs w:val="21"/>
                    </w:rPr>
                    <w:t>191</w:t>
                  </w:r>
                  <w:r>
                    <w:rPr>
                      <w:rStyle w:val="170"/>
                      <w:rFonts w:hint="default" w:ascii="Times New Roman" w:hAnsi="Times New Roman"/>
                      <w:color w:val="auto"/>
                      <w:sz w:val="21"/>
                      <w:szCs w:val="21"/>
                    </w:rPr>
                    <w:t>℃，</w:t>
                  </w:r>
                  <w:r>
                    <w:rPr>
                      <w:szCs w:val="21"/>
                    </w:rPr>
                    <w:t>闪点</w:t>
                  </w:r>
                  <w:r>
                    <w:rPr>
                      <w:rStyle w:val="164"/>
                      <w:rFonts w:hint="default" w:ascii="Times New Roman" w:hAnsi="Times New Roman" w:eastAsia="宋体"/>
                      <w:color w:val="auto"/>
                      <w:sz w:val="21"/>
                      <w:szCs w:val="21"/>
                    </w:rPr>
                    <w:t>109</w:t>
                  </w:r>
                  <w:r>
                    <w:rPr>
                      <w:rStyle w:val="170"/>
                      <w:rFonts w:hint="default" w:ascii="Times New Roman" w:hAnsi="Times New Roman"/>
                      <w:color w:val="auto"/>
                      <w:sz w:val="21"/>
                      <w:szCs w:val="21"/>
                    </w:rPr>
                    <w:t>℃，相对密度（水）</w:t>
                  </w:r>
                  <w:r>
                    <w:rPr>
                      <w:rStyle w:val="164"/>
                      <w:rFonts w:hint="default" w:ascii="Times New Roman" w:hAnsi="Times New Roman" w:eastAsia="宋体"/>
                      <w:color w:val="auto"/>
                      <w:sz w:val="21"/>
                      <w:szCs w:val="21"/>
                    </w:rPr>
                    <w:t>109</w:t>
                  </w:r>
                  <w:r>
                    <w:rPr>
                      <w:rStyle w:val="170"/>
                      <w:rFonts w:hint="default" w:ascii="Times New Roman" w:hAnsi="Times New Roman"/>
                      <w:color w:val="auto"/>
                      <w:sz w:val="21"/>
                      <w:szCs w:val="21"/>
                    </w:rPr>
                    <w:t>℃，</w:t>
                  </w:r>
                  <w:r>
                    <w:rPr>
                      <w:rStyle w:val="164"/>
                      <w:rFonts w:hint="default" w:ascii="Times New Roman" w:hAnsi="Times New Roman" w:eastAsia="宋体"/>
                      <w:color w:val="auto"/>
                      <w:sz w:val="21"/>
                      <w:szCs w:val="21"/>
                    </w:rPr>
                    <w:t>喷雾会刺激呼吸系统，对皮肤具刺激性，会引起红斑和疼痛。眼镜接触可能造成严重眼损伤，可引起永久性损坏。应避免强氧化剂、强还原剂、无机过氧化物，储存于密封的原装容器中，置于通风良好的场所。存放于阴凉、干燥处。远离禁忌物保存。防止冰冻和日光照射。</w:t>
                  </w:r>
                </w:p>
              </w:tc>
            </w:tr>
            <w:tr w14:paraId="29CB1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0FCA2762">
                  <w:pPr>
                    <w:jc w:val="center"/>
                    <w:rPr>
                      <w:szCs w:val="21"/>
                    </w:rPr>
                  </w:pPr>
                  <w:r>
                    <w:rPr>
                      <w:rFonts w:hint="eastAsia"/>
                      <w:szCs w:val="21"/>
                    </w:rPr>
                    <w:t>分离剂</w:t>
                  </w:r>
                </w:p>
              </w:tc>
              <w:tc>
                <w:tcPr>
                  <w:tcW w:w="2977" w:type="dxa"/>
                  <w:shd w:val="clear" w:color="auto" w:fill="auto"/>
                  <w:noWrap/>
                  <w:vAlign w:val="center"/>
                </w:tcPr>
                <w:p w14:paraId="6F8105BD">
                  <w:pPr>
                    <w:jc w:val="center"/>
                    <w:rPr>
                      <w:szCs w:val="21"/>
                    </w:rPr>
                  </w:pPr>
                  <w:r>
                    <w:rPr>
                      <w:rFonts w:hint="eastAsia"/>
                      <w:szCs w:val="21"/>
                    </w:rPr>
                    <w:t>功能型丙烯酸酯（8</w:t>
                  </w:r>
                  <w:r>
                    <w:rPr>
                      <w:szCs w:val="21"/>
                    </w:rPr>
                    <w:t>0~92%</w:t>
                  </w:r>
                  <w:r>
                    <w:rPr>
                      <w:rFonts w:hint="eastAsia"/>
                      <w:szCs w:val="21"/>
                    </w:rPr>
                    <w:t>）、表面活性剂（4</w:t>
                  </w:r>
                  <w:r>
                    <w:rPr>
                      <w:szCs w:val="21"/>
                    </w:rPr>
                    <w:t>~6%</w:t>
                  </w:r>
                  <w:r>
                    <w:rPr>
                      <w:rFonts w:hint="eastAsia"/>
                      <w:szCs w:val="21"/>
                    </w:rPr>
                    <w:t>）、调节剂（1</w:t>
                  </w:r>
                  <w:r>
                    <w:rPr>
                      <w:szCs w:val="21"/>
                    </w:rPr>
                    <w:t>~4%</w:t>
                  </w:r>
                  <w:r>
                    <w:rPr>
                      <w:rFonts w:hint="eastAsia"/>
                      <w:szCs w:val="21"/>
                    </w:rPr>
                    <w:t>）</w:t>
                  </w:r>
                </w:p>
              </w:tc>
              <w:tc>
                <w:tcPr>
                  <w:tcW w:w="3424" w:type="dxa"/>
                </w:tcPr>
                <w:p w14:paraId="1A36C4BB">
                  <w:pPr>
                    <w:jc w:val="center"/>
                    <w:rPr>
                      <w:szCs w:val="21"/>
                    </w:rPr>
                  </w:pPr>
                  <w:r>
                    <w:rPr>
                      <w:rFonts w:hint="eastAsia"/>
                      <w:szCs w:val="21"/>
                    </w:rPr>
                    <w:t>黄色透明液体，具有</w:t>
                  </w:r>
                  <w:r>
                    <w:rPr>
                      <w:szCs w:val="21"/>
                    </w:rPr>
                    <w:t>淡淡酯香味，pH：7，相对密度（水）</w:t>
                  </w:r>
                  <w:r>
                    <w:rPr>
                      <w:rFonts w:hint="eastAsia"/>
                      <w:szCs w:val="21"/>
                    </w:rPr>
                    <w:t>95-1.15</w:t>
                  </w:r>
                  <w:r>
                    <w:rPr>
                      <w:szCs w:val="21"/>
                    </w:rPr>
                    <w:t>，正常条件下物料稳定，喷雾会刺激呼吸系统，眼镜接触可能造成严重眼损伤，可引起永久性损坏。应避免</w:t>
                  </w:r>
                  <w:r>
                    <w:rPr>
                      <w:rFonts w:hint="eastAsia"/>
                      <w:szCs w:val="21"/>
                    </w:rPr>
                    <w:t>强氧化剂、强还原剂、无机过氧化物</w:t>
                  </w:r>
                  <w:r>
                    <w:rPr>
                      <w:szCs w:val="21"/>
                    </w:rPr>
                    <w:t>。储存于密封的原装容器中，置于通风良好的场所。存放于阴凉、干燥处。远离禁忌物保存。防止冰冻和日光照射。</w:t>
                  </w:r>
                </w:p>
              </w:tc>
            </w:tr>
            <w:tr w14:paraId="59308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07BF57BB">
                  <w:pPr>
                    <w:jc w:val="center"/>
                    <w:rPr>
                      <w:szCs w:val="21"/>
                    </w:rPr>
                  </w:pPr>
                  <w:r>
                    <w:rPr>
                      <w:rFonts w:hint="eastAsia"/>
                      <w:szCs w:val="21"/>
                    </w:rPr>
                    <w:t>缓蚀剂</w:t>
                  </w:r>
                </w:p>
              </w:tc>
              <w:tc>
                <w:tcPr>
                  <w:tcW w:w="2977" w:type="dxa"/>
                  <w:shd w:val="clear" w:color="auto" w:fill="auto"/>
                  <w:noWrap/>
                  <w:vAlign w:val="center"/>
                </w:tcPr>
                <w:p w14:paraId="165A70B5">
                  <w:pPr>
                    <w:jc w:val="center"/>
                    <w:rPr>
                      <w:szCs w:val="21"/>
                      <w:highlight w:val="yellow"/>
                    </w:rPr>
                  </w:pPr>
                  <w:r>
                    <w:rPr>
                      <w:rFonts w:hint="eastAsia"/>
                      <w:szCs w:val="21"/>
                    </w:rPr>
                    <w:t>硅烷（8</w:t>
                  </w:r>
                  <w:r>
                    <w:rPr>
                      <w:szCs w:val="21"/>
                    </w:rPr>
                    <w:t>~13%</w:t>
                  </w:r>
                  <w:r>
                    <w:rPr>
                      <w:rFonts w:hint="eastAsia"/>
                      <w:szCs w:val="21"/>
                    </w:rPr>
                    <w:t>）、无机盐（1</w:t>
                  </w:r>
                  <w:r>
                    <w:rPr>
                      <w:szCs w:val="21"/>
                    </w:rPr>
                    <w:t>0~20%</w:t>
                  </w:r>
                  <w:r>
                    <w:rPr>
                      <w:rFonts w:hint="eastAsia"/>
                      <w:szCs w:val="21"/>
                    </w:rPr>
                    <w:t>）、葡萄糖酸钠（2</w:t>
                  </w:r>
                  <w:r>
                    <w:rPr>
                      <w:szCs w:val="21"/>
                    </w:rPr>
                    <w:t>~5%</w:t>
                  </w:r>
                  <w:r>
                    <w:rPr>
                      <w:rFonts w:hint="eastAsia"/>
                      <w:szCs w:val="21"/>
                    </w:rPr>
                    <w:t>）、其他（3</w:t>
                  </w:r>
                  <w:r>
                    <w:rPr>
                      <w:szCs w:val="21"/>
                    </w:rPr>
                    <w:t>~7%</w:t>
                  </w:r>
                  <w:r>
                    <w:rPr>
                      <w:rFonts w:hint="eastAsia"/>
                      <w:szCs w:val="21"/>
                    </w:rPr>
                    <w:t>）</w:t>
                  </w:r>
                </w:p>
              </w:tc>
              <w:tc>
                <w:tcPr>
                  <w:tcW w:w="3424" w:type="dxa"/>
                </w:tcPr>
                <w:p w14:paraId="4C8B5C10">
                  <w:pPr>
                    <w:jc w:val="center"/>
                    <w:rPr>
                      <w:szCs w:val="21"/>
                    </w:rPr>
                  </w:pPr>
                  <w:r>
                    <w:rPr>
                      <w:rFonts w:hint="eastAsia"/>
                      <w:szCs w:val="21"/>
                    </w:rPr>
                    <w:t>无色透明液体，p</w:t>
                  </w:r>
                  <w:r>
                    <w:rPr>
                      <w:szCs w:val="21"/>
                    </w:rPr>
                    <w:t>H=2~4</w:t>
                  </w:r>
                  <w:r>
                    <w:rPr>
                      <w:rFonts w:hint="eastAsia"/>
                      <w:szCs w:val="21"/>
                    </w:rPr>
                    <w:t>，相对密度（水）0.95-1.15，批复接触</w:t>
                  </w:r>
                </w:p>
                <w:p w14:paraId="76C7AAFE">
                  <w:pPr>
                    <w:widowControl/>
                    <w:jc w:val="center"/>
                    <w:rPr>
                      <w:szCs w:val="21"/>
                    </w:rPr>
                  </w:pPr>
                  <w:r>
                    <w:rPr>
                      <w:szCs w:val="21"/>
                    </w:rPr>
                    <w:t>具刺激性，会引起红斑和疼痛。眼镜接触可能造成严重眼损伤，可引起永久性损坏。应避免</w:t>
                  </w:r>
                  <w:r>
                    <w:rPr>
                      <w:rFonts w:hint="eastAsia"/>
                      <w:szCs w:val="21"/>
                    </w:rPr>
                    <w:t>强氧化剂、强还原剂、无机过氧化物</w:t>
                  </w:r>
                  <w:r>
                    <w:rPr>
                      <w:szCs w:val="21"/>
                    </w:rPr>
                    <w:t>。储存于密封的原装容器中，置于通风良好的场所。存放于阴凉、干燥处。远离禁忌物保存。防止冰冻和日光照射。</w:t>
                  </w:r>
                </w:p>
              </w:tc>
            </w:tr>
            <w:tr w14:paraId="1B7D4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6EA37F3A">
                  <w:pPr>
                    <w:jc w:val="center"/>
                    <w:rPr>
                      <w:szCs w:val="21"/>
                    </w:rPr>
                  </w:pPr>
                  <w:r>
                    <w:rPr>
                      <w:rFonts w:hint="eastAsia"/>
                      <w:szCs w:val="21"/>
                    </w:rPr>
                    <w:t>润滑油</w:t>
                  </w:r>
                </w:p>
              </w:tc>
              <w:tc>
                <w:tcPr>
                  <w:tcW w:w="2977" w:type="dxa"/>
                  <w:shd w:val="clear" w:color="auto" w:fill="auto"/>
                  <w:noWrap/>
                  <w:vAlign w:val="center"/>
                </w:tcPr>
                <w:p w14:paraId="6933F2BD">
                  <w:pPr>
                    <w:jc w:val="center"/>
                    <w:rPr>
                      <w:szCs w:val="21"/>
                    </w:rPr>
                  </w:pPr>
                  <w:r>
                    <w:rPr>
                      <w:rFonts w:hint="eastAsia"/>
                      <w:szCs w:val="21"/>
                    </w:rPr>
                    <w:t>矿物油类</w:t>
                  </w:r>
                </w:p>
              </w:tc>
              <w:tc>
                <w:tcPr>
                  <w:tcW w:w="3424" w:type="dxa"/>
                  <w:vAlign w:val="center"/>
                </w:tcPr>
                <w:p w14:paraId="37018E41">
                  <w:pPr>
                    <w:jc w:val="center"/>
                    <w:rPr>
                      <w:szCs w:val="21"/>
                    </w:rPr>
                  </w:pPr>
                  <w:r>
                    <w:rPr>
                      <w:rFonts w:hint="eastAsia"/>
                      <w:szCs w:val="21"/>
                    </w:rPr>
                    <w:t>油状液体，淡黄色至褐色,无气味或略带异味。可燃，具刺激性，闪点76℃，引燃温度248℃，不溶于水，溶于无水乙醇、苯、氯仿、油类等多数有机溶剂。急性吸入，可出现乏力、头晕、头痛、恶心，严重者可引起油脂性肺炎。慢接触者，暴露部位可发生油性痤疮和接触性皮炎。可引起神经衰弱综合征，呼吸道和眼刺激症状及慢性油脂性肺炎。</w:t>
                  </w:r>
                </w:p>
              </w:tc>
            </w:tr>
            <w:tr w14:paraId="4815F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399C30E7">
                  <w:pPr>
                    <w:jc w:val="center"/>
                    <w:rPr>
                      <w:szCs w:val="21"/>
                    </w:rPr>
                  </w:pPr>
                  <w:r>
                    <w:rPr>
                      <w:rFonts w:hint="eastAsia"/>
                      <w:szCs w:val="21"/>
                    </w:rPr>
                    <w:t>乙炔</w:t>
                  </w:r>
                </w:p>
              </w:tc>
              <w:tc>
                <w:tcPr>
                  <w:tcW w:w="2977" w:type="dxa"/>
                  <w:shd w:val="clear" w:color="auto" w:fill="auto"/>
                  <w:noWrap/>
                  <w:vAlign w:val="center"/>
                </w:tcPr>
                <w:p w14:paraId="40988751">
                  <w:pPr>
                    <w:adjustRightInd w:val="0"/>
                    <w:snapToGrid w:val="0"/>
                    <w:jc w:val="center"/>
                    <w:rPr>
                      <w:bCs/>
                      <w:szCs w:val="21"/>
                    </w:rPr>
                  </w:pPr>
                  <w:r>
                    <w:rPr>
                      <w:bCs/>
                      <w:szCs w:val="21"/>
                    </w:rPr>
                    <w:t>C</w:t>
                  </w:r>
                  <w:r>
                    <w:rPr>
                      <w:bCs/>
                      <w:szCs w:val="21"/>
                      <w:vertAlign w:val="subscript"/>
                    </w:rPr>
                    <w:t>2</w:t>
                  </w:r>
                  <w:r>
                    <w:rPr>
                      <w:bCs/>
                      <w:szCs w:val="21"/>
                    </w:rPr>
                    <w:t>H</w:t>
                  </w:r>
                  <w:r>
                    <w:rPr>
                      <w:bCs/>
                      <w:szCs w:val="21"/>
                      <w:vertAlign w:val="subscript"/>
                    </w:rPr>
                    <w:t>2</w:t>
                  </w:r>
                </w:p>
              </w:tc>
              <w:tc>
                <w:tcPr>
                  <w:tcW w:w="3424" w:type="dxa"/>
                  <w:vAlign w:val="center"/>
                </w:tcPr>
                <w:p w14:paraId="061470D8">
                  <w:pPr>
                    <w:adjustRightInd w:val="0"/>
                    <w:snapToGrid w:val="0"/>
                    <w:jc w:val="center"/>
                    <w:rPr>
                      <w:bCs/>
                      <w:szCs w:val="21"/>
                    </w:rPr>
                  </w:pPr>
                  <w:r>
                    <w:rPr>
                      <w:rFonts w:hint="eastAsia"/>
                      <w:bCs/>
                      <w:szCs w:val="21"/>
                    </w:rPr>
                    <w:t>又名电石气，无色无臭气体，极易燃烧爆炸。与空气混合能形成爆炸性混合物，遇明火、高热能引起燃烧爆炸。与氧化剂接触猛烈反应。爆炸极限</w:t>
                  </w:r>
                  <w:r>
                    <w:rPr>
                      <w:bCs/>
                      <w:szCs w:val="21"/>
                    </w:rPr>
                    <w:t>2.1%~80%</w:t>
                  </w:r>
                  <w:r>
                    <w:rPr>
                      <w:rFonts w:hint="eastAsia"/>
                      <w:bCs/>
                      <w:szCs w:val="21"/>
                    </w:rPr>
                    <w:t>。具有弱麻醉作用。高浓度吸入可引起单纯窒息。暴露于</w:t>
                  </w:r>
                  <w:r>
                    <w:rPr>
                      <w:bCs/>
                      <w:szCs w:val="21"/>
                    </w:rPr>
                    <w:t>20</w:t>
                  </w:r>
                  <w:r>
                    <w:rPr>
                      <w:rFonts w:hint="eastAsia"/>
                      <w:bCs/>
                      <w:szCs w:val="21"/>
                    </w:rPr>
                    <w:t>％浓度时，出现明显缺氧症状；吸入高浓度，初期兴奋、多语、哭笑不安，后出现眩晕、头痛、恶心、呕吐、共济失调、嗜睡；严重者昏迷、紫绀、瞳孔对光反应消失、脉弱而不齐。</w:t>
                  </w:r>
                </w:p>
                <w:p w14:paraId="5BAAA6D6">
                  <w:pPr>
                    <w:jc w:val="center"/>
                    <w:rPr>
                      <w:szCs w:val="21"/>
                    </w:rPr>
                  </w:pPr>
                </w:p>
              </w:tc>
            </w:tr>
            <w:tr w14:paraId="198D1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2" w:type="dxa"/>
                  <w:tcBorders>
                    <w:left w:val="single" w:color="auto" w:sz="4" w:space="0"/>
                  </w:tcBorders>
                  <w:shd w:val="clear" w:color="auto" w:fill="auto"/>
                  <w:vAlign w:val="center"/>
                </w:tcPr>
                <w:p w14:paraId="36C4F8A2">
                  <w:pPr>
                    <w:jc w:val="center"/>
                    <w:rPr>
                      <w:szCs w:val="21"/>
                    </w:rPr>
                  </w:pPr>
                  <w:r>
                    <w:rPr>
                      <w:rFonts w:hint="eastAsia"/>
                      <w:szCs w:val="21"/>
                    </w:rPr>
                    <w:t>氧气</w:t>
                  </w:r>
                </w:p>
              </w:tc>
              <w:tc>
                <w:tcPr>
                  <w:tcW w:w="2977" w:type="dxa"/>
                  <w:shd w:val="clear" w:color="auto" w:fill="auto"/>
                  <w:noWrap/>
                  <w:vAlign w:val="center"/>
                </w:tcPr>
                <w:p w14:paraId="07CD992A">
                  <w:pPr>
                    <w:adjustRightInd w:val="0"/>
                    <w:snapToGrid w:val="0"/>
                    <w:jc w:val="center"/>
                    <w:rPr>
                      <w:bCs/>
                      <w:szCs w:val="21"/>
                    </w:rPr>
                  </w:pPr>
                  <w:r>
                    <w:rPr>
                      <w:szCs w:val="21"/>
                    </w:rPr>
                    <w:t>O</w:t>
                  </w:r>
                  <w:r>
                    <w:rPr>
                      <w:szCs w:val="21"/>
                      <w:vertAlign w:val="subscript"/>
                    </w:rPr>
                    <w:t>2</w:t>
                  </w:r>
                </w:p>
              </w:tc>
              <w:tc>
                <w:tcPr>
                  <w:tcW w:w="3424" w:type="dxa"/>
                  <w:vAlign w:val="center"/>
                </w:tcPr>
                <w:p w14:paraId="4CEADE03">
                  <w:pPr>
                    <w:adjustRightInd w:val="0"/>
                    <w:snapToGrid w:val="0"/>
                    <w:jc w:val="center"/>
                    <w:rPr>
                      <w:szCs w:val="21"/>
                    </w:rPr>
                  </w:pPr>
                  <w:r>
                    <w:rPr>
                      <w:rFonts w:hint="eastAsia"/>
                      <w:bCs/>
                      <w:szCs w:val="21"/>
                    </w:rPr>
                    <w:t>无色无臭气体，相对密度</w:t>
                  </w:r>
                  <w:r>
                    <w:rPr>
                      <w:bCs/>
                      <w:szCs w:val="21"/>
                    </w:rPr>
                    <w:t>1.43(</w:t>
                  </w:r>
                  <w:r>
                    <w:rPr>
                      <w:rFonts w:hint="eastAsia"/>
                      <w:bCs/>
                      <w:szCs w:val="21"/>
                    </w:rPr>
                    <w:t>空气</w:t>
                  </w:r>
                  <w:r>
                    <w:rPr>
                      <w:bCs/>
                      <w:szCs w:val="21"/>
                    </w:rPr>
                    <w:t>=1)</w:t>
                  </w:r>
                  <w:r>
                    <w:rPr>
                      <w:rFonts w:hint="eastAsia"/>
                      <w:bCs/>
                      <w:szCs w:val="21"/>
                    </w:rPr>
                    <w:t>，沸点：</w:t>
                  </w:r>
                  <w:r>
                    <w:rPr>
                      <w:bCs/>
                      <w:szCs w:val="21"/>
                    </w:rPr>
                    <w:t>183.1℃</w:t>
                  </w:r>
                  <w:r>
                    <w:rPr>
                      <w:rFonts w:hint="eastAsia"/>
                      <w:bCs/>
                      <w:szCs w:val="21"/>
                    </w:rPr>
                    <w:t>，临界温度：</w:t>
                  </w:r>
                  <w:r>
                    <w:rPr>
                      <w:bCs/>
                      <w:szCs w:val="21"/>
                    </w:rPr>
                    <w:t>-118.4℃</w:t>
                  </w:r>
                  <w:r>
                    <w:rPr>
                      <w:rFonts w:hint="eastAsia"/>
                      <w:bCs/>
                      <w:szCs w:val="21"/>
                    </w:rPr>
                    <w:t>，熔点：</w:t>
                  </w:r>
                  <w:r>
                    <w:rPr>
                      <w:bCs/>
                      <w:szCs w:val="21"/>
                    </w:rPr>
                    <w:t>-218.8℃</w:t>
                  </w:r>
                  <w:r>
                    <w:rPr>
                      <w:rFonts w:hint="eastAsia"/>
                      <w:bCs/>
                      <w:szCs w:val="21"/>
                    </w:rPr>
                    <w:t>，溶于水、乙醇。助燃。常压下，当氧的浓度超过</w:t>
                  </w:r>
                  <w:r>
                    <w:rPr>
                      <w:bCs/>
                      <w:szCs w:val="21"/>
                    </w:rPr>
                    <w:t>40</w:t>
                  </w:r>
                  <w:r>
                    <w:rPr>
                      <w:rFonts w:hint="eastAsia"/>
                      <w:bCs/>
                      <w:szCs w:val="21"/>
                    </w:rPr>
                    <w:t>％时，有可能发生氧中毒。吸入</w:t>
                  </w:r>
                  <w:r>
                    <w:rPr>
                      <w:bCs/>
                      <w:szCs w:val="21"/>
                    </w:rPr>
                    <w:t>40</w:t>
                  </w:r>
                  <w:r>
                    <w:rPr>
                      <w:rFonts w:hint="eastAsia"/>
                      <w:bCs/>
                      <w:szCs w:val="21"/>
                    </w:rPr>
                    <w:t>％～</w:t>
                  </w:r>
                  <w:r>
                    <w:rPr>
                      <w:bCs/>
                      <w:szCs w:val="21"/>
                    </w:rPr>
                    <w:t>60</w:t>
                  </w:r>
                  <w:r>
                    <w:rPr>
                      <w:rFonts w:hint="eastAsia"/>
                      <w:bCs/>
                      <w:szCs w:val="21"/>
                    </w:rPr>
                    <w:t>％的氧时，出现胸骨后不适感、轻咳，进而胸闷、胸骨后烧灼感和呼吸困难，咳嗽加剧；严重时可发生肺水肿，甚至出现呼吸窘迫综合征。吸入氧浓度在</w:t>
                  </w:r>
                  <w:r>
                    <w:rPr>
                      <w:bCs/>
                      <w:szCs w:val="21"/>
                    </w:rPr>
                    <w:t>80</w:t>
                  </w:r>
                  <w:r>
                    <w:rPr>
                      <w:rFonts w:hint="eastAsia"/>
                      <w:bCs/>
                      <w:szCs w:val="21"/>
                    </w:rPr>
                    <w:t>％以上时，出现面部肌肉抽动、面色苍白、眩晕、心动过速、虚脱，继而全身强直性抽搐、昏迷、呼吸衰竭而死亡。长期处于氧分压为</w:t>
                  </w:r>
                  <w:r>
                    <w:rPr>
                      <w:bCs/>
                      <w:szCs w:val="21"/>
                    </w:rPr>
                    <w:t>60</w:t>
                  </w:r>
                  <w:r>
                    <w:rPr>
                      <w:rFonts w:hint="eastAsia"/>
                      <w:bCs/>
                      <w:szCs w:val="21"/>
                    </w:rPr>
                    <w:t>～</w:t>
                  </w:r>
                  <w:r>
                    <w:rPr>
                      <w:bCs/>
                      <w:szCs w:val="21"/>
                    </w:rPr>
                    <w:t>100kPa(</w:t>
                  </w:r>
                  <w:r>
                    <w:rPr>
                      <w:rFonts w:hint="eastAsia"/>
                      <w:bCs/>
                      <w:szCs w:val="21"/>
                    </w:rPr>
                    <w:t>相当于吸入氧浓度</w:t>
                  </w:r>
                  <w:r>
                    <w:rPr>
                      <w:bCs/>
                      <w:szCs w:val="21"/>
                    </w:rPr>
                    <w:t>40</w:t>
                  </w:r>
                  <w:r>
                    <w:rPr>
                      <w:rFonts w:hint="eastAsia"/>
                      <w:bCs/>
                      <w:szCs w:val="21"/>
                    </w:rPr>
                    <w:t>％左右</w:t>
                  </w:r>
                  <w:r>
                    <w:rPr>
                      <w:bCs/>
                      <w:szCs w:val="21"/>
                    </w:rPr>
                    <w:t>)</w:t>
                  </w:r>
                  <w:r>
                    <w:rPr>
                      <w:rFonts w:hint="eastAsia"/>
                      <w:bCs/>
                      <w:szCs w:val="21"/>
                    </w:rPr>
                    <w:t>的条件下可发生眼损害，严重者可失明。</w:t>
                  </w:r>
                </w:p>
              </w:tc>
            </w:tr>
          </w:tbl>
          <w:p w14:paraId="7CC42865">
            <w:pPr>
              <w:adjustRightInd w:val="0"/>
              <w:snapToGrid w:val="0"/>
              <w:spacing w:line="360" w:lineRule="auto"/>
              <w:jc w:val="left"/>
              <w:rPr>
                <w:b/>
                <w:bCs/>
                <w:sz w:val="24"/>
              </w:rPr>
            </w:pPr>
            <w:r>
              <w:rPr>
                <w:rFonts w:hint="eastAsia"/>
                <w:b/>
                <w:bCs/>
                <w:sz w:val="24"/>
              </w:rPr>
              <w:t>7、</w:t>
            </w:r>
            <w:r>
              <w:rPr>
                <w:rFonts w:hint="eastAsia"/>
                <w:b/>
                <w:sz w:val="24"/>
              </w:rPr>
              <w:t>水平衡</w:t>
            </w:r>
          </w:p>
          <w:p w14:paraId="196DAA82">
            <w:pPr>
              <w:spacing w:line="360" w:lineRule="auto"/>
              <w:ind w:firstLine="482" w:firstLineChars="200"/>
              <w:rPr>
                <w:b/>
                <w:bCs/>
                <w:sz w:val="24"/>
              </w:rPr>
            </w:pPr>
            <w:r>
              <w:rPr>
                <w:b/>
                <w:bCs/>
                <w:sz w:val="24"/>
              </w:rPr>
              <w:t>（1）给水</w:t>
            </w:r>
          </w:p>
          <w:p w14:paraId="2381B937">
            <w:pPr>
              <w:spacing w:line="360" w:lineRule="auto"/>
              <w:ind w:firstLine="480" w:firstLineChars="200"/>
              <w:rPr>
                <w:sz w:val="24"/>
              </w:rPr>
            </w:pPr>
            <w:r>
              <w:rPr>
                <w:sz w:val="24"/>
              </w:rPr>
              <w:t>本项目用水依托</w:t>
            </w:r>
            <w:r>
              <w:rPr>
                <w:rFonts w:hint="eastAsia"/>
                <w:sz w:val="24"/>
              </w:rPr>
              <w:t>园区内现有供水管网，厂区内给水管线全部新建</w:t>
            </w:r>
            <w:r>
              <w:rPr>
                <w:sz w:val="24"/>
              </w:rPr>
              <w:t>。</w:t>
            </w:r>
            <w:r>
              <w:rPr>
                <w:rFonts w:hint="eastAsia"/>
                <w:sz w:val="24"/>
              </w:rPr>
              <w:t>项目用水主要为压铸工序用水、机加工序用水、浸渗工序用水、清洗工序用水、模具清洗用水、地坪保洁用水、循环冷却系统补水、生活用水、绿化用水等。</w:t>
            </w:r>
          </w:p>
          <w:p w14:paraId="345C03C7">
            <w:pPr>
              <w:spacing w:line="360" w:lineRule="auto"/>
              <w:ind w:firstLine="480" w:firstLineChars="200"/>
              <w:rPr>
                <w:sz w:val="24"/>
              </w:rPr>
            </w:pPr>
            <w:r>
              <w:rPr>
                <w:rFonts w:hint="eastAsia"/>
                <w:sz w:val="24"/>
              </w:rPr>
              <w:t>（1）压铸工序用水</w:t>
            </w:r>
          </w:p>
          <w:p w14:paraId="75915301">
            <w:pPr>
              <w:spacing w:line="360" w:lineRule="auto"/>
              <w:ind w:firstLine="480" w:firstLineChars="200"/>
              <w:rPr>
                <w:sz w:val="24"/>
              </w:rPr>
            </w:pPr>
            <w:r>
              <w:rPr>
                <w:sz w:val="24"/>
              </w:rPr>
              <w:t>项目压铸工序用水</w:t>
            </w:r>
            <w:r>
              <w:rPr>
                <w:rFonts w:hint="eastAsia"/>
                <w:sz w:val="24"/>
              </w:rPr>
              <w:t>主要</w:t>
            </w:r>
            <w:r>
              <w:rPr>
                <w:sz w:val="24"/>
              </w:rPr>
              <w:t>为脱模剂调配用水</w:t>
            </w:r>
            <w:r>
              <w:rPr>
                <w:rFonts w:hint="eastAsia"/>
                <w:sz w:val="24"/>
              </w:rPr>
              <w:t>，根据业主提供资料，脱模剂使用时按1（脱模剂）：120（新鲜水）配比，项目拟建设12台压铸机，单台压铸机每压铸1次约为1min，则单台压铸机总压铸次数约为1440次/d，项目压铸机均为24h连续工作，年工作时间330d，压铸过程采用喷雾机器人自动喷涂脱模剂，单次喷涂脱模剂用水量为</w:t>
            </w:r>
            <w:r>
              <w:rPr>
                <w:rFonts w:eastAsia="等线"/>
                <w:sz w:val="24"/>
              </w:rPr>
              <w:t>0.9L</w:t>
            </w:r>
            <w:r>
              <w:rPr>
                <w:rFonts w:hint="eastAsia"/>
                <w:kern w:val="0"/>
                <w:sz w:val="24"/>
              </w:rPr>
              <w:t>，此部分水5</w:t>
            </w:r>
            <w:r>
              <w:rPr>
                <w:kern w:val="0"/>
                <w:sz w:val="24"/>
              </w:rPr>
              <w:t>0</w:t>
            </w:r>
            <w:r>
              <w:rPr>
                <w:rFonts w:hint="eastAsia"/>
                <w:kern w:val="0"/>
                <w:sz w:val="24"/>
              </w:rPr>
              <w:t>%</w:t>
            </w:r>
            <w:r>
              <w:rPr>
                <w:kern w:val="0"/>
                <w:sz w:val="24"/>
              </w:rPr>
              <w:t>受热损耗</w:t>
            </w:r>
            <w:r>
              <w:rPr>
                <w:rFonts w:hint="eastAsia"/>
                <w:kern w:val="0"/>
                <w:sz w:val="24"/>
              </w:rPr>
              <w:t>，</w:t>
            </w:r>
            <w:r>
              <w:rPr>
                <w:kern w:val="0"/>
                <w:sz w:val="24"/>
              </w:rPr>
              <w:t>剩余水进入脱模剂回收槽回收后循环使用</w:t>
            </w:r>
            <w:r>
              <w:rPr>
                <w:rFonts w:hint="eastAsia"/>
                <w:kern w:val="0"/>
                <w:sz w:val="24"/>
              </w:rPr>
              <w:t>。</w:t>
            </w:r>
            <w:r>
              <w:rPr>
                <w:rFonts w:hint="eastAsia"/>
                <w:sz w:val="24"/>
              </w:rPr>
              <w:t>压铸工序</w:t>
            </w:r>
            <w:r>
              <w:rPr>
                <w:rFonts w:hint="eastAsia"/>
                <w:kern w:val="0"/>
                <w:sz w:val="24"/>
              </w:rPr>
              <w:t>新鲜水用量为</w:t>
            </w:r>
            <w:r>
              <w:rPr>
                <w:kern w:val="0"/>
                <w:sz w:val="24"/>
              </w:rPr>
              <w:t>7.78m</w:t>
            </w:r>
            <w:r>
              <w:rPr>
                <w:kern w:val="0"/>
                <w:sz w:val="24"/>
                <w:vertAlign w:val="superscript"/>
              </w:rPr>
              <w:t>3</w:t>
            </w:r>
            <w:r>
              <w:rPr>
                <w:kern w:val="0"/>
                <w:sz w:val="24"/>
              </w:rPr>
              <w:t>/</w:t>
            </w:r>
            <w:r>
              <w:rPr>
                <w:rFonts w:hint="eastAsia"/>
                <w:kern w:val="0"/>
                <w:sz w:val="24"/>
              </w:rPr>
              <w:t>d。</w:t>
            </w:r>
            <w:r>
              <w:rPr>
                <w:rFonts w:hint="eastAsia"/>
                <w:sz w:val="24"/>
              </w:rPr>
              <w:t>脱模剂每年配置并更换一次，更换过程产生的废脱模剂作为危险废物委托有资质的单位处置，不进入排水系统。</w:t>
            </w:r>
          </w:p>
          <w:p w14:paraId="291106F0">
            <w:pPr>
              <w:spacing w:line="360" w:lineRule="auto"/>
              <w:ind w:firstLine="480" w:firstLineChars="200"/>
              <w:rPr>
                <w:sz w:val="24"/>
              </w:rPr>
            </w:pPr>
            <w:r>
              <w:rPr>
                <w:rFonts w:hint="eastAsia"/>
                <w:sz w:val="24"/>
              </w:rPr>
              <w:t>（</w:t>
            </w:r>
            <w:r>
              <w:rPr>
                <w:sz w:val="24"/>
              </w:rPr>
              <w:t>2</w:t>
            </w:r>
            <w:r>
              <w:rPr>
                <w:rFonts w:hint="eastAsia"/>
                <w:sz w:val="24"/>
              </w:rPr>
              <w:t>）机加工序用水</w:t>
            </w:r>
          </w:p>
          <w:p w14:paraId="4F06D09A">
            <w:pPr>
              <w:spacing w:line="360" w:lineRule="auto"/>
              <w:ind w:firstLine="480" w:firstLineChars="200"/>
              <w:rPr>
                <w:sz w:val="24"/>
              </w:rPr>
            </w:pPr>
            <w:r>
              <w:rPr>
                <w:rFonts w:hint="eastAsia"/>
                <w:sz w:val="24"/>
              </w:rPr>
              <w:t>项目机加工序用水包含切削液调配用水、切削液补充用水及工件清洗用水两部分。</w:t>
            </w:r>
          </w:p>
          <w:p w14:paraId="2C9477CB">
            <w:pPr>
              <w:spacing w:line="360" w:lineRule="auto"/>
              <w:ind w:firstLine="480" w:firstLineChars="200"/>
              <w:rPr>
                <w:sz w:val="24"/>
              </w:rPr>
            </w:pPr>
            <w:r>
              <w:rPr>
                <w:rFonts w:hint="eastAsia"/>
                <w:sz w:val="24"/>
              </w:rPr>
              <w:t>机加工用水：根据业主单位资料，机加工过程切削液按1（切削液）：</w:t>
            </w:r>
            <w:r>
              <w:rPr>
                <w:sz w:val="24"/>
              </w:rPr>
              <w:t>5</w:t>
            </w:r>
            <w:r>
              <w:rPr>
                <w:rFonts w:hint="eastAsia"/>
                <w:sz w:val="24"/>
              </w:rPr>
              <w:t>（新鲜水）进行配比，每台机加工设备耗水量为</w:t>
            </w:r>
            <w:r>
              <w:rPr>
                <w:sz w:val="24"/>
              </w:rPr>
              <w:t>0.2</w:t>
            </w:r>
            <w:r>
              <w:rPr>
                <w:kern w:val="0"/>
                <w:sz w:val="24"/>
              </w:rPr>
              <w:t>m</w:t>
            </w:r>
            <w:r>
              <w:rPr>
                <w:kern w:val="0"/>
                <w:sz w:val="24"/>
                <w:vertAlign w:val="superscript"/>
              </w:rPr>
              <w:t>3</w:t>
            </w:r>
            <w:r>
              <w:rPr>
                <w:sz w:val="24"/>
              </w:rPr>
              <w:t>/d</w:t>
            </w:r>
            <w:r>
              <w:rPr>
                <w:rFonts w:hint="eastAsia"/>
                <w:sz w:val="24"/>
              </w:rPr>
              <w:t>，此部分水约1</w:t>
            </w:r>
            <w:r>
              <w:rPr>
                <w:sz w:val="24"/>
              </w:rPr>
              <w:t>0</w:t>
            </w:r>
            <w:r>
              <w:rPr>
                <w:rFonts w:hint="eastAsia"/>
                <w:sz w:val="24"/>
              </w:rPr>
              <w:t>%</w:t>
            </w:r>
            <w:r>
              <w:rPr>
                <w:sz w:val="24"/>
              </w:rPr>
              <w:t>损耗</w:t>
            </w:r>
            <w:r>
              <w:rPr>
                <w:rFonts w:hint="eastAsia"/>
                <w:sz w:val="24"/>
              </w:rPr>
              <w:t>，</w:t>
            </w:r>
            <w:r>
              <w:rPr>
                <w:sz w:val="24"/>
              </w:rPr>
              <w:t>剩余</w:t>
            </w:r>
            <w:r>
              <w:rPr>
                <w:rFonts w:hint="eastAsia"/>
                <w:sz w:val="24"/>
              </w:rPr>
              <w:t>9</w:t>
            </w:r>
            <w:r>
              <w:rPr>
                <w:sz w:val="24"/>
              </w:rPr>
              <w:t>0</w:t>
            </w:r>
            <w:r>
              <w:rPr>
                <w:rFonts w:hint="eastAsia"/>
                <w:sz w:val="24"/>
              </w:rPr>
              <w:t>%</w:t>
            </w:r>
            <w:r>
              <w:rPr>
                <w:sz w:val="24"/>
              </w:rPr>
              <w:t>循环使用</w:t>
            </w:r>
            <w:r>
              <w:rPr>
                <w:rFonts w:hint="eastAsia"/>
                <w:sz w:val="24"/>
              </w:rPr>
              <w:t>，定期补充。项目共建设1</w:t>
            </w:r>
            <w:r>
              <w:rPr>
                <w:sz w:val="24"/>
              </w:rPr>
              <w:t>40台机加工设备</w:t>
            </w:r>
            <w:r>
              <w:rPr>
                <w:rFonts w:hint="eastAsia"/>
                <w:sz w:val="24"/>
              </w:rPr>
              <w:t>，</w:t>
            </w:r>
            <w:r>
              <w:rPr>
                <w:sz w:val="24"/>
              </w:rPr>
              <w:t>则用水量为</w:t>
            </w:r>
            <w:r>
              <w:rPr>
                <w:rFonts w:hint="eastAsia"/>
                <w:sz w:val="24"/>
              </w:rPr>
              <w:t>2</w:t>
            </w:r>
            <w:r>
              <w:rPr>
                <w:sz w:val="24"/>
              </w:rPr>
              <w:t>8m</w:t>
            </w:r>
            <w:r>
              <w:rPr>
                <w:sz w:val="24"/>
                <w:vertAlign w:val="superscript"/>
              </w:rPr>
              <w:t>3</w:t>
            </w:r>
            <w:r>
              <w:rPr>
                <w:sz w:val="24"/>
              </w:rPr>
              <w:t>/d</w:t>
            </w:r>
            <w:r>
              <w:rPr>
                <w:rFonts w:hint="eastAsia"/>
                <w:sz w:val="24"/>
              </w:rPr>
              <w:t>，</w:t>
            </w:r>
            <w:r>
              <w:rPr>
                <w:sz w:val="24"/>
              </w:rPr>
              <w:t>损耗量为</w:t>
            </w:r>
            <w:r>
              <w:rPr>
                <w:rFonts w:hint="eastAsia"/>
                <w:sz w:val="24"/>
              </w:rPr>
              <w:t>2</w:t>
            </w:r>
            <w:r>
              <w:rPr>
                <w:sz w:val="24"/>
              </w:rPr>
              <w:t>.8</w:t>
            </w:r>
            <w:r>
              <w:rPr>
                <w:kern w:val="0"/>
                <w:sz w:val="24"/>
              </w:rPr>
              <w:t>m</w:t>
            </w:r>
            <w:r>
              <w:rPr>
                <w:kern w:val="0"/>
                <w:sz w:val="24"/>
                <w:vertAlign w:val="superscript"/>
              </w:rPr>
              <w:t>3</w:t>
            </w:r>
            <w:r>
              <w:rPr>
                <w:sz w:val="24"/>
              </w:rPr>
              <w:t>/d</w:t>
            </w:r>
            <w:r>
              <w:rPr>
                <w:rFonts w:hint="eastAsia"/>
                <w:sz w:val="24"/>
              </w:rPr>
              <w:t>，循环使用量为</w:t>
            </w:r>
            <w:r>
              <w:rPr>
                <w:sz w:val="24"/>
              </w:rPr>
              <w:t>25.2</w:t>
            </w:r>
            <w:r>
              <w:rPr>
                <w:kern w:val="0"/>
                <w:sz w:val="24"/>
              </w:rPr>
              <w:t>m</w:t>
            </w:r>
            <w:r>
              <w:rPr>
                <w:kern w:val="0"/>
                <w:sz w:val="24"/>
                <w:vertAlign w:val="superscript"/>
              </w:rPr>
              <w:t>3</w:t>
            </w:r>
            <w:r>
              <w:rPr>
                <w:sz w:val="24"/>
              </w:rPr>
              <w:t>/d</w:t>
            </w:r>
            <w:r>
              <w:rPr>
                <w:rFonts w:hint="eastAsia"/>
                <w:sz w:val="24"/>
              </w:rPr>
              <w:t>。切削液每半年配置并更换一次，更换过程产生的废切削液作为危险废物委托有资质的单位处置，不进入排水系统。</w:t>
            </w:r>
          </w:p>
          <w:p w14:paraId="34C1B16C">
            <w:pPr>
              <w:spacing w:line="360" w:lineRule="auto"/>
              <w:ind w:firstLine="480" w:firstLineChars="200"/>
              <w:rPr>
                <w:sz w:val="24"/>
              </w:rPr>
            </w:pPr>
            <w:r>
              <w:rPr>
                <w:rFonts w:hint="eastAsia"/>
                <w:sz w:val="24"/>
              </w:rPr>
              <w:t>机边清洗用水：项目工件经机加工后需进行机边清洗，清洗过程使用清水，根据现有工程生产情况，每台机加工设备配置30L水箱，清洗水循环使用，每班更换，则机边清洗用水量为12.60m</w:t>
            </w:r>
            <w:r>
              <w:rPr>
                <w:rFonts w:hint="eastAsia"/>
                <w:sz w:val="24"/>
                <w:vertAlign w:val="superscript"/>
              </w:rPr>
              <w:t>3</w:t>
            </w:r>
            <w:r>
              <w:rPr>
                <w:rFonts w:hint="eastAsia"/>
                <w:sz w:val="24"/>
              </w:rPr>
              <w:t>/d，产物系数取0.9，则机边清洗废水产生量为11.34m</w:t>
            </w:r>
            <w:r>
              <w:rPr>
                <w:rFonts w:hint="eastAsia"/>
                <w:sz w:val="24"/>
                <w:vertAlign w:val="superscript"/>
              </w:rPr>
              <w:t>3</w:t>
            </w:r>
            <w:r>
              <w:rPr>
                <w:rFonts w:hint="eastAsia"/>
                <w:sz w:val="24"/>
              </w:rPr>
              <w:t>/d。</w:t>
            </w:r>
          </w:p>
          <w:p w14:paraId="1AE5904D">
            <w:pPr>
              <w:spacing w:line="360" w:lineRule="auto"/>
              <w:ind w:firstLine="480" w:firstLineChars="200"/>
              <w:rPr>
                <w:sz w:val="24"/>
              </w:rPr>
            </w:pPr>
            <w:r>
              <w:rPr>
                <w:rFonts w:hint="eastAsia"/>
                <w:sz w:val="24"/>
              </w:rPr>
              <w:t>（3）浸渗工序用水</w:t>
            </w:r>
          </w:p>
          <w:p w14:paraId="7E3AC023">
            <w:pPr>
              <w:spacing w:line="360" w:lineRule="auto"/>
              <w:ind w:firstLine="480" w:firstLineChars="200"/>
              <w:rPr>
                <w:sz w:val="24"/>
              </w:rPr>
            </w:pPr>
            <w:r>
              <w:rPr>
                <w:rFonts w:hint="eastAsia"/>
                <w:sz w:val="24"/>
              </w:rPr>
              <w:t>项目建设两套浸渗系统，单套浸渗系统配置1个浸渗罐、1个甩胶罐、2个清洗罐和1个固化罐，单罐有效容积均为1.3m</w:t>
            </w:r>
            <w:r>
              <w:rPr>
                <w:rFonts w:hint="eastAsia"/>
                <w:sz w:val="24"/>
                <w:vertAlign w:val="superscript"/>
              </w:rPr>
              <w:t>3</w:t>
            </w:r>
            <w:r>
              <w:rPr>
                <w:rFonts w:hint="eastAsia"/>
                <w:sz w:val="24"/>
              </w:rPr>
              <w:t>。浸渗工序用水包括浸渗用水、清洗用水和固化用水。</w:t>
            </w:r>
          </w:p>
          <w:p w14:paraId="63D9857B">
            <w:pPr>
              <w:spacing w:line="360" w:lineRule="auto"/>
              <w:ind w:firstLine="480" w:firstLineChars="200"/>
              <w:rPr>
                <w:sz w:val="24"/>
              </w:rPr>
            </w:pPr>
            <w:r>
              <w:rPr>
                <w:sz w:val="24"/>
              </w:rPr>
              <w:t>浸渗用水</w:t>
            </w:r>
            <w:r>
              <w:rPr>
                <w:rFonts w:hint="eastAsia"/>
                <w:sz w:val="24"/>
              </w:rPr>
              <w:t>：单台浸渗设备</w:t>
            </w:r>
            <w:r>
              <w:rPr>
                <w:sz w:val="24"/>
              </w:rPr>
              <w:t>浸渗过程</w:t>
            </w:r>
            <w:r>
              <w:rPr>
                <w:rFonts w:hint="eastAsia"/>
                <w:sz w:val="24"/>
              </w:rPr>
              <w:t>初始用水量为1</w:t>
            </w:r>
            <w:r>
              <w:rPr>
                <w:sz w:val="24"/>
              </w:rPr>
              <w:t>.3</w:t>
            </w:r>
            <w:r>
              <w:rPr>
                <w:rFonts w:hint="eastAsia"/>
                <w:sz w:val="24"/>
              </w:rPr>
              <w:t>m</w:t>
            </w:r>
            <w:r>
              <w:rPr>
                <w:rFonts w:hint="eastAsia"/>
                <w:sz w:val="24"/>
                <w:vertAlign w:val="superscript"/>
              </w:rPr>
              <w:t>3</w:t>
            </w:r>
            <w:r>
              <w:rPr>
                <w:rFonts w:hint="eastAsia"/>
                <w:sz w:val="24"/>
              </w:rPr>
              <w:t>，浸渗过程日损耗量约为有效容积的</w:t>
            </w:r>
            <w:r>
              <w:rPr>
                <w:sz w:val="24"/>
              </w:rPr>
              <w:t>5</w:t>
            </w:r>
            <w:r>
              <w:rPr>
                <w:rFonts w:hint="eastAsia"/>
                <w:sz w:val="24"/>
              </w:rPr>
              <w:t>%（0</w:t>
            </w:r>
            <w:r>
              <w:rPr>
                <w:sz w:val="24"/>
              </w:rPr>
              <w:t>.06m</w:t>
            </w:r>
            <w:r>
              <w:rPr>
                <w:sz w:val="24"/>
                <w:vertAlign w:val="superscript"/>
              </w:rPr>
              <w:t>3</w:t>
            </w:r>
            <w:r>
              <w:rPr>
                <w:rFonts w:hint="eastAsia"/>
                <w:sz w:val="24"/>
              </w:rPr>
              <w:t>/d），损耗水每日补充（0</w:t>
            </w:r>
            <w:r>
              <w:rPr>
                <w:sz w:val="24"/>
              </w:rPr>
              <w:t>.06m</w:t>
            </w:r>
            <w:r>
              <w:rPr>
                <w:sz w:val="24"/>
                <w:vertAlign w:val="superscript"/>
              </w:rPr>
              <w:t>3</w:t>
            </w:r>
            <w:r>
              <w:rPr>
                <w:rFonts w:hint="eastAsia"/>
                <w:sz w:val="24"/>
              </w:rPr>
              <w:t>/d），剩余水循环使用，不排放。项目建设2套浸渗设备，则浸渗过程初始用水量为</w:t>
            </w:r>
            <w:r>
              <w:rPr>
                <w:sz w:val="24"/>
              </w:rPr>
              <w:t>2.6</w:t>
            </w:r>
            <w:r>
              <w:rPr>
                <w:rFonts w:hint="eastAsia"/>
                <w:sz w:val="24"/>
              </w:rPr>
              <w:t>m</w:t>
            </w:r>
            <w:r>
              <w:rPr>
                <w:rFonts w:hint="eastAsia"/>
                <w:sz w:val="24"/>
                <w:vertAlign w:val="superscript"/>
              </w:rPr>
              <w:t>3</w:t>
            </w:r>
            <w:r>
              <w:rPr>
                <w:rFonts w:hint="eastAsia"/>
                <w:sz w:val="24"/>
              </w:rPr>
              <w:t>，损耗量为0</w:t>
            </w:r>
            <w:r>
              <w:rPr>
                <w:sz w:val="24"/>
              </w:rPr>
              <w:t>.12m</w:t>
            </w:r>
            <w:r>
              <w:rPr>
                <w:sz w:val="24"/>
                <w:vertAlign w:val="superscript"/>
              </w:rPr>
              <w:t>3</w:t>
            </w:r>
            <w:r>
              <w:rPr>
                <w:rFonts w:hint="eastAsia"/>
                <w:sz w:val="24"/>
              </w:rPr>
              <w:t>/d，补水量为0</w:t>
            </w:r>
            <w:r>
              <w:rPr>
                <w:sz w:val="24"/>
              </w:rPr>
              <w:t>.12m</w:t>
            </w:r>
            <w:r>
              <w:rPr>
                <w:sz w:val="24"/>
                <w:vertAlign w:val="superscript"/>
              </w:rPr>
              <w:t>3</w:t>
            </w:r>
            <w:r>
              <w:rPr>
                <w:rFonts w:hint="eastAsia"/>
                <w:sz w:val="24"/>
              </w:rPr>
              <w:t>/d。</w:t>
            </w:r>
          </w:p>
          <w:p w14:paraId="1B54C548">
            <w:pPr>
              <w:spacing w:line="360" w:lineRule="auto"/>
              <w:ind w:firstLine="480" w:firstLineChars="200"/>
              <w:rPr>
                <w:sz w:val="24"/>
              </w:rPr>
            </w:pPr>
            <w:r>
              <w:rPr>
                <w:sz w:val="24"/>
              </w:rPr>
              <w:t>清洗用水</w:t>
            </w:r>
            <w:r>
              <w:rPr>
                <w:rFonts w:hint="eastAsia"/>
                <w:sz w:val="24"/>
              </w:rPr>
              <w:t>：单套浸渗设备清洗过程设置2个清洗罐，1#清洗罐和2#清洗罐有效容积均为1.3m</w:t>
            </w:r>
            <w:r>
              <w:rPr>
                <w:rFonts w:hint="eastAsia"/>
                <w:sz w:val="24"/>
                <w:vertAlign w:val="superscript"/>
              </w:rPr>
              <w:t>3</w:t>
            </w:r>
            <w:r>
              <w:rPr>
                <w:rFonts w:hint="eastAsia"/>
                <w:sz w:val="24"/>
              </w:rPr>
              <w:t>。清洗用水日损耗量均为有效容积的约</w:t>
            </w:r>
            <w:r>
              <w:rPr>
                <w:sz w:val="24"/>
              </w:rPr>
              <w:t>5</w:t>
            </w:r>
            <w:r>
              <w:rPr>
                <w:rFonts w:hint="eastAsia"/>
                <w:sz w:val="24"/>
              </w:rPr>
              <w:t>%（0</w:t>
            </w:r>
            <w:r>
              <w:rPr>
                <w:sz w:val="24"/>
              </w:rPr>
              <w:t>.06m</w:t>
            </w:r>
            <w:r>
              <w:rPr>
                <w:sz w:val="24"/>
                <w:vertAlign w:val="superscript"/>
              </w:rPr>
              <w:t>3</w:t>
            </w:r>
            <w:r>
              <w:rPr>
                <w:rFonts w:hint="eastAsia"/>
                <w:sz w:val="24"/>
              </w:rPr>
              <w:t>/d）。其中1#清洗罐损耗水量定期补充（0</w:t>
            </w:r>
            <w:r>
              <w:rPr>
                <w:sz w:val="24"/>
              </w:rPr>
              <w:t>.06m</w:t>
            </w:r>
            <w:r>
              <w:rPr>
                <w:sz w:val="24"/>
                <w:vertAlign w:val="superscript"/>
              </w:rPr>
              <w:t>3</w:t>
            </w:r>
            <w:r>
              <w:rPr>
                <w:rFonts w:hint="eastAsia"/>
                <w:sz w:val="24"/>
              </w:rPr>
              <w:t>/d），</w:t>
            </w:r>
            <w:r>
              <w:rPr>
                <w:sz w:val="24"/>
              </w:rPr>
              <w:t>剩余水循环使用</w:t>
            </w:r>
            <w:r>
              <w:rPr>
                <w:rFonts w:hint="eastAsia"/>
                <w:sz w:val="24"/>
              </w:rPr>
              <w:t>，</w:t>
            </w:r>
            <w:r>
              <w:rPr>
                <w:sz w:val="24"/>
              </w:rPr>
              <w:t>不排放</w:t>
            </w:r>
            <w:r>
              <w:rPr>
                <w:rFonts w:hint="eastAsia"/>
                <w:sz w:val="24"/>
              </w:rPr>
              <w:t>；2#清洗罐清洗用水每天更换。则清洗过程用水量为</w:t>
            </w:r>
            <w:r>
              <w:rPr>
                <w:sz w:val="24"/>
              </w:rPr>
              <w:t>2.72m</w:t>
            </w:r>
            <w:r>
              <w:rPr>
                <w:sz w:val="24"/>
                <w:vertAlign w:val="superscript"/>
              </w:rPr>
              <w:t>3</w:t>
            </w:r>
            <w:r>
              <w:rPr>
                <w:sz w:val="24"/>
              </w:rPr>
              <w:t>/d</w:t>
            </w:r>
            <w:r>
              <w:rPr>
                <w:rFonts w:hint="eastAsia"/>
                <w:sz w:val="24"/>
              </w:rPr>
              <w:t>，</w:t>
            </w:r>
            <w:r>
              <w:rPr>
                <w:sz w:val="24"/>
              </w:rPr>
              <w:t>排水量为2.48m</w:t>
            </w:r>
            <w:r>
              <w:rPr>
                <w:sz w:val="24"/>
                <w:vertAlign w:val="superscript"/>
              </w:rPr>
              <w:t>3</w:t>
            </w:r>
            <w:r>
              <w:rPr>
                <w:sz w:val="24"/>
              </w:rPr>
              <w:t>/d</w:t>
            </w:r>
            <w:r>
              <w:rPr>
                <w:rFonts w:hint="eastAsia"/>
                <w:sz w:val="24"/>
              </w:rPr>
              <w:t>。</w:t>
            </w:r>
          </w:p>
          <w:p w14:paraId="61797819">
            <w:pPr>
              <w:spacing w:line="360" w:lineRule="auto"/>
              <w:ind w:firstLine="480" w:firstLineChars="200"/>
              <w:rPr>
                <w:sz w:val="24"/>
              </w:rPr>
            </w:pPr>
            <w:r>
              <w:rPr>
                <w:rFonts w:hint="eastAsia"/>
                <w:sz w:val="24"/>
              </w:rPr>
              <w:t>固化</w:t>
            </w:r>
            <w:r>
              <w:rPr>
                <w:sz w:val="24"/>
              </w:rPr>
              <w:t>用水</w:t>
            </w:r>
            <w:r>
              <w:rPr>
                <w:rFonts w:hint="eastAsia"/>
                <w:sz w:val="24"/>
              </w:rPr>
              <w:t>：单套浸渗设备固化过程初始用水量为1</w:t>
            </w:r>
            <w:r>
              <w:rPr>
                <w:sz w:val="24"/>
              </w:rPr>
              <w:t>.3</w:t>
            </w:r>
            <w:r>
              <w:rPr>
                <w:rFonts w:hint="eastAsia"/>
                <w:sz w:val="24"/>
              </w:rPr>
              <w:t>m</w:t>
            </w:r>
            <w:r>
              <w:rPr>
                <w:rFonts w:hint="eastAsia"/>
                <w:sz w:val="24"/>
                <w:vertAlign w:val="superscript"/>
              </w:rPr>
              <w:t>3</w:t>
            </w:r>
            <w:r>
              <w:rPr>
                <w:rFonts w:hint="eastAsia"/>
                <w:sz w:val="24"/>
              </w:rPr>
              <w:t>，固化温度90℃，固化过程损耗量为有效容积的5%（0</w:t>
            </w:r>
            <w:r>
              <w:rPr>
                <w:sz w:val="24"/>
              </w:rPr>
              <w:t>.06m</w:t>
            </w:r>
            <w:r>
              <w:rPr>
                <w:sz w:val="24"/>
                <w:vertAlign w:val="superscript"/>
              </w:rPr>
              <w:t>3</w:t>
            </w:r>
            <w:r>
              <w:rPr>
                <w:rFonts w:hint="eastAsia"/>
                <w:sz w:val="24"/>
              </w:rPr>
              <w:t>/d），每天补充（0</w:t>
            </w:r>
            <w:r>
              <w:rPr>
                <w:sz w:val="24"/>
              </w:rPr>
              <w:t>.06m</w:t>
            </w:r>
            <w:r>
              <w:rPr>
                <w:sz w:val="24"/>
                <w:vertAlign w:val="superscript"/>
              </w:rPr>
              <w:t>3</w:t>
            </w:r>
            <w:r>
              <w:rPr>
                <w:sz w:val="24"/>
              </w:rPr>
              <w:t>/d</w:t>
            </w:r>
            <w:r>
              <w:rPr>
                <w:rFonts w:hint="eastAsia"/>
                <w:sz w:val="24"/>
              </w:rPr>
              <w:t>），固化废水每周（7d）排放1次。则固化过程用水量</w:t>
            </w:r>
            <w:r>
              <w:rPr>
                <w:sz w:val="24"/>
              </w:rPr>
              <w:t>3.32m</w:t>
            </w:r>
            <w:r>
              <w:rPr>
                <w:sz w:val="24"/>
                <w:vertAlign w:val="superscript"/>
              </w:rPr>
              <w:t>3</w:t>
            </w:r>
            <w:r>
              <w:rPr>
                <w:sz w:val="24"/>
              </w:rPr>
              <w:t>/</w:t>
            </w:r>
            <w:r>
              <w:rPr>
                <w:rFonts w:hint="eastAsia"/>
                <w:sz w:val="24"/>
              </w:rPr>
              <w:t>周（7d），</w:t>
            </w:r>
            <w:r>
              <w:rPr>
                <w:sz w:val="24"/>
              </w:rPr>
              <w:t>排水量为</w:t>
            </w:r>
            <w:r>
              <w:rPr>
                <w:rFonts w:hint="eastAsia"/>
                <w:sz w:val="24"/>
              </w:rPr>
              <w:t>2</w:t>
            </w:r>
            <w:r>
              <w:rPr>
                <w:sz w:val="24"/>
              </w:rPr>
              <w:t>.48m</w:t>
            </w:r>
            <w:r>
              <w:rPr>
                <w:sz w:val="24"/>
                <w:vertAlign w:val="superscript"/>
              </w:rPr>
              <w:t>3</w:t>
            </w:r>
            <w:r>
              <w:rPr>
                <w:sz w:val="24"/>
              </w:rPr>
              <w:t>/</w:t>
            </w:r>
            <w:r>
              <w:rPr>
                <w:rFonts w:hint="eastAsia"/>
                <w:sz w:val="24"/>
              </w:rPr>
              <w:t>周（7d），</w:t>
            </w:r>
            <w:r>
              <w:rPr>
                <w:sz w:val="24"/>
              </w:rPr>
              <w:t>最大用水量为</w:t>
            </w:r>
            <w:r>
              <w:rPr>
                <w:rFonts w:hint="eastAsia"/>
                <w:sz w:val="24"/>
              </w:rPr>
              <w:t>2</w:t>
            </w:r>
            <w:r>
              <w:rPr>
                <w:sz w:val="24"/>
              </w:rPr>
              <w:t>.6m</w:t>
            </w:r>
            <w:r>
              <w:rPr>
                <w:sz w:val="24"/>
                <w:vertAlign w:val="superscript"/>
              </w:rPr>
              <w:t>3</w:t>
            </w:r>
            <w:r>
              <w:rPr>
                <w:sz w:val="24"/>
              </w:rPr>
              <w:t>/d</w:t>
            </w:r>
            <w:r>
              <w:rPr>
                <w:rFonts w:hint="eastAsia"/>
                <w:sz w:val="24"/>
              </w:rPr>
              <w:t>，</w:t>
            </w:r>
            <w:r>
              <w:rPr>
                <w:sz w:val="24"/>
              </w:rPr>
              <w:t>最大排水量为</w:t>
            </w:r>
            <w:r>
              <w:rPr>
                <w:rFonts w:hint="eastAsia"/>
                <w:sz w:val="24"/>
              </w:rPr>
              <w:t>2</w:t>
            </w:r>
            <w:r>
              <w:rPr>
                <w:sz w:val="24"/>
              </w:rPr>
              <w:t>.48m</w:t>
            </w:r>
            <w:r>
              <w:rPr>
                <w:sz w:val="24"/>
                <w:vertAlign w:val="superscript"/>
              </w:rPr>
              <w:t>3</w:t>
            </w:r>
            <w:r>
              <w:rPr>
                <w:sz w:val="24"/>
              </w:rPr>
              <w:t>/d</w:t>
            </w:r>
            <w:r>
              <w:rPr>
                <w:rFonts w:hint="eastAsia"/>
                <w:sz w:val="24"/>
              </w:rPr>
              <w:t>。</w:t>
            </w:r>
          </w:p>
          <w:p w14:paraId="13E805B2">
            <w:pPr>
              <w:spacing w:line="360" w:lineRule="auto"/>
              <w:ind w:firstLine="480" w:firstLineChars="200"/>
              <w:rPr>
                <w:sz w:val="24"/>
              </w:rPr>
            </w:pPr>
            <w:r>
              <w:rPr>
                <w:rFonts w:hint="eastAsia"/>
                <w:sz w:val="24"/>
              </w:rPr>
              <w:t>（</w:t>
            </w:r>
            <w:r>
              <w:rPr>
                <w:sz w:val="24"/>
              </w:rPr>
              <w:t>4</w:t>
            </w:r>
            <w:r>
              <w:rPr>
                <w:rFonts w:hint="eastAsia"/>
                <w:sz w:val="24"/>
              </w:rPr>
              <w:t>）清洗工序用水：项目共布置2台超声波清洗机，每台清洗机3个清洗池，即1#喷淋池、超声波池、</w:t>
            </w:r>
            <w:r>
              <w:rPr>
                <w:sz w:val="24"/>
              </w:rPr>
              <w:t>2</w:t>
            </w:r>
            <w:r>
              <w:rPr>
                <w:rFonts w:hint="eastAsia"/>
                <w:sz w:val="24"/>
              </w:rPr>
              <w:t>#喷淋池，有效容积分别为</w:t>
            </w:r>
            <w:r>
              <w:rPr>
                <w:sz w:val="24"/>
              </w:rPr>
              <w:t>0.5m</w:t>
            </w:r>
            <w:r>
              <w:rPr>
                <w:sz w:val="24"/>
                <w:vertAlign w:val="superscript"/>
              </w:rPr>
              <w:t>3</w:t>
            </w:r>
            <w:r>
              <w:rPr>
                <w:rFonts w:hint="eastAsia"/>
                <w:sz w:val="24"/>
              </w:rPr>
              <w:t>、</w:t>
            </w:r>
            <w:r>
              <w:rPr>
                <w:sz w:val="24"/>
              </w:rPr>
              <w:t>0.</w:t>
            </w:r>
            <w:r>
              <w:rPr>
                <w:rFonts w:hint="eastAsia"/>
                <w:sz w:val="24"/>
              </w:rPr>
              <w:t>7</w:t>
            </w:r>
            <w:r>
              <w:rPr>
                <w:sz w:val="24"/>
              </w:rPr>
              <w:t>m</w:t>
            </w:r>
            <w:r>
              <w:rPr>
                <w:sz w:val="24"/>
                <w:vertAlign w:val="superscript"/>
              </w:rPr>
              <w:t>3</w:t>
            </w:r>
            <w:r>
              <w:rPr>
                <w:rFonts w:hint="eastAsia"/>
                <w:sz w:val="24"/>
              </w:rPr>
              <w:t>、</w:t>
            </w:r>
            <w:r>
              <w:rPr>
                <w:sz w:val="24"/>
              </w:rPr>
              <w:t>0.5m</w:t>
            </w:r>
            <w:r>
              <w:rPr>
                <w:sz w:val="24"/>
                <w:vertAlign w:val="superscript"/>
              </w:rPr>
              <w:t>3</w:t>
            </w:r>
            <w:r>
              <w:rPr>
                <w:rFonts w:hint="eastAsia"/>
                <w:sz w:val="24"/>
              </w:rPr>
              <w:t>。清洗过程及时补水维持设备液面不变，清洗水日损耗量约为池体总容积的25%。超声波池、2#喷淋池用水每2天更换一次，2#喷淋池更换的清洗水回用至1#喷淋池，1#喷淋池和超声波池清洗水排入生产废水预处理系统。</w:t>
            </w:r>
            <w:r>
              <w:rPr>
                <w:sz w:val="24"/>
              </w:rPr>
              <w:t>则清洗工序清洗液</w:t>
            </w:r>
            <w:r>
              <w:rPr>
                <w:rFonts w:hint="eastAsia"/>
                <w:sz w:val="24"/>
              </w:rPr>
              <w:t>用水量为4m</w:t>
            </w:r>
            <w:r>
              <w:rPr>
                <w:sz w:val="24"/>
                <w:vertAlign w:val="superscript"/>
              </w:rPr>
              <w:t>3</w:t>
            </w:r>
            <w:r>
              <w:rPr>
                <w:sz w:val="24"/>
              </w:rPr>
              <w:t>/</w:t>
            </w:r>
            <w:r>
              <w:rPr>
                <w:rFonts w:hint="eastAsia"/>
                <w:sz w:val="24"/>
              </w:rPr>
              <w:t>次（2d），排水量为2</w:t>
            </w:r>
            <w:r>
              <w:rPr>
                <w:sz w:val="24"/>
              </w:rPr>
              <w:t>.4</w:t>
            </w:r>
            <w:r>
              <w:rPr>
                <w:rFonts w:hint="eastAsia"/>
                <w:sz w:val="24"/>
              </w:rPr>
              <w:t>m</w:t>
            </w:r>
            <w:r>
              <w:rPr>
                <w:sz w:val="24"/>
                <w:vertAlign w:val="superscript"/>
              </w:rPr>
              <w:t>3</w:t>
            </w:r>
            <w:r>
              <w:rPr>
                <w:sz w:val="24"/>
              </w:rPr>
              <w:t>/</w:t>
            </w:r>
            <w:r>
              <w:rPr>
                <w:rFonts w:hint="eastAsia"/>
                <w:sz w:val="24"/>
              </w:rPr>
              <w:t>次（2d）。</w:t>
            </w:r>
          </w:p>
          <w:p w14:paraId="597F1D58">
            <w:pPr>
              <w:spacing w:line="360" w:lineRule="auto"/>
              <w:ind w:firstLine="480" w:firstLineChars="200"/>
              <w:rPr>
                <w:sz w:val="24"/>
              </w:rPr>
            </w:pPr>
            <w:r>
              <w:rPr>
                <w:rFonts w:hint="eastAsia"/>
                <w:sz w:val="24"/>
              </w:rPr>
              <w:t>（5）模具清洗用水</w:t>
            </w:r>
          </w:p>
          <w:p w14:paraId="2176BA61">
            <w:pPr>
              <w:spacing w:line="360" w:lineRule="auto"/>
              <w:ind w:firstLine="480" w:firstLineChars="200"/>
              <w:rPr>
                <w:sz w:val="24"/>
              </w:rPr>
            </w:pPr>
            <w:r>
              <w:rPr>
                <w:rFonts w:hint="eastAsia"/>
                <w:sz w:val="24"/>
              </w:rPr>
              <w:t>项目模具循环使用，为防止模具型腔、模板堵塞以及清除模具内部油污等杂质，模具会定期进行清洗。项目每天更换并清洁磨具4套，清洗过程使用清水高压喷射，每台磨具清洗用水量约为5</w:t>
            </w:r>
            <w:r>
              <w:rPr>
                <w:sz w:val="24"/>
              </w:rPr>
              <w:t>0</w:t>
            </w:r>
            <w:r>
              <w:rPr>
                <w:rFonts w:hint="eastAsia"/>
                <w:sz w:val="24"/>
              </w:rPr>
              <w:t>L，则模具清洗用水耗水量为0</w:t>
            </w:r>
            <w:r>
              <w:rPr>
                <w:sz w:val="24"/>
              </w:rPr>
              <w:t>.2</w:t>
            </w:r>
            <w:r>
              <w:rPr>
                <w:rFonts w:hint="eastAsia"/>
                <w:sz w:val="24"/>
              </w:rPr>
              <w:t>m</w:t>
            </w:r>
            <w:r>
              <w:rPr>
                <w:rFonts w:hint="eastAsia"/>
                <w:sz w:val="24"/>
                <w:vertAlign w:val="superscript"/>
              </w:rPr>
              <w:t>3</w:t>
            </w:r>
            <w:r>
              <w:rPr>
                <w:rFonts w:hint="eastAsia"/>
                <w:sz w:val="24"/>
              </w:rPr>
              <w:t>/d，产污系数按0.9计，则模具清洗废水产生量约</w:t>
            </w:r>
            <w:r>
              <w:rPr>
                <w:sz w:val="24"/>
              </w:rPr>
              <w:t>0.18</w:t>
            </w:r>
            <w:r>
              <w:rPr>
                <w:rFonts w:hint="eastAsia"/>
                <w:sz w:val="24"/>
              </w:rPr>
              <w:t>m</w:t>
            </w:r>
            <w:r>
              <w:rPr>
                <w:rFonts w:hint="eastAsia"/>
                <w:sz w:val="24"/>
                <w:vertAlign w:val="superscript"/>
              </w:rPr>
              <w:t>3</w:t>
            </w:r>
            <w:r>
              <w:rPr>
                <w:rFonts w:hint="eastAsia"/>
                <w:sz w:val="24"/>
              </w:rPr>
              <w:t>/d。</w:t>
            </w:r>
          </w:p>
          <w:p w14:paraId="32B26C8F">
            <w:pPr>
              <w:spacing w:line="360" w:lineRule="auto"/>
              <w:ind w:firstLine="480" w:firstLineChars="200"/>
              <w:rPr>
                <w:sz w:val="24"/>
              </w:rPr>
            </w:pPr>
            <w:r>
              <w:rPr>
                <w:rFonts w:hint="eastAsia"/>
                <w:sz w:val="24"/>
              </w:rPr>
              <w:t>（6）包装材料清洗用水</w:t>
            </w:r>
          </w:p>
          <w:p w14:paraId="4FB17BBD">
            <w:pPr>
              <w:spacing w:line="360" w:lineRule="auto"/>
              <w:ind w:firstLine="480" w:firstLineChars="200"/>
              <w:rPr>
                <w:sz w:val="24"/>
              </w:rPr>
            </w:pPr>
            <w:r>
              <w:rPr>
                <w:rFonts w:hint="eastAsia"/>
                <w:sz w:val="24"/>
              </w:rPr>
              <w:t>项目使用仓笼对产品进行包装，定期从下游客户回收仓笼，并对回收包装材料中粘附的污泥使用水枪进行冲洗，清洗用水量约为0.50m</w:t>
            </w:r>
            <w:r>
              <w:rPr>
                <w:rFonts w:hint="eastAsia"/>
                <w:sz w:val="24"/>
                <w:vertAlign w:val="superscript"/>
              </w:rPr>
              <w:t>3</w:t>
            </w:r>
            <w:r>
              <w:rPr>
                <w:rFonts w:hint="eastAsia"/>
                <w:sz w:val="24"/>
              </w:rPr>
              <w:t>/d，产污系数取0</w:t>
            </w:r>
            <w:r>
              <w:rPr>
                <w:sz w:val="24"/>
              </w:rPr>
              <w:t>.9</w:t>
            </w:r>
            <w:r>
              <w:rPr>
                <w:rFonts w:hint="eastAsia"/>
                <w:sz w:val="24"/>
              </w:rPr>
              <w:t>，则清洗废水量为0</w:t>
            </w:r>
            <w:r>
              <w:rPr>
                <w:sz w:val="24"/>
              </w:rPr>
              <w:t>.45</w:t>
            </w:r>
            <w:r>
              <w:rPr>
                <w:rFonts w:hint="eastAsia"/>
                <w:sz w:val="24"/>
              </w:rPr>
              <w:t>m</w:t>
            </w:r>
            <w:r>
              <w:rPr>
                <w:rFonts w:hint="eastAsia"/>
                <w:sz w:val="24"/>
                <w:vertAlign w:val="superscript"/>
              </w:rPr>
              <w:t>3</w:t>
            </w:r>
            <w:r>
              <w:rPr>
                <w:rFonts w:hint="eastAsia"/>
                <w:sz w:val="24"/>
              </w:rPr>
              <w:t>/d</w:t>
            </w:r>
          </w:p>
          <w:p w14:paraId="658B386A">
            <w:pPr>
              <w:spacing w:line="360" w:lineRule="auto"/>
              <w:ind w:firstLine="480" w:firstLineChars="200"/>
              <w:rPr>
                <w:sz w:val="24"/>
              </w:rPr>
            </w:pPr>
            <w:r>
              <w:rPr>
                <w:rFonts w:hint="eastAsia"/>
                <w:sz w:val="24"/>
              </w:rPr>
              <w:t>（</w:t>
            </w:r>
            <w:r>
              <w:rPr>
                <w:sz w:val="24"/>
              </w:rPr>
              <w:t>7</w:t>
            </w:r>
            <w:r>
              <w:rPr>
                <w:rFonts w:hint="eastAsia"/>
                <w:sz w:val="24"/>
              </w:rPr>
              <w:t>）地坪保洁用水</w:t>
            </w:r>
          </w:p>
          <w:p w14:paraId="08C2F52C">
            <w:pPr>
              <w:spacing w:line="360" w:lineRule="auto"/>
              <w:ind w:firstLine="480" w:firstLineChars="200"/>
              <w:rPr>
                <w:sz w:val="24"/>
              </w:rPr>
            </w:pPr>
            <w:r>
              <w:rPr>
                <w:rFonts w:hint="eastAsia"/>
                <w:sz w:val="24"/>
              </w:rPr>
              <w:t>项目车间专用扫地车对车间地面进行清扫，此过程无废水产生。生活办公区地面使用拖把进行清洁，用水量约为</w:t>
            </w:r>
            <w:r>
              <w:rPr>
                <w:sz w:val="24"/>
              </w:rPr>
              <w:t>1.0</w:t>
            </w:r>
            <w:r>
              <w:rPr>
                <w:rFonts w:hint="eastAsia"/>
                <w:sz w:val="24"/>
              </w:rPr>
              <w:t>m</w:t>
            </w:r>
            <w:r>
              <w:rPr>
                <w:rFonts w:hint="eastAsia"/>
                <w:sz w:val="24"/>
                <w:vertAlign w:val="superscript"/>
              </w:rPr>
              <w:t>3</w:t>
            </w:r>
            <w:r>
              <w:rPr>
                <w:rFonts w:hint="eastAsia"/>
                <w:sz w:val="24"/>
              </w:rPr>
              <w:t>/d，产污系数取0</w:t>
            </w:r>
            <w:r>
              <w:rPr>
                <w:sz w:val="24"/>
              </w:rPr>
              <w:t>.9</w:t>
            </w:r>
            <w:r>
              <w:rPr>
                <w:rFonts w:hint="eastAsia"/>
                <w:sz w:val="24"/>
              </w:rPr>
              <w:t>，则废水量为</w:t>
            </w:r>
            <w:r>
              <w:rPr>
                <w:sz w:val="24"/>
              </w:rPr>
              <w:t>0.9</w:t>
            </w:r>
            <w:r>
              <w:rPr>
                <w:rFonts w:hint="eastAsia"/>
                <w:sz w:val="24"/>
              </w:rPr>
              <w:t>m</w:t>
            </w:r>
            <w:r>
              <w:rPr>
                <w:rFonts w:hint="eastAsia"/>
                <w:sz w:val="24"/>
                <w:vertAlign w:val="superscript"/>
              </w:rPr>
              <w:t>3</w:t>
            </w:r>
            <w:r>
              <w:rPr>
                <w:rFonts w:hint="eastAsia"/>
                <w:sz w:val="24"/>
              </w:rPr>
              <w:t>/d。</w:t>
            </w:r>
          </w:p>
          <w:p w14:paraId="3C147B29">
            <w:pPr>
              <w:spacing w:line="360" w:lineRule="auto"/>
              <w:ind w:firstLine="480" w:firstLineChars="200"/>
              <w:rPr>
                <w:sz w:val="24"/>
              </w:rPr>
            </w:pPr>
            <w:r>
              <w:rPr>
                <w:rFonts w:hint="eastAsia"/>
                <w:sz w:val="24"/>
              </w:rPr>
              <w:t>（</w:t>
            </w:r>
            <w:r>
              <w:rPr>
                <w:sz w:val="24"/>
              </w:rPr>
              <w:t>8</w:t>
            </w:r>
            <w:r>
              <w:rPr>
                <w:rFonts w:hint="eastAsia"/>
                <w:sz w:val="24"/>
              </w:rPr>
              <w:t>）循环冷却系统用水</w:t>
            </w:r>
          </w:p>
          <w:p w14:paraId="4386507E">
            <w:pPr>
              <w:spacing w:line="360" w:lineRule="auto"/>
              <w:ind w:firstLine="480" w:firstLineChars="200"/>
              <w:rPr>
                <w:sz w:val="24"/>
              </w:rPr>
            </w:pPr>
            <w:r>
              <w:rPr>
                <w:rFonts w:hint="eastAsia"/>
                <w:sz w:val="24"/>
              </w:rPr>
              <w:t>项目生产过程中使用循环冷却水对压铸机机头进行冷却，冷却方式为间接冷却。循环水量为</w:t>
            </w:r>
            <w:r>
              <w:rPr>
                <w:sz w:val="24"/>
              </w:rPr>
              <w:t>120</w:t>
            </w:r>
            <w:r>
              <w:rPr>
                <w:rFonts w:hint="eastAsia"/>
                <w:sz w:val="24"/>
              </w:rPr>
              <w:t>m</w:t>
            </w:r>
            <w:r>
              <w:rPr>
                <w:rFonts w:hint="eastAsia"/>
                <w:sz w:val="24"/>
                <w:vertAlign w:val="superscript"/>
              </w:rPr>
              <w:t>3</w:t>
            </w:r>
            <w:r>
              <w:rPr>
                <w:rFonts w:hint="eastAsia"/>
                <w:sz w:val="24"/>
              </w:rPr>
              <w:t>/h，即</w:t>
            </w:r>
            <w:r>
              <w:rPr>
                <w:sz w:val="24"/>
              </w:rPr>
              <w:t>2880</w:t>
            </w:r>
            <w:r>
              <w:rPr>
                <w:rFonts w:hint="eastAsia"/>
                <w:sz w:val="24"/>
              </w:rPr>
              <w:t>m</w:t>
            </w:r>
            <w:r>
              <w:rPr>
                <w:rFonts w:hint="eastAsia"/>
                <w:sz w:val="24"/>
                <w:vertAlign w:val="superscript"/>
              </w:rPr>
              <w:t>3</w:t>
            </w:r>
            <w:r>
              <w:rPr>
                <w:rFonts w:hint="eastAsia"/>
                <w:sz w:val="24"/>
              </w:rPr>
              <w:t>/d，循环蒸发水量约占循环量的</w:t>
            </w:r>
            <w:r>
              <w:rPr>
                <w:sz w:val="24"/>
              </w:rPr>
              <w:t>1</w:t>
            </w:r>
            <w:r>
              <w:rPr>
                <w:rFonts w:hint="eastAsia"/>
                <w:sz w:val="24"/>
              </w:rPr>
              <w:t>.0%，约</w:t>
            </w:r>
            <w:r>
              <w:rPr>
                <w:sz w:val="24"/>
              </w:rPr>
              <w:t>28.8</w:t>
            </w:r>
            <w:r>
              <w:rPr>
                <w:rFonts w:hint="eastAsia"/>
                <w:sz w:val="24"/>
              </w:rPr>
              <w:t>m</w:t>
            </w:r>
            <w:r>
              <w:rPr>
                <w:rFonts w:hint="eastAsia"/>
                <w:sz w:val="24"/>
                <w:vertAlign w:val="superscript"/>
              </w:rPr>
              <w:t>3</w:t>
            </w:r>
            <w:r>
              <w:rPr>
                <w:rFonts w:hint="eastAsia"/>
                <w:sz w:val="24"/>
              </w:rPr>
              <w:t>/d，循环冷却水定期补充，不排放。</w:t>
            </w:r>
          </w:p>
          <w:p w14:paraId="26BEFC4D">
            <w:pPr>
              <w:spacing w:line="360" w:lineRule="auto"/>
              <w:ind w:firstLine="480" w:firstLineChars="200"/>
              <w:rPr>
                <w:sz w:val="24"/>
              </w:rPr>
            </w:pPr>
            <w:r>
              <w:rPr>
                <w:rFonts w:hint="eastAsia"/>
                <w:sz w:val="24"/>
              </w:rPr>
              <w:t>（9）食堂用水</w:t>
            </w:r>
          </w:p>
          <w:p w14:paraId="293DB9D8">
            <w:pPr>
              <w:spacing w:line="360" w:lineRule="auto"/>
              <w:ind w:firstLine="480" w:firstLineChars="200"/>
              <w:rPr>
                <w:sz w:val="24"/>
              </w:rPr>
            </w:pPr>
            <w:r>
              <w:rPr>
                <w:rFonts w:hint="eastAsia"/>
                <w:sz w:val="24"/>
              </w:rPr>
              <w:t>项目员工均统一在食堂就餐，食堂用水量按2</w:t>
            </w:r>
            <w:r>
              <w:rPr>
                <w:sz w:val="24"/>
              </w:rPr>
              <w:t>0</w:t>
            </w:r>
            <w:r>
              <w:rPr>
                <w:rFonts w:hint="eastAsia"/>
                <w:sz w:val="24"/>
              </w:rPr>
              <w:t>L</w:t>
            </w:r>
            <w:r>
              <w:rPr>
                <w:bCs/>
                <w:kern w:val="0"/>
                <w:sz w:val="24"/>
              </w:rPr>
              <w:t>/人·d</w:t>
            </w:r>
            <w:r>
              <w:rPr>
                <w:rFonts w:hint="eastAsia"/>
                <w:bCs/>
                <w:kern w:val="0"/>
                <w:sz w:val="24"/>
              </w:rPr>
              <w:t>计，则食堂用水量为</w:t>
            </w:r>
            <w:r>
              <w:rPr>
                <w:bCs/>
                <w:kern w:val="0"/>
                <w:sz w:val="24"/>
              </w:rPr>
              <w:t>7.76</w:t>
            </w:r>
            <w:r>
              <w:rPr>
                <w:rFonts w:hint="eastAsia"/>
                <w:sz w:val="24"/>
              </w:rPr>
              <w:t>m</w:t>
            </w:r>
            <w:r>
              <w:rPr>
                <w:rFonts w:hint="eastAsia"/>
                <w:sz w:val="24"/>
                <w:vertAlign w:val="superscript"/>
              </w:rPr>
              <w:t>3</w:t>
            </w:r>
            <w:r>
              <w:rPr>
                <w:rFonts w:hint="eastAsia"/>
                <w:sz w:val="24"/>
              </w:rPr>
              <w:t>/d，产污系数取0</w:t>
            </w:r>
            <w:r>
              <w:rPr>
                <w:sz w:val="24"/>
              </w:rPr>
              <w:t>.9</w:t>
            </w:r>
            <w:r>
              <w:rPr>
                <w:rFonts w:hint="eastAsia"/>
                <w:sz w:val="24"/>
              </w:rPr>
              <w:t>，则废水量为</w:t>
            </w:r>
            <w:r>
              <w:rPr>
                <w:sz w:val="24"/>
              </w:rPr>
              <w:t>6.98</w:t>
            </w:r>
            <w:r>
              <w:rPr>
                <w:rFonts w:hint="eastAsia"/>
                <w:sz w:val="24"/>
              </w:rPr>
              <w:t>m</w:t>
            </w:r>
            <w:r>
              <w:rPr>
                <w:rFonts w:hint="eastAsia"/>
                <w:sz w:val="24"/>
                <w:vertAlign w:val="superscript"/>
              </w:rPr>
              <w:t>3</w:t>
            </w:r>
            <w:r>
              <w:rPr>
                <w:rFonts w:hint="eastAsia"/>
                <w:sz w:val="24"/>
              </w:rPr>
              <w:t>/d。</w:t>
            </w:r>
          </w:p>
          <w:p w14:paraId="1E217F20">
            <w:pPr>
              <w:spacing w:line="360" w:lineRule="auto"/>
              <w:ind w:firstLine="480" w:firstLineChars="200"/>
              <w:rPr>
                <w:sz w:val="24"/>
              </w:rPr>
            </w:pPr>
            <w:r>
              <w:rPr>
                <w:rFonts w:hint="eastAsia"/>
                <w:sz w:val="24"/>
              </w:rPr>
              <w:t>（</w:t>
            </w:r>
            <w:r>
              <w:rPr>
                <w:sz w:val="24"/>
              </w:rPr>
              <w:t>10</w:t>
            </w:r>
            <w:r>
              <w:rPr>
                <w:rFonts w:hint="eastAsia"/>
                <w:sz w:val="24"/>
              </w:rPr>
              <w:t>）生活用水</w:t>
            </w:r>
          </w:p>
          <w:p w14:paraId="4EBAEC1E">
            <w:pPr>
              <w:spacing w:line="360" w:lineRule="auto"/>
              <w:ind w:firstLine="480" w:firstLineChars="200"/>
              <w:rPr>
                <w:bCs/>
                <w:kern w:val="0"/>
                <w:sz w:val="24"/>
              </w:rPr>
            </w:pPr>
            <w:r>
              <w:rPr>
                <w:sz w:val="24"/>
              </w:rPr>
              <w:t>项目劳动定员388人，</w:t>
            </w:r>
            <w:r>
              <w:rPr>
                <w:rFonts w:hint="eastAsia"/>
                <w:sz w:val="24"/>
              </w:rPr>
              <w:t>其中约1</w:t>
            </w:r>
            <w:r>
              <w:rPr>
                <w:sz w:val="24"/>
              </w:rPr>
              <w:t>50</w:t>
            </w:r>
            <w:r>
              <w:rPr>
                <w:rFonts w:hint="eastAsia"/>
                <w:sz w:val="24"/>
              </w:rPr>
              <w:t>人在厂区内食宿，剩余2</w:t>
            </w:r>
            <w:r>
              <w:rPr>
                <w:sz w:val="24"/>
              </w:rPr>
              <w:t>38</w:t>
            </w:r>
            <w:r>
              <w:rPr>
                <w:rFonts w:hint="eastAsia"/>
                <w:sz w:val="24"/>
              </w:rPr>
              <w:t>人仅在厂区内就餐</w:t>
            </w:r>
            <w:r>
              <w:rPr>
                <w:sz w:val="24"/>
              </w:rPr>
              <w:t>。参照</w:t>
            </w:r>
            <w:r>
              <w:rPr>
                <w:bCs/>
                <w:kern w:val="0"/>
                <w:sz w:val="24"/>
              </w:rPr>
              <w:t>《办公建筑设计规范》（JGJ167-89）、《建筑给水排水设计规范》（GB50015-2003）、《关于印发重庆市城市生活用水定额（2017年修订版）的通知》（渝水[2018]66号）等相关规范要求核定用水量，</w:t>
            </w:r>
            <w:r>
              <w:rPr>
                <w:rFonts w:hint="eastAsia"/>
                <w:bCs/>
                <w:kern w:val="0"/>
                <w:sz w:val="24"/>
              </w:rPr>
              <w:t>食宿</w:t>
            </w:r>
            <w:r>
              <w:rPr>
                <w:bCs/>
                <w:kern w:val="0"/>
                <w:sz w:val="24"/>
              </w:rPr>
              <w:t>员工</w:t>
            </w:r>
            <w:r>
              <w:rPr>
                <w:rFonts w:hint="eastAsia"/>
                <w:bCs/>
                <w:kern w:val="0"/>
                <w:sz w:val="24"/>
              </w:rPr>
              <w:t>生活</w:t>
            </w:r>
            <w:r>
              <w:rPr>
                <w:bCs/>
                <w:kern w:val="0"/>
                <w:sz w:val="24"/>
              </w:rPr>
              <w:t>用水标准为150L/人·d</w:t>
            </w:r>
            <w:r>
              <w:rPr>
                <w:rFonts w:hint="eastAsia"/>
                <w:bCs/>
                <w:kern w:val="0"/>
                <w:sz w:val="24"/>
              </w:rPr>
              <w:t>，就餐员工生活</w:t>
            </w:r>
            <w:r>
              <w:rPr>
                <w:bCs/>
                <w:kern w:val="0"/>
                <w:sz w:val="24"/>
              </w:rPr>
              <w:t>用水标准为50L/人·d</w:t>
            </w:r>
            <w:r>
              <w:rPr>
                <w:rFonts w:hint="eastAsia"/>
                <w:bCs/>
                <w:kern w:val="0"/>
                <w:sz w:val="24"/>
              </w:rPr>
              <w:t>。则员工生活用水量</w:t>
            </w:r>
            <w:r>
              <w:rPr>
                <w:bCs/>
                <w:kern w:val="0"/>
                <w:sz w:val="24"/>
              </w:rPr>
              <w:t>34.4</w:t>
            </w:r>
            <w:r>
              <w:rPr>
                <w:rFonts w:hint="eastAsia"/>
                <w:bCs/>
                <w:kern w:val="0"/>
                <w:sz w:val="24"/>
              </w:rPr>
              <w:t>m</w:t>
            </w:r>
            <w:r>
              <w:rPr>
                <w:bCs/>
                <w:kern w:val="0"/>
                <w:sz w:val="24"/>
                <w:vertAlign w:val="superscript"/>
              </w:rPr>
              <w:t>3</w:t>
            </w:r>
            <w:r>
              <w:rPr>
                <w:bCs/>
                <w:kern w:val="0"/>
                <w:sz w:val="24"/>
              </w:rPr>
              <w:t>/</w:t>
            </w:r>
            <w:r>
              <w:rPr>
                <w:rFonts w:hint="eastAsia"/>
                <w:bCs/>
                <w:kern w:val="0"/>
                <w:sz w:val="24"/>
              </w:rPr>
              <w:t>d，产污系数按0.9计，生活污水排放量约</w:t>
            </w:r>
            <w:r>
              <w:rPr>
                <w:bCs/>
                <w:kern w:val="0"/>
                <w:sz w:val="24"/>
              </w:rPr>
              <w:t>30.96</w:t>
            </w:r>
            <w:r>
              <w:rPr>
                <w:rFonts w:hint="eastAsia"/>
                <w:bCs/>
                <w:kern w:val="0"/>
                <w:sz w:val="24"/>
              </w:rPr>
              <w:t>m</w:t>
            </w:r>
            <w:r>
              <w:rPr>
                <w:rFonts w:hint="eastAsia"/>
                <w:bCs/>
                <w:kern w:val="0"/>
                <w:sz w:val="24"/>
                <w:vertAlign w:val="superscript"/>
              </w:rPr>
              <w:t>3</w:t>
            </w:r>
            <w:r>
              <w:rPr>
                <w:rFonts w:hint="eastAsia"/>
                <w:bCs/>
                <w:kern w:val="0"/>
                <w:sz w:val="24"/>
              </w:rPr>
              <w:t>/d。</w:t>
            </w:r>
          </w:p>
          <w:p w14:paraId="46731244">
            <w:pPr>
              <w:spacing w:line="360" w:lineRule="auto"/>
              <w:ind w:firstLine="480" w:firstLineChars="200"/>
              <w:rPr>
                <w:sz w:val="24"/>
              </w:rPr>
            </w:pPr>
            <w:r>
              <w:rPr>
                <w:rFonts w:hint="eastAsia"/>
                <w:sz w:val="24"/>
              </w:rPr>
              <w:t>（1</w:t>
            </w:r>
            <w:r>
              <w:rPr>
                <w:sz w:val="24"/>
              </w:rPr>
              <w:t>1</w:t>
            </w:r>
            <w:r>
              <w:rPr>
                <w:rFonts w:hint="eastAsia"/>
                <w:sz w:val="24"/>
              </w:rPr>
              <w:t>）绿化用水</w:t>
            </w:r>
          </w:p>
          <w:p w14:paraId="59324309">
            <w:pPr>
              <w:spacing w:line="360" w:lineRule="auto"/>
              <w:ind w:firstLine="480" w:firstLineChars="200"/>
              <w:rPr>
                <w:sz w:val="24"/>
              </w:rPr>
            </w:pPr>
            <w:r>
              <w:rPr>
                <w:sz w:val="24"/>
              </w:rPr>
              <w:t>项目厂区四周建设绿化带约</w:t>
            </w:r>
            <w:r>
              <w:rPr>
                <w:bCs/>
                <w:sz w:val="24"/>
              </w:rPr>
              <w:t>4360m</w:t>
            </w:r>
            <w:r>
              <w:rPr>
                <w:bCs/>
                <w:sz w:val="24"/>
                <w:vertAlign w:val="superscript"/>
              </w:rPr>
              <w:t>2</w:t>
            </w:r>
            <w:r>
              <w:rPr>
                <w:rFonts w:hint="eastAsia"/>
                <w:bCs/>
                <w:sz w:val="24"/>
              </w:rPr>
              <w:t>，绿化用水按0</w:t>
            </w:r>
            <w:r>
              <w:rPr>
                <w:bCs/>
                <w:sz w:val="24"/>
              </w:rPr>
              <w:t>.5</w:t>
            </w:r>
            <w:r>
              <w:rPr>
                <w:rFonts w:hint="eastAsia"/>
                <w:bCs/>
                <w:sz w:val="24"/>
              </w:rPr>
              <w:t>L</w:t>
            </w:r>
            <w:r>
              <w:rPr>
                <w:bCs/>
                <w:sz w:val="24"/>
              </w:rPr>
              <w:t>/m</w:t>
            </w:r>
            <w:r>
              <w:rPr>
                <w:bCs/>
                <w:sz w:val="24"/>
                <w:vertAlign w:val="superscript"/>
              </w:rPr>
              <w:t>2</w:t>
            </w:r>
            <w:r>
              <w:rPr>
                <w:bCs/>
                <w:sz w:val="24"/>
              </w:rPr>
              <w:t>计</w:t>
            </w:r>
            <w:r>
              <w:rPr>
                <w:rFonts w:hint="eastAsia"/>
                <w:bCs/>
                <w:sz w:val="24"/>
              </w:rPr>
              <w:t>，</w:t>
            </w:r>
            <w:r>
              <w:rPr>
                <w:bCs/>
                <w:sz w:val="24"/>
              </w:rPr>
              <w:t>则绿化用水量为2.18m</w:t>
            </w:r>
            <w:r>
              <w:rPr>
                <w:bCs/>
                <w:sz w:val="24"/>
                <w:vertAlign w:val="superscript"/>
              </w:rPr>
              <w:t>3</w:t>
            </w:r>
            <w:r>
              <w:rPr>
                <w:bCs/>
                <w:sz w:val="24"/>
              </w:rPr>
              <w:t>/d</w:t>
            </w:r>
            <w:r>
              <w:rPr>
                <w:rFonts w:hint="eastAsia"/>
                <w:bCs/>
                <w:sz w:val="24"/>
              </w:rPr>
              <w:t>，</w:t>
            </w:r>
            <w:r>
              <w:rPr>
                <w:bCs/>
                <w:sz w:val="24"/>
              </w:rPr>
              <w:t>绿化用水渗入土壤被植物吸收</w:t>
            </w:r>
            <w:r>
              <w:rPr>
                <w:rFonts w:hint="eastAsia"/>
                <w:bCs/>
                <w:sz w:val="24"/>
              </w:rPr>
              <w:t>。</w:t>
            </w:r>
          </w:p>
          <w:p w14:paraId="3578CFB6">
            <w:pPr>
              <w:spacing w:line="360" w:lineRule="auto"/>
              <w:ind w:firstLine="480" w:firstLineChars="200"/>
              <w:rPr>
                <w:sz w:val="24"/>
              </w:rPr>
            </w:pPr>
            <w:r>
              <w:rPr>
                <w:sz w:val="24"/>
              </w:rPr>
              <w:t>项目用水量核算见表</w:t>
            </w:r>
            <w:r>
              <w:rPr>
                <w:rFonts w:hint="eastAsia"/>
                <w:sz w:val="24"/>
              </w:rPr>
              <w:t>2-</w:t>
            </w:r>
            <w:r>
              <w:rPr>
                <w:sz w:val="24"/>
              </w:rPr>
              <w:t>7。</w:t>
            </w:r>
          </w:p>
          <w:p w14:paraId="45591948">
            <w:pPr>
              <w:spacing w:line="360" w:lineRule="auto"/>
              <w:ind w:firstLine="480" w:firstLineChars="200"/>
              <w:jc w:val="center"/>
              <w:rPr>
                <w:sz w:val="24"/>
              </w:rPr>
            </w:pPr>
            <w:r>
              <w:rPr>
                <w:sz w:val="24"/>
              </w:rPr>
              <w:t>表</w:t>
            </w:r>
            <w:r>
              <w:rPr>
                <w:rFonts w:hint="eastAsia"/>
                <w:sz w:val="24"/>
              </w:rPr>
              <w:t>2-</w:t>
            </w:r>
            <w:r>
              <w:rPr>
                <w:sz w:val="24"/>
              </w:rPr>
              <w:t>7  本项目用、排水量估算一览表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0"/>
              <w:gridCol w:w="616"/>
              <w:gridCol w:w="617"/>
              <w:gridCol w:w="1136"/>
              <w:gridCol w:w="1082"/>
              <w:gridCol w:w="923"/>
              <w:gridCol w:w="1028"/>
              <w:gridCol w:w="865"/>
              <w:gridCol w:w="1028"/>
              <w:gridCol w:w="650"/>
            </w:tblGrid>
            <w:tr w14:paraId="29402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53F3C6E1">
                  <w:pPr>
                    <w:snapToGrid w:val="0"/>
                    <w:ind w:left="-63" w:leftChars="-30" w:right="-63" w:rightChars="-30"/>
                    <w:jc w:val="center"/>
                    <w:rPr>
                      <w:szCs w:val="21"/>
                    </w:rPr>
                  </w:pPr>
                  <w:r>
                    <w:rPr>
                      <w:szCs w:val="21"/>
                    </w:rPr>
                    <w:t>序号</w:t>
                  </w:r>
                </w:p>
              </w:tc>
              <w:tc>
                <w:tcPr>
                  <w:tcW w:w="1233" w:type="dxa"/>
                  <w:gridSpan w:val="2"/>
                  <w:vAlign w:val="center"/>
                </w:tcPr>
                <w:p w14:paraId="5B114318">
                  <w:pPr>
                    <w:snapToGrid w:val="0"/>
                    <w:ind w:left="-63" w:leftChars="-30" w:right="-63" w:rightChars="-30"/>
                    <w:jc w:val="center"/>
                    <w:rPr>
                      <w:szCs w:val="21"/>
                    </w:rPr>
                  </w:pPr>
                  <w:r>
                    <w:rPr>
                      <w:szCs w:val="21"/>
                    </w:rPr>
                    <w:t>用水单位</w:t>
                  </w:r>
                </w:p>
              </w:tc>
              <w:tc>
                <w:tcPr>
                  <w:tcW w:w="1136" w:type="dxa"/>
                  <w:vAlign w:val="center"/>
                </w:tcPr>
                <w:p w14:paraId="7FECE79B">
                  <w:pPr>
                    <w:snapToGrid w:val="0"/>
                    <w:ind w:left="-63" w:leftChars="-30" w:right="-63" w:rightChars="-30"/>
                    <w:jc w:val="center"/>
                    <w:rPr>
                      <w:szCs w:val="21"/>
                    </w:rPr>
                  </w:pPr>
                  <w:r>
                    <w:rPr>
                      <w:szCs w:val="21"/>
                    </w:rPr>
                    <w:t>用水定额</w:t>
                  </w:r>
                </w:p>
              </w:tc>
              <w:tc>
                <w:tcPr>
                  <w:tcW w:w="1082" w:type="dxa"/>
                  <w:vAlign w:val="center"/>
                </w:tcPr>
                <w:p w14:paraId="681CC67C">
                  <w:pPr>
                    <w:snapToGrid w:val="0"/>
                    <w:ind w:left="-63" w:leftChars="-30" w:right="-63" w:rightChars="-30"/>
                    <w:jc w:val="center"/>
                    <w:rPr>
                      <w:szCs w:val="21"/>
                    </w:rPr>
                  </w:pPr>
                  <w:r>
                    <w:rPr>
                      <w:szCs w:val="21"/>
                    </w:rPr>
                    <w:t>数量</w:t>
                  </w:r>
                </w:p>
              </w:tc>
              <w:tc>
                <w:tcPr>
                  <w:tcW w:w="923" w:type="dxa"/>
                  <w:vAlign w:val="center"/>
                </w:tcPr>
                <w:p w14:paraId="7B18611F">
                  <w:pPr>
                    <w:snapToGrid w:val="0"/>
                    <w:ind w:left="-63" w:leftChars="-30" w:right="-63" w:rightChars="-30"/>
                    <w:jc w:val="center"/>
                    <w:rPr>
                      <w:szCs w:val="21"/>
                    </w:rPr>
                  </w:pPr>
                  <w:r>
                    <w:rPr>
                      <w:szCs w:val="21"/>
                    </w:rPr>
                    <w:t>日最大用水量m</w:t>
                  </w:r>
                  <w:r>
                    <w:rPr>
                      <w:szCs w:val="21"/>
                      <w:vertAlign w:val="superscript"/>
                    </w:rPr>
                    <w:t>3</w:t>
                  </w:r>
                  <w:r>
                    <w:rPr>
                      <w:szCs w:val="21"/>
                    </w:rPr>
                    <w:t>/d</w:t>
                  </w:r>
                </w:p>
              </w:tc>
              <w:tc>
                <w:tcPr>
                  <w:tcW w:w="1028" w:type="dxa"/>
                  <w:vAlign w:val="center"/>
                </w:tcPr>
                <w:p w14:paraId="24396ABC">
                  <w:pPr>
                    <w:snapToGrid w:val="0"/>
                    <w:ind w:left="-63" w:leftChars="-30" w:right="-63" w:rightChars="-30"/>
                    <w:jc w:val="center"/>
                    <w:rPr>
                      <w:szCs w:val="21"/>
                    </w:rPr>
                  </w:pPr>
                  <w:r>
                    <w:rPr>
                      <w:szCs w:val="21"/>
                    </w:rPr>
                    <w:t>年用水量m</w:t>
                  </w:r>
                  <w:r>
                    <w:rPr>
                      <w:szCs w:val="21"/>
                      <w:vertAlign w:val="superscript"/>
                    </w:rPr>
                    <w:t>3</w:t>
                  </w:r>
                  <w:r>
                    <w:rPr>
                      <w:szCs w:val="21"/>
                    </w:rPr>
                    <w:t>/a</w:t>
                  </w:r>
                </w:p>
              </w:tc>
              <w:tc>
                <w:tcPr>
                  <w:tcW w:w="865" w:type="dxa"/>
                  <w:vAlign w:val="center"/>
                </w:tcPr>
                <w:p w14:paraId="2C05476A">
                  <w:pPr>
                    <w:snapToGrid w:val="0"/>
                    <w:ind w:left="-63" w:leftChars="-30" w:right="-63" w:rightChars="-30"/>
                    <w:jc w:val="center"/>
                    <w:rPr>
                      <w:szCs w:val="21"/>
                    </w:rPr>
                  </w:pPr>
                  <w:r>
                    <w:rPr>
                      <w:szCs w:val="21"/>
                    </w:rPr>
                    <w:t>日最大排水量m</w:t>
                  </w:r>
                  <w:r>
                    <w:rPr>
                      <w:szCs w:val="21"/>
                      <w:vertAlign w:val="superscript"/>
                    </w:rPr>
                    <w:t>3</w:t>
                  </w:r>
                  <w:r>
                    <w:rPr>
                      <w:szCs w:val="21"/>
                    </w:rPr>
                    <w:t>/d</w:t>
                  </w:r>
                </w:p>
              </w:tc>
              <w:tc>
                <w:tcPr>
                  <w:tcW w:w="1028" w:type="dxa"/>
                  <w:vAlign w:val="center"/>
                </w:tcPr>
                <w:p w14:paraId="4E268800">
                  <w:pPr>
                    <w:snapToGrid w:val="0"/>
                    <w:ind w:left="-63" w:leftChars="-30" w:right="-63" w:rightChars="-30"/>
                    <w:jc w:val="center"/>
                    <w:rPr>
                      <w:szCs w:val="21"/>
                    </w:rPr>
                  </w:pPr>
                  <w:r>
                    <w:rPr>
                      <w:szCs w:val="21"/>
                    </w:rPr>
                    <w:t>年排水量m</w:t>
                  </w:r>
                  <w:r>
                    <w:rPr>
                      <w:szCs w:val="21"/>
                      <w:vertAlign w:val="superscript"/>
                    </w:rPr>
                    <w:t>3</w:t>
                  </w:r>
                  <w:r>
                    <w:rPr>
                      <w:szCs w:val="21"/>
                    </w:rPr>
                    <w:t>/a</w:t>
                  </w:r>
                </w:p>
              </w:tc>
              <w:tc>
                <w:tcPr>
                  <w:tcW w:w="650" w:type="dxa"/>
                  <w:vAlign w:val="center"/>
                </w:tcPr>
                <w:p w14:paraId="3455FA47">
                  <w:pPr>
                    <w:snapToGrid w:val="0"/>
                    <w:ind w:left="-63" w:leftChars="-30" w:right="-63" w:rightChars="-30"/>
                    <w:jc w:val="center"/>
                    <w:rPr>
                      <w:szCs w:val="21"/>
                    </w:rPr>
                  </w:pPr>
                  <w:r>
                    <w:rPr>
                      <w:szCs w:val="21"/>
                    </w:rPr>
                    <w:t>备注</w:t>
                  </w:r>
                </w:p>
              </w:tc>
            </w:tr>
            <w:tr w14:paraId="17AE5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14AC5B5E">
                  <w:pPr>
                    <w:snapToGrid w:val="0"/>
                    <w:ind w:left="-63" w:leftChars="-30" w:right="-63" w:rightChars="-30"/>
                    <w:jc w:val="center"/>
                    <w:rPr>
                      <w:szCs w:val="21"/>
                    </w:rPr>
                  </w:pPr>
                  <w:r>
                    <w:rPr>
                      <w:szCs w:val="21"/>
                    </w:rPr>
                    <w:t>1</w:t>
                  </w:r>
                </w:p>
              </w:tc>
              <w:tc>
                <w:tcPr>
                  <w:tcW w:w="1233" w:type="dxa"/>
                  <w:gridSpan w:val="2"/>
                  <w:vAlign w:val="center"/>
                </w:tcPr>
                <w:p w14:paraId="6D4C4AB4">
                  <w:pPr>
                    <w:snapToGrid w:val="0"/>
                    <w:ind w:left="-63" w:leftChars="-30" w:right="-63" w:rightChars="-30"/>
                    <w:jc w:val="center"/>
                    <w:rPr>
                      <w:szCs w:val="21"/>
                    </w:rPr>
                  </w:pPr>
                  <w:r>
                    <w:rPr>
                      <w:rFonts w:hint="eastAsia"/>
                      <w:szCs w:val="21"/>
                    </w:rPr>
                    <w:t>压铸工序用水</w:t>
                  </w:r>
                </w:p>
              </w:tc>
              <w:tc>
                <w:tcPr>
                  <w:tcW w:w="1136" w:type="dxa"/>
                  <w:vAlign w:val="center"/>
                </w:tcPr>
                <w:p w14:paraId="63E79AD4">
                  <w:pPr>
                    <w:snapToGrid w:val="0"/>
                    <w:ind w:left="-63" w:leftChars="-30" w:right="-63" w:rightChars="-30"/>
                    <w:jc w:val="center"/>
                    <w:rPr>
                      <w:szCs w:val="21"/>
                    </w:rPr>
                  </w:pPr>
                  <w:r>
                    <w:rPr>
                      <w:kern w:val="0"/>
                      <w:szCs w:val="21"/>
                    </w:rPr>
                    <w:t>7.78m</w:t>
                  </w:r>
                  <w:r>
                    <w:rPr>
                      <w:kern w:val="0"/>
                      <w:szCs w:val="21"/>
                      <w:vertAlign w:val="superscript"/>
                    </w:rPr>
                    <w:t>3</w:t>
                  </w:r>
                  <w:r>
                    <w:rPr>
                      <w:kern w:val="0"/>
                      <w:szCs w:val="21"/>
                    </w:rPr>
                    <w:t>/</w:t>
                  </w:r>
                  <w:r>
                    <w:rPr>
                      <w:rFonts w:hint="eastAsia"/>
                      <w:kern w:val="0"/>
                      <w:szCs w:val="21"/>
                    </w:rPr>
                    <w:t>d</w:t>
                  </w:r>
                </w:p>
              </w:tc>
              <w:tc>
                <w:tcPr>
                  <w:tcW w:w="1082" w:type="dxa"/>
                  <w:vAlign w:val="center"/>
                </w:tcPr>
                <w:p w14:paraId="2197F952">
                  <w:pPr>
                    <w:snapToGrid w:val="0"/>
                    <w:ind w:left="-63" w:leftChars="-30" w:right="-63" w:rightChars="-30"/>
                    <w:jc w:val="center"/>
                    <w:rPr>
                      <w:szCs w:val="21"/>
                    </w:rPr>
                  </w:pPr>
                  <w:r>
                    <w:rPr>
                      <w:szCs w:val="21"/>
                    </w:rPr>
                    <w:t>330d</w:t>
                  </w:r>
                </w:p>
              </w:tc>
              <w:tc>
                <w:tcPr>
                  <w:tcW w:w="923" w:type="dxa"/>
                  <w:vAlign w:val="center"/>
                </w:tcPr>
                <w:p w14:paraId="56B635EB">
                  <w:pPr>
                    <w:widowControl/>
                    <w:jc w:val="center"/>
                    <w:rPr>
                      <w:rFonts w:eastAsia="等线"/>
                      <w:kern w:val="0"/>
                      <w:szCs w:val="21"/>
                    </w:rPr>
                  </w:pPr>
                  <w:r>
                    <w:rPr>
                      <w:kern w:val="0"/>
                      <w:szCs w:val="21"/>
                    </w:rPr>
                    <w:t>7.78</w:t>
                  </w:r>
                </w:p>
              </w:tc>
              <w:tc>
                <w:tcPr>
                  <w:tcW w:w="1028" w:type="dxa"/>
                  <w:vAlign w:val="center"/>
                </w:tcPr>
                <w:p w14:paraId="1253FAE7">
                  <w:pPr>
                    <w:jc w:val="center"/>
                    <w:rPr>
                      <w:rFonts w:eastAsia="等线"/>
                      <w:szCs w:val="21"/>
                    </w:rPr>
                  </w:pPr>
                  <w:r>
                    <w:rPr>
                      <w:rFonts w:eastAsia="等线"/>
                      <w:szCs w:val="21"/>
                    </w:rPr>
                    <w:t>2567.4</w:t>
                  </w:r>
                </w:p>
              </w:tc>
              <w:tc>
                <w:tcPr>
                  <w:tcW w:w="865" w:type="dxa"/>
                  <w:vAlign w:val="center"/>
                </w:tcPr>
                <w:p w14:paraId="1689C064">
                  <w:pPr>
                    <w:jc w:val="center"/>
                    <w:rPr>
                      <w:rFonts w:eastAsia="等线"/>
                      <w:szCs w:val="21"/>
                    </w:rPr>
                  </w:pPr>
                  <w:r>
                    <w:rPr>
                      <w:rFonts w:eastAsia="等线"/>
                      <w:szCs w:val="21"/>
                    </w:rPr>
                    <w:t>0</w:t>
                  </w:r>
                </w:p>
              </w:tc>
              <w:tc>
                <w:tcPr>
                  <w:tcW w:w="1028" w:type="dxa"/>
                  <w:vAlign w:val="center"/>
                </w:tcPr>
                <w:p w14:paraId="279274C8">
                  <w:pPr>
                    <w:jc w:val="center"/>
                    <w:rPr>
                      <w:rFonts w:eastAsia="等线"/>
                      <w:szCs w:val="21"/>
                    </w:rPr>
                  </w:pPr>
                  <w:r>
                    <w:rPr>
                      <w:rFonts w:eastAsia="等线"/>
                      <w:szCs w:val="21"/>
                    </w:rPr>
                    <w:t>0</w:t>
                  </w:r>
                </w:p>
              </w:tc>
              <w:tc>
                <w:tcPr>
                  <w:tcW w:w="650" w:type="dxa"/>
                  <w:vAlign w:val="center"/>
                </w:tcPr>
                <w:p w14:paraId="1229E0B9">
                  <w:pPr>
                    <w:snapToGrid w:val="0"/>
                    <w:ind w:left="-63" w:leftChars="-30" w:right="-63" w:rightChars="-30"/>
                    <w:jc w:val="center"/>
                    <w:rPr>
                      <w:szCs w:val="21"/>
                    </w:rPr>
                  </w:pPr>
                  <w:r>
                    <w:rPr>
                      <w:szCs w:val="21"/>
                    </w:rPr>
                    <w:t>循环使用不排放</w:t>
                  </w:r>
                </w:p>
              </w:tc>
            </w:tr>
            <w:tr w14:paraId="00909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restart"/>
                  <w:vAlign w:val="center"/>
                </w:tcPr>
                <w:p w14:paraId="69844314">
                  <w:pPr>
                    <w:snapToGrid w:val="0"/>
                    <w:ind w:left="-63" w:leftChars="-30" w:right="-63" w:rightChars="-30"/>
                    <w:jc w:val="center"/>
                    <w:rPr>
                      <w:szCs w:val="21"/>
                    </w:rPr>
                  </w:pPr>
                  <w:r>
                    <w:rPr>
                      <w:rFonts w:hint="eastAsia"/>
                      <w:szCs w:val="21"/>
                    </w:rPr>
                    <w:t>2</w:t>
                  </w:r>
                </w:p>
              </w:tc>
              <w:tc>
                <w:tcPr>
                  <w:tcW w:w="616" w:type="dxa"/>
                  <w:vMerge w:val="restart"/>
                  <w:vAlign w:val="center"/>
                </w:tcPr>
                <w:p w14:paraId="3DCC4ED0">
                  <w:pPr>
                    <w:snapToGrid w:val="0"/>
                    <w:ind w:left="-63" w:leftChars="-30" w:right="-63" w:rightChars="-30"/>
                    <w:jc w:val="center"/>
                    <w:rPr>
                      <w:szCs w:val="21"/>
                    </w:rPr>
                  </w:pPr>
                  <w:r>
                    <w:rPr>
                      <w:rFonts w:hint="eastAsia"/>
                      <w:szCs w:val="21"/>
                    </w:rPr>
                    <w:t>机加工序用水</w:t>
                  </w:r>
                </w:p>
              </w:tc>
              <w:tc>
                <w:tcPr>
                  <w:tcW w:w="617" w:type="dxa"/>
                  <w:vAlign w:val="center"/>
                </w:tcPr>
                <w:p w14:paraId="36F068F9">
                  <w:pPr>
                    <w:snapToGrid w:val="0"/>
                    <w:ind w:left="-63" w:leftChars="-30" w:right="-63" w:rightChars="-30"/>
                    <w:jc w:val="center"/>
                    <w:rPr>
                      <w:szCs w:val="21"/>
                    </w:rPr>
                  </w:pPr>
                  <w:r>
                    <w:rPr>
                      <w:rFonts w:hint="eastAsia"/>
                      <w:szCs w:val="21"/>
                    </w:rPr>
                    <w:t>机加工用水</w:t>
                  </w:r>
                </w:p>
              </w:tc>
              <w:tc>
                <w:tcPr>
                  <w:tcW w:w="1136" w:type="dxa"/>
                  <w:vAlign w:val="center"/>
                </w:tcPr>
                <w:p w14:paraId="293531D6">
                  <w:pPr>
                    <w:snapToGrid w:val="0"/>
                    <w:ind w:left="-63" w:leftChars="-30" w:right="-63" w:rightChars="-30"/>
                    <w:jc w:val="center"/>
                    <w:rPr>
                      <w:szCs w:val="21"/>
                    </w:rPr>
                  </w:pPr>
                  <w:r>
                    <w:rPr>
                      <w:rFonts w:hint="eastAsia"/>
                      <w:szCs w:val="21"/>
                    </w:rPr>
                    <w:t>2</w:t>
                  </w:r>
                  <w:r>
                    <w:rPr>
                      <w:szCs w:val="21"/>
                    </w:rPr>
                    <w:t>.8</w:t>
                  </w:r>
                </w:p>
              </w:tc>
              <w:tc>
                <w:tcPr>
                  <w:tcW w:w="1082" w:type="dxa"/>
                  <w:vAlign w:val="center"/>
                </w:tcPr>
                <w:p w14:paraId="28DED53F">
                  <w:pPr>
                    <w:snapToGrid w:val="0"/>
                    <w:ind w:left="-63" w:leftChars="-30" w:right="-63" w:rightChars="-30"/>
                    <w:jc w:val="center"/>
                    <w:rPr>
                      <w:szCs w:val="21"/>
                    </w:rPr>
                  </w:pPr>
                  <w:r>
                    <w:rPr>
                      <w:szCs w:val="21"/>
                    </w:rPr>
                    <w:t>330d</w:t>
                  </w:r>
                </w:p>
              </w:tc>
              <w:tc>
                <w:tcPr>
                  <w:tcW w:w="923" w:type="dxa"/>
                  <w:vAlign w:val="center"/>
                </w:tcPr>
                <w:p w14:paraId="7BF67E7F">
                  <w:pPr>
                    <w:widowControl/>
                    <w:jc w:val="center"/>
                    <w:rPr>
                      <w:rFonts w:eastAsia="等线"/>
                      <w:kern w:val="0"/>
                      <w:szCs w:val="21"/>
                    </w:rPr>
                  </w:pPr>
                  <w:r>
                    <w:rPr>
                      <w:rFonts w:hint="eastAsia"/>
                      <w:szCs w:val="21"/>
                    </w:rPr>
                    <w:t>2</w:t>
                  </w:r>
                  <w:r>
                    <w:rPr>
                      <w:szCs w:val="21"/>
                    </w:rPr>
                    <w:t>.8</w:t>
                  </w:r>
                </w:p>
              </w:tc>
              <w:tc>
                <w:tcPr>
                  <w:tcW w:w="1028" w:type="dxa"/>
                  <w:vAlign w:val="center"/>
                </w:tcPr>
                <w:p w14:paraId="50A9DF49">
                  <w:pPr>
                    <w:jc w:val="center"/>
                    <w:rPr>
                      <w:rFonts w:eastAsia="等线"/>
                      <w:szCs w:val="21"/>
                    </w:rPr>
                  </w:pPr>
                  <w:r>
                    <w:rPr>
                      <w:rFonts w:eastAsia="等线"/>
                      <w:szCs w:val="21"/>
                    </w:rPr>
                    <w:t>924</w:t>
                  </w:r>
                </w:p>
              </w:tc>
              <w:tc>
                <w:tcPr>
                  <w:tcW w:w="865" w:type="dxa"/>
                  <w:vAlign w:val="center"/>
                </w:tcPr>
                <w:p w14:paraId="20F7C138">
                  <w:pPr>
                    <w:jc w:val="center"/>
                    <w:rPr>
                      <w:rFonts w:eastAsia="等线"/>
                      <w:szCs w:val="21"/>
                    </w:rPr>
                  </w:pPr>
                  <w:r>
                    <w:rPr>
                      <w:rFonts w:eastAsia="等线"/>
                      <w:szCs w:val="21"/>
                    </w:rPr>
                    <w:t>0</w:t>
                  </w:r>
                </w:p>
              </w:tc>
              <w:tc>
                <w:tcPr>
                  <w:tcW w:w="1028" w:type="dxa"/>
                  <w:vAlign w:val="center"/>
                </w:tcPr>
                <w:p w14:paraId="15065D70">
                  <w:pPr>
                    <w:jc w:val="center"/>
                    <w:rPr>
                      <w:rFonts w:eastAsia="等线"/>
                      <w:szCs w:val="21"/>
                    </w:rPr>
                  </w:pPr>
                  <w:r>
                    <w:rPr>
                      <w:rFonts w:eastAsia="等线"/>
                      <w:szCs w:val="21"/>
                    </w:rPr>
                    <w:t>0</w:t>
                  </w:r>
                </w:p>
              </w:tc>
              <w:tc>
                <w:tcPr>
                  <w:tcW w:w="650" w:type="dxa"/>
                  <w:vAlign w:val="center"/>
                </w:tcPr>
                <w:p w14:paraId="431F2B0C">
                  <w:pPr>
                    <w:snapToGrid w:val="0"/>
                    <w:ind w:left="-63" w:leftChars="-30" w:right="-63" w:rightChars="-30"/>
                    <w:jc w:val="center"/>
                    <w:rPr>
                      <w:szCs w:val="21"/>
                    </w:rPr>
                  </w:pPr>
                  <w:r>
                    <w:rPr>
                      <w:rFonts w:hint="eastAsia"/>
                      <w:szCs w:val="21"/>
                    </w:rPr>
                    <w:t>作为危险废物</w:t>
                  </w:r>
                </w:p>
              </w:tc>
            </w:tr>
            <w:tr w14:paraId="64A57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continue"/>
                  <w:vAlign w:val="center"/>
                </w:tcPr>
                <w:p w14:paraId="09AE630F">
                  <w:pPr>
                    <w:snapToGrid w:val="0"/>
                    <w:ind w:left="-63" w:leftChars="-30" w:right="-63" w:rightChars="-30"/>
                    <w:jc w:val="center"/>
                    <w:rPr>
                      <w:szCs w:val="21"/>
                    </w:rPr>
                  </w:pPr>
                </w:p>
              </w:tc>
              <w:tc>
                <w:tcPr>
                  <w:tcW w:w="616" w:type="dxa"/>
                  <w:vMerge w:val="continue"/>
                  <w:vAlign w:val="center"/>
                </w:tcPr>
                <w:p w14:paraId="53FA27E9">
                  <w:pPr>
                    <w:snapToGrid w:val="0"/>
                    <w:ind w:left="-63" w:leftChars="-30" w:right="-63" w:rightChars="-30"/>
                    <w:jc w:val="center"/>
                    <w:rPr>
                      <w:szCs w:val="21"/>
                    </w:rPr>
                  </w:pPr>
                </w:p>
              </w:tc>
              <w:tc>
                <w:tcPr>
                  <w:tcW w:w="617" w:type="dxa"/>
                  <w:vAlign w:val="center"/>
                </w:tcPr>
                <w:p w14:paraId="75A4C5AC">
                  <w:pPr>
                    <w:snapToGrid w:val="0"/>
                    <w:ind w:left="-63" w:leftChars="-30" w:right="-63" w:rightChars="-30"/>
                    <w:jc w:val="center"/>
                    <w:rPr>
                      <w:szCs w:val="21"/>
                    </w:rPr>
                  </w:pPr>
                  <w:r>
                    <w:rPr>
                      <w:rFonts w:hint="eastAsia"/>
                      <w:szCs w:val="21"/>
                    </w:rPr>
                    <w:t>机边清洗</w:t>
                  </w:r>
                </w:p>
              </w:tc>
              <w:tc>
                <w:tcPr>
                  <w:tcW w:w="1136" w:type="dxa"/>
                  <w:vAlign w:val="center"/>
                </w:tcPr>
                <w:p w14:paraId="27998F1D">
                  <w:pPr>
                    <w:snapToGrid w:val="0"/>
                    <w:ind w:left="-63" w:leftChars="-30" w:right="-63" w:rightChars="-30"/>
                    <w:jc w:val="center"/>
                    <w:rPr>
                      <w:szCs w:val="21"/>
                    </w:rPr>
                  </w:pPr>
                  <w:r>
                    <w:rPr>
                      <w:rFonts w:hint="eastAsia"/>
                      <w:szCs w:val="21"/>
                    </w:rPr>
                    <w:t>3</w:t>
                  </w:r>
                  <w:r>
                    <w:rPr>
                      <w:szCs w:val="21"/>
                    </w:rPr>
                    <w:t>0</w:t>
                  </w:r>
                  <w:r>
                    <w:rPr>
                      <w:rFonts w:hint="eastAsia"/>
                      <w:szCs w:val="21"/>
                    </w:rPr>
                    <w:t>L</w:t>
                  </w:r>
                  <w:r>
                    <w:rPr>
                      <w:szCs w:val="21"/>
                    </w:rPr>
                    <w:t>/</w:t>
                  </w:r>
                  <w:r>
                    <w:rPr>
                      <w:rFonts w:hint="eastAsia"/>
                      <w:szCs w:val="21"/>
                    </w:rPr>
                    <w:t>台</w:t>
                  </w:r>
                  <w:r>
                    <w:rPr>
                      <w:szCs w:val="21"/>
                    </w:rPr>
                    <w:t>·</w:t>
                  </w:r>
                  <w:r>
                    <w:rPr>
                      <w:rFonts w:hint="eastAsia"/>
                      <w:szCs w:val="21"/>
                    </w:rPr>
                    <w:t>班</w:t>
                  </w:r>
                </w:p>
              </w:tc>
              <w:tc>
                <w:tcPr>
                  <w:tcW w:w="1082" w:type="dxa"/>
                  <w:vAlign w:val="center"/>
                </w:tcPr>
                <w:p w14:paraId="0729AA98">
                  <w:pPr>
                    <w:snapToGrid w:val="0"/>
                    <w:ind w:left="-63" w:leftChars="-30" w:right="-63" w:rightChars="-30"/>
                    <w:jc w:val="center"/>
                    <w:rPr>
                      <w:szCs w:val="21"/>
                    </w:rPr>
                  </w:pPr>
                  <w:r>
                    <w:rPr>
                      <w:rFonts w:hint="eastAsia"/>
                      <w:szCs w:val="21"/>
                    </w:rPr>
                    <w:t>1</w:t>
                  </w:r>
                  <w:r>
                    <w:rPr>
                      <w:szCs w:val="21"/>
                    </w:rPr>
                    <w:t>40</w:t>
                  </w:r>
                  <w:r>
                    <w:rPr>
                      <w:rFonts w:hint="eastAsia"/>
                      <w:szCs w:val="21"/>
                    </w:rPr>
                    <w:t>台，</w:t>
                  </w:r>
                  <w:r>
                    <w:rPr>
                      <w:szCs w:val="21"/>
                    </w:rPr>
                    <w:t>330</w:t>
                  </w:r>
                  <w:r>
                    <w:rPr>
                      <w:rFonts w:hint="eastAsia"/>
                      <w:szCs w:val="21"/>
                    </w:rPr>
                    <w:t>d，每天3班</w:t>
                  </w:r>
                </w:p>
              </w:tc>
              <w:tc>
                <w:tcPr>
                  <w:tcW w:w="923" w:type="dxa"/>
                  <w:vAlign w:val="center"/>
                </w:tcPr>
                <w:p w14:paraId="623FF108">
                  <w:pPr>
                    <w:widowControl/>
                    <w:jc w:val="center"/>
                    <w:rPr>
                      <w:rFonts w:eastAsia="等线"/>
                      <w:kern w:val="0"/>
                      <w:szCs w:val="21"/>
                    </w:rPr>
                  </w:pPr>
                  <w:r>
                    <w:rPr>
                      <w:rFonts w:eastAsia="等线"/>
                      <w:szCs w:val="21"/>
                    </w:rPr>
                    <w:t>12.6</w:t>
                  </w:r>
                </w:p>
              </w:tc>
              <w:tc>
                <w:tcPr>
                  <w:tcW w:w="1028" w:type="dxa"/>
                  <w:vAlign w:val="center"/>
                </w:tcPr>
                <w:p w14:paraId="432C2C6F">
                  <w:pPr>
                    <w:jc w:val="center"/>
                    <w:rPr>
                      <w:rFonts w:eastAsia="等线"/>
                      <w:szCs w:val="21"/>
                    </w:rPr>
                  </w:pPr>
                  <w:r>
                    <w:rPr>
                      <w:rFonts w:eastAsia="等线"/>
                      <w:szCs w:val="21"/>
                    </w:rPr>
                    <w:t>4158</w:t>
                  </w:r>
                </w:p>
              </w:tc>
              <w:tc>
                <w:tcPr>
                  <w:tcW w:w="865" w:type="dxa"/>
                  <w:vAlign w:val="center"/>
                </w:tcPr>
                <w:p w14:paraId="12B9F711">
                  <w:pPr>
                    <w:jc w:val="center"/>
                    <w:rPr>
                      <w:rFonts w:eastAsia="等线"/>
                      <w:szCs w:val="21"/>
                    </w:rPr>
                  </w:pPr>
                  <w:r>
                    <w:rPr>
                      <w:rFonts w:eastAsia="等线"/>
                      <w:szCs w:val="21"/>
                    </w:rPr>
                    <w:t>11.34</w:t>
                  </w:r>
                </w:p>
              </w:tc>
              <w:tc>
                <w:tcPr>
                  <w:tcW w:w="1028" w:type="dxa"/>
                  <w:vAlign w:val="center"/>
                </w:tcPr>
                <w:p w14:paraId="4BD96E9A">
                  <w:pPr>
                    <w:jc w:val="center"/>
                    <w:rPr>
                      <w:rFonts w:eastAsia="等线"/>
                      <w:szCs w:val="21"/>
                    </w:rPr>
                  </w:pPr>
                  <w:r>
                    <w:rPr>
                      <w:rFonts w:eastAsia="等线"/>
                      <w:szCs w:val="21"/>
                    </w:rPr>
                    <w:t>3742.2</w:t>
                  </w:r>
                </w:p>
              </w:tc>
              <w:tc>
                <w:tcPr>
                  <w:tcW w:w="650" w:type="dxa"/>
                  <w:vMerge w:val="restart"/>
                  <w:vAlign w:val="center"/>
                </w:tcPr>
                <w:p w14:paraId="711B4D51">
                  <w:pPr>
                    <w:snapToGrid w:val="0"/>
                    <w:ind w:left="-63" w:leftChars="-30" w:right="-63" w:rightChars="-30"/>
                    <w:jc w:val="center"/>
                    <w:rPr>
                      <w:szCs w:val="21"/>
                    </w:rPr>
                  </w:pPr>
                  <w:r>
                    <w:rPr>
                      <w:rFonts w:hint="eastAsia"/>
                      <w:szCs w:val="21"/>
                    </w:rPr>
                    <w:t>排入预处理池</w:t>
                  </w:r>
                </w:p>
              </w:tc>
            </w:tr>
            <w:tr w14:paraId="01739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restart"/>
                  <w:vAlign w:val="center"/>
                </w:tcPr>
                <w:p w14:paraId="609ADFA1">
                  <w:pPr>
                    <w:snapToGrid w:val="0"/>
                    <w:ind w:left="-63" w:leftChars="-30" w:right="-63" w:rightChars="-30"/>
                    <w:jc w:val="center"/>
                    <w:rPr>
                      <w:szCs w:val="21"/>
                    </w:rPr>
                  </w:pPr>
                  <w:r>
                    <w:rPr>
                      <w:rFonts w:hint="eastAsia"/>
                      <w:szCs w:val="21"/>
                    </w:rPr>
                    <w:t>3</w:t>
                  </w:r>
                </w:p>
              </w:tc>
              <w:tc>
                <w:tcPr>
                  <w:tcW w:w="616" w:type="dxa"/>
                  <w:vMerge w:val="restart"/>
                  <w:vAlign w:val="center"/>
                </w:tcPr>
                <w:p w14:paraId="4CFA575E">
                  <w:pPr>
                    <w:snapToGrid w:val="0"/>
                    <w:ind w:left="-63" w:leftChars="-30" w:right="-63" w:rightChars="-30"/>
                    <w:jc w:val="center"/>
                    <w:rPr>
                      <w:szCs w:val="21"/>
                    </w:rPr>
                  </w:pPr>
                  <w:r>
                    <w:rPr>
                      <w:rFonts w:hint="eastAsia"/>
                      <w:szCs w:val="21"/>
                    </w:rPr>
                    <w:t>浸渗工序用水</w:t>
                  </w:r>
                </w:p>
              </w:tc>
              <w:tc>
                <w:tcPr>
                  <w:tcW w:w="617" w:type="dxa"/>
                  <w:vAlign w:val="center"/>
                </w:tcPr>
                <w:p w14:paraId="55203ED0">
                  <w:pPr>
                    <w:snapToGrid w:val="0"/>
                    <w:ind w:left="-63" w:leftChars="-30" w:right="-63" w:rightChars="-30"/>
                    <w:jc w:val="center"/>
                    <w:rPr>
                      <w:szCs w:val="21"/>
                    </w:rPr>
                  </w:pPr>
                  <w:r>
                    <w:rPr>
                      <w:szCs w:val="21"/>
                    </w:rPr>
                    <w:t>浸渗用水</w:t>
                  </w:r>
                </w:p>
              </w:tc>
              <w:tc>
                <w:tcPr>
                  <w:tcW w:w="1136" w:type="dxa"/>
                  <w:vAlign w:val="center"/>
                </w:tcPr>
                <w:p w14:paraId="1FED6318">
                  <w:pPr>
                    <w:snapToGrid w:val="0"/>
                    <w:ind w:left="-63" w:leftChars="-30" w:right="-63" w:rightChars="-30"/>
                    <w:jc w:val="center"/>
                    <w:rPr>
                      <w:szCs w:val="21"/>
                    </w:rPr>
                  </w:pPr>
                  <w:r>
                    <w:rPr>
                      <w:rFonts w:hint="eastAsia"/>
                      <w:szCs w:val="21"/>
                    </w:rPr>
                    <w:t>0</w:t>
                  </w:r>
                  <w:r>
                    <w:rPr>
                      <w:szCs w:val="21"/>
                    </w:rPr>
                    <w:t>.12</w:t>
                  </w:r>
                  <w:r>
                    <w:rPr>
                      <w:rFonts w:hint="eastAsia"/>
                      <w:szCs w:val="21"/>
                    </w:rPr>
                    <w:t>m</w:t>
                  </w:r>
                  <w:r>
                    <w:rPr>
                      <w:szCs w:val="21"/>
                      <w:vertAlign w:val="superscript"/>
                    </w:rPr>
                    <w:t>3</w:t>
                  </w:r>
                  <w:r>
                    <w:rPr>
                      <w:szCs w:val="21"/>
                    </w:rPr>
                    <w:t>/</w:t>
                  </w:r>
                  <w:r>
                    <w:rPr>
                      <w:rFonts w:hint="eastAsia"/>
                      <w:szCs w:val="21"/>
                    </w:rPr>
                    <w:t>d</w:t>
                  </w:r>
                </w:p>
              </w:tc>
              <w:tc>
                <w:tcPr>
                  <w:tcW w:w="1082" w:type="dxa"/>
                  <w:vAlign w:val="center"/>
                </w:tcPr>
                <w:p w14:paraId="33EE27FD">
                  <w:pPr>
                    <w:snapToGrid w:val="0"/>
                    <w:ind w:left="-63" w:leftChars="-30" w:right="-63" w:rightChars="-30"/>
                    <w:jc w:val="center"/>
                    <w:rPr>
                      <w:szCs w:val="21"/>
                    </w:rPr>
                  </w:pPr>
                  <w:r>
                    <w:rPr>
                      <w:szCs w:val="21"/>
                    </w:rPr>
                    <w:t>330</w:t>
                  </w:r>
                  <w:r>
                    <w:rPr>
                      <w:rFonts w:hint="eastAsia"/>
                      <w:szCs w:val="21"/>
                    </w:rPr>
                    <w:t>d</w:t>
                  </w:r>
                </w:p>
              </w:tc>
              <w:tc>
                <w:tcPr>
                  <w:tcW w:w="923" w:type="dxa"/>
                  <w:vAlign w:val="center"/>
                </w:tcPr>
                <w:p w14:paraId="4264B9BC">
                  <w:pPr>
                    <w:widowControl/>
                    <w:jc w:val="center"/>
                    <w:rPr>
                      <w:rFonts w:eastAsia="等线"/>
                      <w:kern w:val="0"/>
                      <w:szCs w:val="21"/>
                    </w:rPr>
                  </w:pPr>
                  <w:r>
                    <w:rPr>
                      <w:rFonts w:eastAsia="等线"/>
                      <w:szCs w:val="21"/>
                    </w:rPr>
                    <w:t>0.12</w:t>
                  </w:r>
                </w:p>
              </w:tc>
              <w:tc>
                <w:tcPr>
                  <w:tcW w:w="1028" w:type="dxa"/>
                  <w:vAlign w:val="center"/>
                </w:tcPr>
                <w:p w14:paraId="6CAD8746">
                  <w:pPr>
                    <w:jc w:val="center"/>
                    <w:rPr>
                      <w:rFonts w:eastAsia="等线"/>
                      <w:szCs w:val="21"/>
                    </w:rPr>
                  </w:pPr>
                  <w:r>
                    <w:rPr>
                      <w:rFonts w:eastAsia="等线"/>
                      <w:szCs w:val="21"/>
                    </w:rPr>
                    <w:t>39.6</w:t>
                  </w:r>
                </w:p>
              </w:tc>
              <w:tc>
                <w:tcPr>
                  <w:tcW w:w="865" w:type="dxa"/>
                  <w:vAlign w:val="center"/>
                </w:tcPr>
                <w:p w14:paraId="7A2EB61B">
                  <w:pPr>
                    <w:jc w:val="center"/>
                    <w:rPr>
                      <w:rFonts w:eastAsia="等线"/>
                      <w:szCs w:val="21"/>
                    </w:rPr>
                  </w:pPr>
                  <w:r>
                    <w:rPr>
                      <w:rFonts w:eastAsia="等线"/>
                      <w:szCs w:val="21"/>
                    </w:rPr>
                    <w:t>0</w:t>
                  </w:r>
                </w:p>
              </w:tc>
              <w:tc>
                <w:tcPr>
                  <w:tcW w:w="1028" w:type="dxa"/>
                  <w:vAlign w:val="center"/>
                </w:tcPr>
                <w:p w14:paraId="1FD0CE78">
                  <w:pPr>
                    <w:jc w:val="center"/>
                    <w:rPr>
                      <w:rFonts w:eastAsia="等线"/>
                      <w:szCs w:val="21"/>
                    </w:rPr>
                  </w:pPr>
                  <w:r>
                    <w:rPr>
                      <w:rFonts w:eastAsia="等线"/>
                      <w:szCs w:val="21"/>
                    </w:rPr>
                    <w:t>0</w:t>
                  </w:r>
                </w:p>
              </w:tc>
              <w:tc>
                <w:tcPr>
                  <w:tcW w:w="650" w:type="dxa"/>
                  <w:vMerge w:val="continue"/>
                  <w:vAlign w:val="center"/>
                </w:tcPr>
                <w:p w14:paraId="77D475DF">
                  <w:pPr>
                    <w:snapToGrid w:val="0"/>
                    <w:ind w:left="-63" w:leftChars="-30" w:right="-63" w:rightChars="-30"/>
                    <w:jc w:val="center"/>
                    <w:rPr>
                      <w:szCs w:val="21"/>
                    </w:rPr>
                  </w:pPr>
                </w:p>
              </w:tc>
            </w:tr>
            <w:tr w14:paraId="5CCDF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continue"/>
                  <w:vAlign w:val="center"/>
                </w:tcPr>
                <w:p w14:paraId="6A9DB742">
                  <w:pPr>
                    <w:snapToGrid w:val="0"/>
                    <w:ind w:left="-63" w:leftChars="-30" w:right="-63" w:rightChars="-30"/>
                    <w:jc w:val="center"/>
                    <w:rPr>
                      <w:szCs w:val="21"/>
                    </w:rPr>
                  </w:pPr>
                </w:p>
              </w:tc>
              <w:tc>
                <w:tcPr>
                  <w:tcW w:w="616" w:type="dxa"/>
                  <w:vMerge w:val="continue"/>
                  <w:vAlign w:val="center"/>
                </w:tcPr>
                <w:p w14:paraId="79659B55">
                  <w:pPr>
                    <w:snapToGrid w:val="0"/>
                    <w:ind w:left="-63" w:leftChars="-30" w:right="-63" w:rightChars="-30"/>
                    <w:jc w:val="center"/>
                    <w:rPr>
                      <w:szCs w:val="21"/>
                    </w:rPr>
                  </w:pPr>
                </w:p>
              </w:tc>
              <w:tc>
                <w:tcPr>
                  <w:tcW w:w="617" w:type="dxa"/>
                  <w:vAlign w:val="center"/>
                </w:tcPr>
                <w:p w14:paraId="4A758BB6">
                  <w:pPr>
                    <w:snapToGrid w:val="0"/>
                    <w:ind w:left="-63" w:leftChars="-30" w:right="-63" w:rightChars="-30"/>
                    <w:jc w:val="center"/>
                    <w:rPr>
                      <w:szCs w:val="21"/>
                    </w:rPr>
                  </w:pPr>
                  <w:r>
                    <w:rPr>
                      <w:szCs w:val="21"/>
                    </w:rPr>
                    <w:t>清洗用水</w:t>
                  </w:r>
                </w:p>
              </w:tc>
              <w:tc>
                <w:tcPr>
                  <w:tcW w:w="1136" w:type="dxa"/>
                  <w:vAlign w:val="center"/>
                </w:tcPr>
                <w:p w14:paraId="6DEE953B">
                  <w:pPr>
                    <w:snapToGrid w:val="0"/>
                    <w:ind w:left="-63" w:leftChars="-30" w:right="-63" w:rightChars="-30"/>
                    <w:jc w:val="center"/>
                    <w:rPr>
                      <w:szCs w:val="21"/>
                    </w:rPr>
                  </w:pPr>
                  <w:r>
                    <w:rPr>
                      <w:szCs w:val="21"/>
                    </w:rPr>
                    <w:t>2.72</w:t>
                  </w:r>
                  <w:r>
                    <w:rPr>
                      <w:rFonts w:hint="eastAsia"/>
                      <w:szCs w:val="21"/>
                    </w:rPr>
                    <w:t>m</w:t>
                  </w:r>
                  <w:r>
                    <w:rPr>
                      <w:szCs w:val="21"/>
                      <w:vertAlign w:val="superscript"/>
                    </w:rPr>
                    <w:t>3</w:t>
                  </w:r>
                  <w:r>
                    <w:rPr>
                      <w:szCs w:val="21"/>
                    </w:rPr>
                    <w:t>/</w:t>
                  </w:r>
                  <w:r>
                    <w:rPr>
                      <w:rFonts w:hint="eastAsia"/>
                      <w:szCs w:val="21"/>
                    </w:rPr>
                    <w:t>d</w:t>
                  </w:r>
                </w:p>
              </w:tc>
              <w:tc>
                <w:tcPr>
                  <w:tcW w:w="1082" w:type="dxa"/>
                  <w:vAlign w:val="center"/>
                </w:tcPr>
                <w:p w14:paraId="5994BE26">
                  <w:pPr>
                    <w:snapToGrid w:val="0"/>
                    <w:ind w:left="-63" w:leftChars="-30" w:right="-63" w:rightChars="-30"/>
                    <w:jc w:val="center"/>
                    <w:rPr>
                      <w:szCs w:val="21"/>
                    </w:rPr>
                  </w:pPr>
                  <w:r>
                    <w:rPr>
                      <w:szCs w:val="21"/>
                    </w:rPr>
                    <w:t>330</w:t>
                  </w:r>
                  <w:r>
                    <w:rPr>
                      <w:rFonts w:hint="eastAsia"/>
                      <w:szCs w:val="21"/>
                    </w:rPr>
                    <w:t>d</w:t>
                  </w:r>
                </w:p>
              </w:tc>
              <w:tc>
                <w:tcPr>
                  <w:tcW w:w="923" w:type="dxa"/>
                  <w:vAlign w:val="center"/>
                </w:tcPr>
                <w:p w14:paraId="01FCFB63">
                  <w:pPr>
                    <w:widowControl/>
                    <w:jc w:val="center"/>
                    <w:rPr>
                      <w:rFonts w:eastAsia="等线"/>
                      <w:kern w:val="0"/>
                      <w:sz w:val="24"/>
                    </w:rPr>
                  </w:pPr>
                  <w:r>
                    <w:rPr>
                      <w:rFonts w:eastAsia="等线"/>
                    </w:rPr>
                    <w:t>2.72</w:t>
                  </w:r>
                </w:p>
              </w:tc>
              <w:tc>
                <w:tcPr>
                  <w:tcW w:w="1028" w:type="dxa"/>
                  <w:vAlign w:val="center"/>
                </w:tcPr>
                <w:p w14:paraId="4D3D04EC">
                  <w:pPr>
                    <w:jc w:val="center"/>
                    <w:rPr>
                      <w:rFonts w:eastAsia="等线"/>
                      <w:szCs w:val="21"/>
                    </w:rPr>
                  </w:pPr>
                  <w:r>
                    <w:rPr>
                      <w:rFonts w:eastAsia="等线"/>
                      <w:szCs w:val="21"/>
                    </w:rPr>
                    <w:t>897.6</w:t>
                  </w:r>
                </w:p>
              </w:tc>
              <w:tc>
                <w:tcPr>
                  <w:tcW w:w="865" w:type="dxa"/>
                  <w:vAlign w:val="center"/>
                </w:tcPr>
                <w:p w14:paraId="02739E3F">
                  <w:pPr>
                    <w:jc w:val="center"/>
                    <w:rPr>
                      <w:rFonts w:eastAsia="等线"/>
                      <w:szCs w:val="21"/>
                    </w:rPr>
                  </w:pPr>
                  <w:r>
                    <w:rPr>
                      <w:rFonts w:eastAsia="等线"/>
                      <w:szCs w:val="21"/>
                    </w:rPr>
                    <w:t>2.48</w:t>
                  </w:r>
                </w:p>
              </w:tc>
              <w:tc>
                <w:tcPr>
                  <w:tcW w:w="1028" w:type="dxa"/>
                  <w:vAlign w:val="center"/>
                </w:tcPr>
                <w:p w14:paraId="33C46DFB">
                  <w:pPr>
                    <w:jc w:val="center"/>
                    <w:rPr>
                      <w:rFonts w:eastAsia="等线"/>
                      <w:szCs w:val="21"/>
                    </w:rPr>
                  </w:pPr>
                  <w:r>
                    <w:rPr>
                      <w:rFonts w:eastAsia="等线"/>
                      <w:szCs w:val="21"/>
                    </w:rPr>
                    <w:t>818.4</w:t>
                  </w:r>
                </w:p>
              </w:tc>
              <w:tc>
                <w:tcPr>
                  <w:tcW w:w="650" w:type="dxa"/>
                  <w:vMerge w:val="continue"/>
                  <w:vAlign w:val="center"/>
                </w:tcPr>
                <w:p w14:paraId="24EC5CDF">
                  <w:pPr>
                    <w:snapToGrid w:val="0"/>
                    <w:ind w:left="-63" w:leftChars="-30" w:right="-63" w:rightChars="-30"/>
                    <w:jc w:val="center"/>
                    <w:rPr>
                      <w:szCs w:val="21"/>
                    </w:rPr>
                  </w:pPr>
                </w:p>
              </w:tc>
            </w:tr>
            <w:tr w14:paraId="12748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continue"/>
                  <w:vAlign w:val="center"/>
                </w:tcPr>
                <w:p w14:paraId="213C28B2">
                  <w:pPr>
                    <w:snapToGrid w:val="0"/>
                    <w:ind w:left="-63" w:leftChars="-30" w:right="-63" w:rightChars="-30"/>
                    <w:jc w:val="center"/>
                    <w:rPr>
                      <w:szCs w:val="21"/>
                    </w:rPr>
                  </w:pPr>
                </w:p>
              </w:tc>
              <w:tc>
                <w:tcPr>
                  <w:tcW w:w="616" w:type="dxa"/>
                  <w:vMerge w:val="continue"/>
                  <w:vAlign w:val="center"/>
                </w:tcPr>
                <w:p w14:paraId="1E7444F2">
                  <w:pPr>
                    <w:snapToGrid w:val="0"/>
                    <w:ind w:left="-63" w:leftChars="-30" w:right="-63" w:rightChars="-30"/>
                    <w:jc w:val="center"/>
                    <w:rPr>
                      <w:szCs w:val="21"/>
                    </w:rPr>
                  </w:pPr>
                </w:p>
              </w:tc>
              <w:tc>
                <w:tcPr>
                  <w:tcW w:w="617" w:type="dxa"/>
                  <w:vAlign w:val="center"/>
                </w:tcPr>
                <w:p w14:paraId="4E7CFD53">
                  <w:pPr>
                    <w:snapToGrid w:val="0"/>
                    <w:ind w:left="-63" w:leftChars="-30" w:right="-63" w:rightChars="-30"/>
                    <w:jc w:val="center"/>
                    <w:rPr>
                      <w:szCs w:val="21"/>
                    </w:rPr>
                  </w:pPr>
                  <w:r>
                    <w:rPr>
                      <w:rFonts w:hint="eastAsia"/>
                      <w:szCs w:val="21"/>
                    </w:rPr>
                    <w:t>固化</w:t>
                  </w:r>
                  <w:r>
                    <w:rPr>
                      <w:szCs w:val="21"/>
                    </w:rPr>
                    <w:t>用水</w:t>
                  </w:r>
                </w:p>
              </w:tc>
              <w:tc>
                <w:tcPr>
                  <w:tcW w:w="1136" w:type="dxa"/>
                  <w:vAlign w:val="center"/>
                </w:tcPr>
                <w:p w14:paraId="27C26337">
                  <w:pPr>
                    <w:snapToGrid w:val="0"/>
                    <w:ind w:left="-63" w:leftChars="-30" w:right="-63" w:rightChars="-30"/>
                    <w:jc w:val="center"/>
                    <w:rPr>
                      <w:szCs w:val="21"/>
                    </w:rPr>
                  </w:pPr>
                  <w:r>
                    <w:rPr>
                      <w:szCs w:val="21"/>
                    </w:rPr>
                    <w:t>3.32</w:t>
                  </w:r>
                  <w:r>
                    <w:rPr>
                      <w:rFonts w:hint="eastAsia"/>
                      <w:szCs w:val="21"/>
                    </w:rPr>
                    <w:t>m</w:t>
                  </w:r>
                  <w:r>
                    <w:rPr>
                      <w:szCs w:val="21"/>
                      <w:vertAlign w:val="superscript"/>
                    </w:rPr>
                    <w:t>3</w:t>
                  </w:r>
                  <w:r>
                    <w:rPr>
                      <w:szCs w:val="21"/>
                    </w:rPr>
                    <w:t>/</w:t>
                  </w:r>
                  <w:r>
                    <w:rPr>
                      <w:rFonts w:hint="eastAsia"/>
                      <w:szCs w:val="21"/>
                    </w:rPr>
                    <w:t>周</w:t>
                  </w:r>
                </w:p>
              </w:tc>
              <w:tc>
                <w:tcPr>
                  <w:tcW w:w="1082" w:type="dxa"/>
                  <w:vAlign w:val="center"/>
                </w:tcPr>
                <w:p w14:paraId="17E402CD">
                  <w:pPr>
                    <w:snapToGrid w:val="0"/>
                    <w:ind w:left="-63" w:leftChars="-30" w:right="-63" w:rightChars="-30"/>
                    <w:jc w:val="center"/>
                    <w:rPr>
                      <w:szCs w:val="21"/>
                    </w:rPr>
                  </w:pPr>
                  <w:r>
                    <w:rPr>
                      <w:szCs w:val="21"/>
                    </w:rPr>
                    <w:t>330</w:t>
                  </w:r>
                  <w:r>
                    <w:rPr>
                      <w:rFonts w:hint="eastAsia"/>
                      <w:szCs w:val="21"/>
                    </w:rPr>
                    <w:t>d</w:t>
                  </w:r>
                  <w:r>
                    <w:rPr>
                      <w:szCs w:val="21"/>
                    </w:rPr>
                    <w:t>/47周</w:t>
                  </w:r>
                </w:p>
              </w:tc>
              <w:tc>
                <w:tcPr>
                  <w:tcW w:w="923" w:type="dxa"/>
                  <w:vAlign w:val="center"/>
                </w:tcPr>
                <w:p w14:paraId="196DDA06">
                  <w:pPr>
                    <w:widowControl/>
                    <w:jc w:val="center"/>
                    <w:rPr>
                      <w:rFonts w:eastAsia="等线"/>
                      <w:kern w:val="0"/>
                      <w:sz w:val="24"/>
                    </w:rPr>
                  </w:pPr>
                  <w:r>
                    <w:rPr>
                      <w:rFonts w:eastAsia="等线"/>
                    </w:rPr>
                    <w:t>2.6</w:t>
                  </w:r>
                </w:p>
              </w:tc>
              <w:tc>
                <w:tcPr>
                  <w:tcW w:w="1028" w:type="dxa"/>
                  <w:vAlign w:val="center"/>
                </w:tcPr>
                <w:p w14:paraId="2684625B">
                  <w:pPr>
                    <w:jc w:val="center"/>
                    <w:rPr>
                      <w:rFonts w:eastAsia="等线"/>
                      <w:szCs w:val="21"/>
                    </w:rPr>
                  </w:pPr>
                  <w:r>
                    <w:rPr>
                      <w:rFonts w:eastAsia="等线"/>
                      <w:szCs w:val="21"/>
                    </w:rPr>
                    <w:t>156.04</w:t>
                  </w:r>
                </w:p>
              </w:tc>
              <w:tc>
                <w:tcPr>
                  <w:tcW w:w="865" w:type="dxa"/>
                  <w:vAlign w:val="center"/>
                </w:tcPr>
                <w:p w14:paraId="73725E81">
                  <w:pPr>
                    <w:jc w:val="center"/>
                    <w:rPr>
                      <w:rFonts w:eastAsia="等线"/>
                      <w:sz w:val="24"/>
                    </w:rPr>
                  </w:pPr>
                  <w:r>
                    <w:rPr>
                      <w:rFonts w:eastAsia="等线"/>
                    </w:rPr>
                    <w:t>2.48</w:t>
                  </w:r>
                </w:p>
              </w:tc>
              <w:tc>
                <w:tcPr>
                  <w:tcW w:w="1028" w:type="dxa"/>
                  <w:vAlign w:val="center"/>
                </w:tcPr>
                <w:p w14:paraId="2654C55A">
                  <w:pPr>
                    <w:jc w:val="center"/>
                    <w:rPr>
                      <w:rFonts w:eastAsia="等线"/>
                      <w:szCs w:val="21"/>
                    </w:rPr>
                  </w:pPr>
                  <w:r>
                    <w:rPr>
                      <w:rFonts w:eastAsia="等线"/>
                      <w:szCs w:val="21"/>
                    </w:rPr>
                    <w:t>116.56</w:t>
                  </w:r>
                </w:p>
              </w:tc>
              <w:tc>
                <w:tcPr>
                  <w:tcW w:w="650" w:type="dxa"/>
                  <w:vMerge w:val="continue"/>
                  <w:vAlign w:val="center"/>
                </w:tcPr>
                <w:p w14:paraId="4A372C77">
                  <w:pPr>
                    <w:snapToGrid w:val="0"/>
                    <w:ind w:left="-63" w:leftChars="-30" w:right="-63" w:rightChars="-30"/>
                    <w:jc w:val="center"/>
                    <w:rPr>
                      <w:szCs w:val="21"/>
                    </w:rPr>
                  </w:pPr>
                </w:p>
              </w:tc>
            </w:tr>
            <w:tr w14:paraId="7BD57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2E6ABD83">
                  <w:pPr>
                    <w:snapToGrid w:val="0"/>
                    <w:ind w:left="-63" w:leftChars="-30" w:right="-63" w:rightChars="-30"/>
                    <w:jc w:val="center"/>
                    <w:rPr>
                      <w:szCs w:val="21"/>
                    </w:rPr>
                  </w:pPr>
                  <w:r>
                    <w:rPr>
                      <w:szCs w:val="21"/>
                    </w:rPr>
                    <w:t>4</w:t>
                  </w:r>
                </w:p>
              </w:tc>
              <w:tc>
                <w:tcPr>
                  <w:tcW w:w="1233" w:type="dxa"/>
                  <w:gridSpan w:val="2"/>
                  <w:vAlign w:val="center"/>
                </w:tcPr>
                <w:p w14:paraId="719AB4B1">
                  <w:pPr>
                    <w:snapToGrid w:val="0"/>
                    <w:ind w:left="-63" w:leftChars="-30" w:right="-63" w:rightChars="-30"/>
                    <w:jc w:val="center"/>
                    <w:rPr>
                      <w:szCs w:val="21"/>
                    </w:rPr>
                  </w:pPr>
                  <w:r>
                    <w:rPr>
                      <w:rFonts w:hint="eastAsia"/>
                      <w:szCs w:val="21"/>
                    </w:rPr>
                    <w:t>清洗工序用水</w:t>
                  </w:r>
                </w:p>
              </w:tc>
              <w:tc>
                <w:tcPr>
                  <w:tcW w:w="1136" w:type="dxa"/>
                  <w:vAlign w:val="center"/>
                </w:tcPr>
                <w:p w14:paraId="4E532262">
                  <w:pPr>
                    <w:snapToGrid w:val="0"/>
                    <w:ind w:left="-63" w:leftChars="-30" w:right="-63" w:rightChars="-30"/>
                    <w:jc w:val="center"/>
                    <w:rPr>
                      <w:szCs w:val="21"/>
                    </w:rPr>
                  </w:pPr>
                  <w:r>
                    <w:rPr>
                      <w:rFonts w:hint="eastAsia"/>
                      <w:sz w:val="24"/>
                    </w:rPr>
                    <w:t>4</w:t>
                  </w:r>
                  <w:r>
                    <w:rPr>
                      <w:rFonts w:hint="eastAsia"/>
                      <w:szCs w:val="21"/>
                    </w:rPr>
                    <w:t>m</w:t>
                  </w:r>
                  <w:r>
                    <w:rPr>
                      <w:rFonts w:hint="eastAsia"/>
                      <w:szCs w:val="21"/>
                      <w:vertAlign w:val="superscript"/>
                    </w:rPr>
                    <w:t>3</w:t>
                  </w:r>
                  <w:r>
                    <w:rPr>
                      <w:rFonts w:hint="eastAsia"/>
                      <w:szCs w:val="21"/>
                    </w:rPr>
                    <w:t>/</w:t>
                  </w:r>
                  <w:r>
                    <w:rPr>
                      <w:szCs w:val="21"/>
                    </w:rPr>
                    <w:t>2</w:t>
                  </w:r>
                  <w:r>
                    <w:rPr>
                      <w:rFonts w:hint="eastAsia"/>
                      <w:szCs w:val="21"/>
                    </w:rPr>
                    <w:t>d</w:t>
                  </w:r>
                </w:p>
              </w:tc>
              <w:tc>
                <w:tcPr>
                  <w:tcW w:w="1082" w:type="dxa"/>
                  <w:vAlign w:val="center"/>
                </w:tcPr>
                <w:p w14:paraId="31CC1D61">
                  <w:pPr>
                    <w:snapToGrid w:val="0"/>
                    <w:ind w:left="-63" w:leftChars="-30" w:right="-63" w:rightChars="-30"/>
                    <w:jc w:val="center"/>
                    <w:rPr>
                      <w:szCs w:val="21"/>
                    </w:rPr>
                  </w:pPr>
                  <w:r>
                    <w:rPr>
                      <w:szCs w:val="21"/>
                    </w:rPr>
                    <w:t>330</w:t>
                  </w:r>
                  <w:r>
                    <w:rPr>
                      <w:rFonts w:hint="eastAsia"/>
                      <w:szCs w:val="21"/>
                    </w:rPr>
                    <w:t>d</w:t>
                  </w:r>
                </w:p>
              </w:tc>
              <w:tc>
                <w:tcPr>
                  <w:tcW w:w="923" w:type="dxa"/>
                  <w:vAlign w:val="center"/>
                </w:tcPr>
                <w:p w14:paraId="34B043A0">
                  <w:pPr>
                    <w:widowControl/>
                    <w:jc w:val="center"/>
                    <w:rPr>
                      <w:rFonts w:eastAsia="等线"/>
                      <w:kern w:val="0"/>
                      <w:sz w:val="24"/>
                    </w:rPr>
                  </w:pPr>
                  <w:r>
                    <w:rPr>
                      <w:rFonts w:eastAsia="等线"/>
                    </w:rPr>
                    <w:t>3.2</w:t>
                  </w:r>
                </w:p>
              </w:tc>
              <w:tc>
                <w:tcPr>
                  <w:tcW w:w="1028" w:type="dxa"/>
                  <w:vAlign w:val="center"/>
                </w:tcPr>
                <w:p w14:paraId="57FA7076">
                  <w:pPr>
                    <w:jc w:val="center"/>
                    <w:rPr>
                      <w:rFonts w:eastAsia="等线"/>
                      <w:szCs w:val="21"/>
                    </w:rPr>
                  </w:pPr>
                  <w:r>
                    <w:rPr>
                      <w:rFonts w:eastAsia="等线"/>
                      <w:szCs w:val="21"/>
                    </w:rPr>
                    <w:t>660</w:t>
                  </w:r>
                </w:p>
              </w:tc>
              <w:tc>
                <w:tcPr>
                  <w:tcW w:w="865" w:type="dxa"/>
                  <w:vAlign w:val="center"/>
                </w:tcPr>
                <w:p w14:paraId="1420DF83">
                  <w:pPr>
                    <w:jc w:val="center"/>
                    <w:rPr>
                      <w:rFonts w:eastAsia="等线"/>
                      <w:szCs w:val="21"/>
                    </w:rPr>
                  </w:pPr>
                  <w:r>
                    <w:rPr>
                      <w:rFonts w:eastAsia="等线"/>
                      <w:szCs w:val="21"/>
                    </w:rPr>
                    <w:t>2.4</w:t>
                  </w:r>
                </w:p>
              </w:tc>
              <w:tc>
                <w:tcPr>
                  <w:tcW w:w="1028" w:type="dxa"/>
                  <w:vAlign w:val="center"/>
                </w:tcPr>
                <w:p w14:paraId="19FCC707">
                  <w:pPr>
                    <w:jc w:val="center"/>
                    <w:rPr>
                      <w:rFonts w:eastAsia="等线"/>
                      <w:szCs w:val="21"/>
                    </w:rPr>
                  </w:pPr>
                  <w:r>
                    <w:rPr>
                      <w:rFonts w:eastAsia="等线"/>
                      <w:szCs w:val="21"/>
                    </w:rPr>
                    <w:t>396</w:t>
                  </w:r>
                </w:p>
              </w:tc>
              <w:tc>
                <w:tcPr>
                  <w:tcW w:w="650" w:type="dxa"/>
                  <w:vMerge w:val="continue"/>
                  <w:vAlign w:val="center"/>
                </w:tcPr>
                <w:p w14:paraId="61FA0EC0">
                  <w:pPr>
                    <w:snapToGrid w:val="0"/>
                    <w:ind w:left="-63" w:leftChars="-30" w:right="-63" w:rightChars="-30"/>
                    <w:jc w:val="center"/>
                    <w:rPr>
                      <w:szCs w:val="21"/>
                    </w:rPr>
                  </w:pPr>
                </w:p>
              </w:tc>
            </w:tr>
            <w:tr w14:paraId="715FF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05B01EB7">
                  <w:pPr>
                    <w:snapToGrid w:val="0"/>
                    <w:ind w:left="-63" w:leftChars="-30" w:right="-63" w:rightChars="-30"/>
                    <w:jc w:val="center"/>
                    <w:rPr>
                      <w:szCs w:val="21"/>
                    </w:rPr>
                  </w:pPr>
                  <w:r>
                    <w:rPr>
                      <w:szCs w:val="21"/>
                    </w:rPr>
                    <w:t>5</w:t>
                  </w:r>
                </w:p>
              </w:tc>
              <w:tc>
                <w:tcPr>
                  <w:tcW w:w="1233" w:type="dxa"/>
                  <w:gridSpan w:val="2"/>
                  <w:vAlign w:val="center"/>
                </w:tcPr>
                <w:p w14:paraId="4E53D16E">
                  <w:pPr>
                    <w:snapToGrid w:val="0"/>
                    <w:ind w:left="-63" w:leftChars="-30" w:right="-63" w:rightChars="-30"/>
                    <w:jc w:val="center"/>
                    <w:rPr>
                      <w:szCs w:val="21"/>
                    </w:rPr>
                  </w:pPr>
                  <w:r>
                    <w:rPr>
                      <w:rFonts w:hint="eastAsia"/>
                      <w:szCs w:val="21"/>
                    </w:rPr>
                    <w:t>模具清洗用水</w:t>
                  </w:r>
                </w:p>
              </w:tc>
              <w:tc>
                <w:tcPr>
                  <w:tcW w:w="1136" w:type="dxa"/>
                  <w:vAlign w:val="center"/>
                </w:tcPr>
                <w:p w14:paraId="39BCC1C5">
                  <w:pPr>
                    <w:snapToGrid w:val="0"/>
                    <w:ind w:left="-63" w:leftChars="-30" w:right="-63" w:rightChars="-30"/>
                    <w:jc w:val="center"/>
                    <w:rPr>
                      <w:szCs w:val="21"/>
                    </w:rPr>
                  </w:pPr>
                  <w:r>
                    <w:rPr>
                      <w:rFonts w:hint="eastAsia"/>
                      <w:szCs w:val="21"/>
                    </w:rPr>
                    <w:t>5</w:t>
                  </w:r>
                  <w:r>
                    <w:rPr>
                      <w:szCs w:val="21"/>
                    </w:rPr>
                    <w:t>0</w:t>
                  </w:r>
                  <w:r>
                    <w:rPr>
                      <w:rFonts w:hint="eastAsia"/>
                      <w:szCs w:val="21"/>
                    </w:rPr>
                    <w:t>L</w:t>
                  </w:r>
                  <w:r>
                    <w:rPr>
                      <w:szCs w:val="21"/>
                    </w:rPr>
                    <w:t>/</w:t>
                  </w:r>
                  <w:r>
                    <w:rPr>
                      <w:rFonts w:hint="eastAsia"/>
                      <w:szCs w:val="21"/>
                    </w:rPr>
                    <w:t>台</w:t>
                  </w:r>
                  <w:r>
                    <w:rPr>
                      <w:szCs w:val="21"/>
                    </w:rPr>
                    <w:t>·d</w:t>
                  </w:r>
                </w:p>
              </w:tc>
              <w:tc>
                <w:tcPr>
                  <w:tcW w:w="1082" w:type="dxa"/>
                  <w:vAlign w:val="center"/>
                </w:tcPr>
                <w:p w14:paraId="682D3996">
                  <w:pPr>
                    <w:snapToGrid w:val="0"/>
                    <w:ind w:left="-63" w:leftChars="-30" w:right="-63" w:rightChars="-30"/>
                    <w:jc w:val="center"/>
                    <w:rPr>
                      <w:szCs w:val="21"/>
                    </w:rPr>
                  </w:pPr>
                  <w:r>
                    <w:rPr>
                      <w:rFonts w:hint="eastAsia"/>
                      <w:szCs w:val="21"/>
                    </w:rPr>
                    <w:t>4台，</w:t>
                  </w:r>
                  <w:r>
                    <w:rPr>
                      <w:szCs w:val="21"/>
                    </w:rPr>
                    <w:t>330</w:t>
                  </w:r>
                  <w:r>
                    <w:rPr>
                      <w:rFonts w:hint="eastAsia"/>
                      <w:szCs w:val="21"/>
                    </w:rPr>
                    <w:t>d</w:t>
                  </w:r>
                </w:p>
              </w:tc>
              <w:tc>
                <w:tcPr>
                  <w:tcW w:w="923" w:type="dxa"/>
                  <w:vAlign w:val="center"/>
                </w:tcPr>
                <w:p w14:paraId="4FE0006B">
                  <w:pPr>
                    <w:widowControl/>
                    <w:jc w:val="center"/>
                    <w:rPr>
                      <w:rFonts w:eastAsia="等线"/>
                      <w:kern w:val="0"/>
                      <w:szCs w:val="21"/>
                    </w:rPr>
                  </w:pPr>
                  <w:r>
                    <w:rPr>
                      <w:rFonts w:eastAsia="等线"/>
                      <w:szCs w:val="21"/>
                    </w:rPr>
                    <w:t>0.2</w:t>
                  </w:r>
                </w:p>
              </w:tc>
              <w:tc>
                <w:tcPr>
                  <w:tcW w:w="1028" w:type="dxa"/>
                  <w:vAlign w:val="center"/>
                </w:tcPr>
                <w:p w14:paraId="635F0694">
                  <w:pPr>
                    <w:jc w:val="center"/>
                    <w:rPr>
                      <w:rFonts w:eastAsia="等线"/>
                      <w:szCs w:val="21"/>
                    </w:rPr>
                  </w:pPr>
                  <w:r>
                    <w:rPr>
                      <w:rFonts w:eastAsia="等线"/>
                      <w:szCs w:val="21"/>
                    </w:rPr>
                    <w:t>66</w:t>
                  </w:r>
                </w:p>
              </w:tc>
              <w:tc>
                <w:tcPr>
                  <w:tcW w:w="865" w:type="dxa"/>
                  <w:vAlign w:val="center"/>
                </w:tcPr>
                <w:p w14:paraId="5B6D5E6A">
                  <w:pPr>
                    <w:jc w:val="center"/>
                    <w:rPr>
                      <w:rFonts w:eastAsia="等线"/>
                      <w:szCs w:val="21"/>
                    </w:rPr>
                  </w:pPr>
                  <w:r>
                    <w:rPr>
                      <w:rFonts w:eastAsia="等线"/>
                      <w:szCs w:val="21"/>
                    </w:rPr>
                    <w:t>0.18</w:t>
                  </w:r>
                </w:p>
              </w:tc>
              <w:tc>
                <w:tcPr>
                  <w:tcW w:w="1028" w:type="dxa"/>
                  <w:vAlign w:val="center"/>
                </w:tcPr>
                <w:p w14:paraId="2F343CD3">
                  <w:pPr>
                    <w:jc w:val="center"/>
                    <w:rPr>
                      <w:rFonts w:eastAsia="等线"/>
                      <w:szCs w:val="21"/>
                    </w:rPr>
                  </w:pPr>
                  <w:r>
                    <w:rPr>
                      <w:rFonts w:eastAsia="等线"/>
                      <w:szCs w:val="21"/>
                    </w:rPr>
                    <w:t>59.4</w:t>
                  </w:r>
                </w:p>
              </w:tc>
              <w:tc>
                <w:tcPr>
                  <w:tcW w:w="650" w:type="dxa"/>
                  <w:vMerge w:val="continue"/>
                  <w:vAlign w:val="center"/>
                </w:tcPr>
                <w:p w14:paraId="3D75988A">
                  <w:pPr>
                    <w:snapToGrid w:val="0"/>
                    <w:ind w:left="-63" w:leftChars="-30" w:right="-63" w:rightChars="-30"/>
                    <w:jc w:val="center"/>
                    <w:rPr>
                      <w:szCs w:val="21"/>
                    </w:rPr>
                  </w:pPr>
                </w:p>
              </w:tc>
            </w:tr>
            <w:tr w14:paraId="36916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4A9C5909">
                  <w:pPr>
                    <w:snapToGrid w:val="0"/>
                    <w:ind w:left="-63" w:leftChars="-30" w:right="-63" w:rightChars="-30"/>
                    <w:jc w:val="center"/>
                    <w:rPr>
                      <w:szCs w:val="21"/>
                    </w:rPr>
                  </w:pPr>
                  <w:r>
                    <w:rPr>
                      <w:rFonts w:hint="eastAsia"/>
                      <w:szCs w:val="21"/>
                    </w:rPr>
                    <w:t>6</w:t>
                  </w:r>
                </w:p>
              </w:tc>
              <w:tc>
                <w:tcPr>
                  <w:tcW w:w="1233" w:type="dxa"/>
                  <w:gridSpan w:val="2"/>
                  <w:vAlign w:val="center"/>
                </w:tcPr>
                <w:p w14:paraId="33510229">
                  <w:pPr>
                    <w:snapToGrid w:val="0"/>
                    <w:ind w:left="-63" w:leftChars="-30" w:right="-63" w:rightChars="-30"/>
                    <w:jc w:val="center"/>
                    <w:rPr>
                      <w:szCs w:val="21"/>
                    </w:rPr>
                  </w:pPr>
                  <w:r>
                    <w:rPr>
                      <w:rFonts w:hint="eastAsia"/>
                      <w:szCs w:val="21"/>
                    </w:rPr>
                    <w:t>包装材料清洗用水</w:t>
                  </w:r>
                </w:p>
              </w:tc>
              <w:tc>
                <w:tcPr>
                  <w:tcW w:w="1136" w:type="dxa"/>
                  <w:vAlign w:val="center"/>
                </w:tcPr>
                <w:p w14:paraId="1C16B166">
                  <w:pPr>
                    <w:snapToGrid w:val="0"/>
                    <w:ind w:left="-63" w:leftChars="-30" w:right="-63" w:rightChars="-30"/>
                    <w:jc w:val="center"/>
                    <w:rPr>
                      <w:szCs w:val="21"/>
                    </w:rPr>
                  </w:pPr>
                  <w:r>
                    <w:rPr>
                      <w:rFonts w:hint="eastAsia"/>
                      <w:szCs w:val="21"/>
                    </w:rPr>
                    <w:t>0.5m</w:t>
                  </w:r>
                  <w:r>
                    <w:rPr>
                      <w:rFonts w:hint="eastAsia"/>
                      <w:szCs w:val="21"/>
                      <w:vertAlign w:val="superscript"/>
                    </w:rPr>
                    <w:t>3</w:t>
                  </w:r>
                  <w:r>
                    <w:rPr>
                      <w:rFonts w:hint="eastAsia"/>
                      <w:szCs w:val="21"/>
                    </w:rPr>
                    <w:t>/d</w:t>
                  </w:r>
                </w:p>
              </w:tc>
              <w:tc>
                <w:tcPr>
                  <w:tcW w:w="1082" w:type="dxa"/>
                  <w:vAlign w:val="center"/>
                </w:tcPr>
                <w:p w14:paraId="7B76272E">
                  <w:pPr>
                    <w:snapToGrid w:val="0"/>
                    <w:ind w:left="-63" w:leftChars="-30" w:right="-63" w:rightChars="-30"/>
                    <w:jc w:val="center"/>
                    <w:rPr>
                      <w:szCs w:val="21"/>
                    </w:rPr>
                  </w:pPr>
                  <w:r>
                    <w:rPr>
                      <w:szCs w:val="21"/>
                    </w:rPr>
                    <w:t>330</w:t>
                  </w:r>
                  <w:r>
                    <w:rPr>
                      <w:rFonts w:hint="eastAsia"/>
                      <w:szCs w:val="21"/>
                    </w:rPr>
                    <w:t>d</w:t>
                  </w:r>
                </w:p>
              </w:tc>
              <w:tc>
                <w:tcPr>
                  <w:tcW w:w="923" w:type="dxa"/>
                  <w:vAlign w:val="center"/>
                </w:tcPr>
                <w:p w14:paraId="439A21AF">
                  <w:pPr>
                    <w:widowControl/>
                    <w:jc w:val="center"/>
                    <w:rPr>
                      <w:rFonts w:eastAsia="等线"/>
                      <w:kern w:val="0"/>
                      <w:szCs w:val="21"/>
                    </w:rPr>
                  </w:pPr>
                  <w:r>
                    <w:rPr>
                      <w:rFonts w:eastAsia="等线"/>
                      <w:szCs w:val="21"/>
                    </w:rPr>
                    <w:t>0.5</w:t>
                  </w:r>
                </w:p>
              </w:tc>
              <w:tc>
                <w:tcPr>
                  <w:tcW w:w="1028" w:type="dxa"/>
                  <w:vAlign w:val="center"/>
                </w:tcPr>
                <w:p w14:paraId="6557C9F6">
                  <w:pPr>
                    <w:jc w:val="center"/>
                    <w:rPr>
                      <w:rFonts w:eastAsia="等线"/>
                      <w:szCs w:val="21"/>
                    </w:rPr>
                  </w:pPr>
                  <w:r>
                    <w:rPr>
                      <w:rFonts w:eastAsia="等线"/>
                      <w:szCs w:val="21"/>
                    </w:rPr>
                    <w:t>165</w:t>
                  </w:r>
                </w:p>
              </w:tc>
              <w:tc>
                <w:tcPr>
                  <w:tcW w:w="865" w:type="dxa"/>
                  <w:vAlign w:val="center"/>
                </w:tcPr>
                <w:p w14:paraId="044EB6D3">
                  <w:pPr>
                    <w:jc w:val="center"/>
                    <w:rPr>
                      <w:rFonts w:eastAsia="等线"/>
                      <w:szCs w:val="21"/>
                    </w:rPr>
                  </w:pPr>
                  <w:r>
                    <w:rPr>
                      <w:rFonts w:eastAsia="等线"/>
                      <w:szCs w:val="21"/>
                    </w:rPr>
                    <w:t>0.45</w:t>
                  </w:r>
                </w:p>
              </w:tc>
              <w:tc>
                <w:tcPr>
                  <w:tcW w:w="1028" w:type="dxa"/>
                  <w:vAlign w:val="center"/>
                </w:tcPr>
                <w:p w14:paraId="7F20E586">
                  <w:pPr>
                    <w:jc w:val="center"/>
                    <w:rPr>
                      <w:rFonts w:eastAsia="等线"/>
                      <w:szCs w:val="21"/>
                    </w:rPr>
                  </w:pPr>
                  <w:r>
                    <w:rPr>
                      <w:rFonts w:eastAsia="等线"/>
                      <w:szCs w:val="21"/>
                    </w:rPr>
                    <w:t>148.5</w:t>
                  </w:r>
                </w:p>
              </w:tc>
              <w:tc>
                <w:tcPr>
                  <w:tcW w:w="650" w:type="dxa"/>
                  <w:vMerge w:val="continue"/>
                  <w:vAlign w:val="center"/>
                </w:tcPr>
                <w:p w14:paraId="513FB9AB">
                  <w:pPr>
                    <w:snapToGrid w:val="0"/>
                    <w:ind w:left="-63" w:leftChars="-30" w:right="-63" w:rightChars="-30"/>
                    <w:jc w:val="center"/>
                    <w:rPr>
                      <w:szCs w:val="21"/>
                    </w:rPr>
                  </w:pPr>
                </w:p>
              </w:tc>
            </w:tr>
            <w:tr w14:paraId="3F2A2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5234FB7F">
                  <w:pPr>
                    <w:snapToGrid w:val="0"/>
                    <w:ind w:left="-63" w:leftChars="-30" w:right="-63" w:rightChars="-30"/>
                    <w:jc w:val="center"/>
                    <w:rPr>
                      <w:szCs w:val="21"/>
                    </w:rPr>
                  </w:pPr>
                  <w:r>
                    <w:rPr>
                      <w:rFonts w:hint="eastAsia"/>
                      <w:szCs w:val="21"/>
                    </w:rPr>
                    <w:t>7</w:t>
                  </w:r>
                </w:p>
              </w:tc>
              <w:tc>
                <w:tcPr>
                  <w:tcW w:w="1233" w:type="dxa"/>
                  <w:gridSpan w:val="2"/>
                  <w:vAlign w:val="center"/>
                </w:tcPr>
                <w:p w14:paraId="423E843F">
                  <w:pPr>
                    <w:snapToGrid w:val="0"/>
                    <w:ind w:left="-63" w:leftChars="-30" w:right="-63" w:rightChars="-30"/>
                    <w:jc w:val="center"/>
                    <w:rPr>
                      <w:szCs w:val="21"/>
                    </w:rPr>
                  </w:pPr>
                  <w:r>
                    <w:rPr>
                      <w:rFonts w:hint="eastAsia"/>
                      <w:szCs w:val="21"/>
                    </w:rPr>
                    <w:t>地坪保洁用水</w:t>
                  </w:r>
                </w:p>
              </w:tc>
              <w:tc>
                <w:tcPr>
                  <w:tcW w:w="1136" w:type="dxa"/>
                  <w:vAlign w:val="center"/>
                </w:tcPr>
                <w:p w14:paraId="5C41F67B">
                  <w:pPr>
                    <w:snapToGrid w:val="0"/>
                    <w:ind w:left="-63" w:leftChars="-30" w:right="-63" w:rightChars="-30"/>
                    <w:jc w:val="center"/>
                    <w:rPr>
                      <w:szCs w:val="21"/>
                    </w:rPr>
                  </w:pPr>
                  <w:r>
                    <w:rPr>
                      <w:szCs w:val="21"/>
                    </w:rPr>
                    <w:t>1</w:t>
                  </w:r>
                  <w:r>
                    <w:rPr>
                      <w:rFonts w:hint="eastAsia"/>
                      <w:szCs w:val="21"/>
                    </w:rPr>
                    <w:t>m</w:t>
                  </w:r>
                  <w:r>
                    <w:rPr>
                      <w:rFonts w:hint="eastAsia"/>
                      <w:szCs w:val="21"/>
                      <w:vertAlign w:val="superscript"/>
                    </w:rPr>
                    <w:t>3</w:t>
                  </w:r>
                  <w:r>
                    <w:rPr>
                      <w:rFonts w:hint="eastAsia"/>
                      <w:szCs w:val="21"/>
                    </w:rPr>
                    <w:t>/d</w:t>
                  </w:r>
                </w:p>
              </w:tc>
              <w:tc>
                <w:tcPr>
                  <w:tcW w:w="1082" w:type="dxa"/>
                  <w:vAlign w:val="center"/>
                </w:tcPr>
                <w:p w14:paraId="355B60AB">
                  <w:pPr>
                    <w:snapToGrid w:val="0"/>
                    <w:ind w:left="-63" w:leftChars="-30" w:right="-63" w:rightChars="-30"/>
                    <w:jc w:val="center"/>
                    <w:rPr>
                      <w:szCs w:val="21"/>
                    </w:rPr>
                  </w:pPr>
                  <w:r>
                    <w:rPr>
                      <w:szCs w:val="21"/>
                    </w:rPr>
                    <w:t>330</w:t>
                  </w:r>
                  <w:r>
                    <w:rPr>
                      <w:rFonts w:hint="eastAsia"/>
                      <w:szCs w:val="21"/>
                    </w:rPr>
                    <w:t>d</w:t>
                  </w:r>
                </w:p>
              </w:tc>
              <w:tc>
                <w:tcPr>
                  <w:tcW w:w="923" w:type="dxa"/>
                  <w:vAlign w:val="center"/>
                </w:tcPr>
                <w:p w14:paraId="50EB2DB4">
                  <w:pPr>
                    <w:widowControl/>
                    <w:jc w:val="center"/>
                    <w:rPr>
                      <w:rFonts w:eastAsia="等线"/>
                      <w:kern w:val="0"/>
                      <w:szCs w:val="21"/>
                    </w:rPr>
                  </w:pPr>
                  <w:r>
                    <w:rPr>
                      <w:rFonts w:eastAsia="等线"/>
                      <w:szCs w:val="21"/>
                    </w:rPr>
                    <w:t>1</w:t>
                  </w:r>
                </w:p>
              </w:tc>
              <w:tc>
                <w:tcPr>
                  <w:tcW w:w="1028" w:type="dxa"/>
                  <w:vAlign w:val="center"/>
                </w:tcPr>
                <w:p w14:paraId="27C0ADAB">
                  <w:pPr>
                    <w:jc w:val="center"/>
                    <w:rPr>
                      <w:rFonts w:eastAsia="等线"/>
                      <w:szCs w:val="21"/>
                    </w:rPr>
                  </w:pPr>
                  <w:r>
                    <w:rPr>
                      <w:rFonts w:eastAsia="等线"/>
                      <w:szCs w:val="21"/>
                    </w:rPr>
                    <w:t>330</w:t>
                  </w:r>
                </w:p>
              </w:tc>
              <w:tc>
                <w:tcPr>
                  <w:tcW w:w="865" w:type="dxa"/>
                  <w:vAlign w:val="center"/>
                </w:tcPr>
                <w:p w14:paraId="577CC433">
                  <w:pPr>
                    <w:jc w:val="center"/>
                    <w:rPr>
                      <w:rFonts w:eastAsia="等线"/>
                      <w:szCs w:val="21"/>
                    </w:rPr>
                  </w:pPr>
                  <w:r>
                    <w:rPr>
                      <w:rFonts w:eastAsia="等线"/>
                      <w:szCs w:val="21"/>
                    </w:rPr>
                    <w:t>0.9</w:t>
                  </w:r>
                </w:p>
              </w:tc>
              <w:tc>
                <w:tcPr>
                  <w:tcW w:w="1028" w:type="dxa"/>
                  <w:vAlign w:val="center"/>
                </w:tcPr>
                <w:p w14:paraId="62BA3709">
                  <w:pPr>
                    <w:jc w:val="center"/>
                    <w:rPr>
                      <w:rFonts w:eastAsia="等线"/>
                      <w:szCs w:val="21"/>
                    </w:rPr>
                  </w:pPr>
                  <w:r>
                    <w:rPr>
                      <w:rFonts w:eastAsia="等线"/>
                      <w:szCs w:val="21"/>
                    </w:rPr>
                    <w:t>297</w:t>
                  </w:r>
                </w:p>
              </w:tc>
              <w:tc>
                <w:tcPr>
                  <w:tcW w:w="650" w:type="dxa"/>
                  <w:vMerge w:val="continue"/>
                  <w:vAlign w:val="center"/>
                </w:tcPr>
                <w:p w14:paraId="0645548F">
                  <w:pPr>
                    <w:snapToGrid w:val="0"/>
                    <w:ind w:left="-63" w:leftChars="-30" w:right="-63" w:rightChars="-30"/>
                    <w:jc w:val="center"/>
                    <w:rPr>
                      <w:szCs w:val="21"/>
                    </w:rPr>
                  </w:pPr>
                </w:p>
              </w:tc>
            </w:tr>
            <w:tr w14:paraId="542CE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7287F837">
                  <w:pPr>
                    <w:snapToGrid w:val="0"/>
                    <w:ind w:left="-63" w:leftChars="-30" w:right="-63" w:rightChars="-30"/>
                    <w:jc w:val="center"/>
                    <w:rPr>
                      <w:szCs w:val="21"/>
                    </w:rPr>
                  </w:pPr>
                  <w:r>
                    <w:rPr>
                      <w:rFonts w:hint="eastAsia"/>
                      <w:szCs w:val="21"/>
                    </w:rPr>
                    <w:t>8</w:t>
                  </w:r>
                </w:p>
              </w:tc>
              <w:tc>
                <w:tcPr>
                  <w:tcW w:w="1233" w:type="dxa"/>
                  <w:gridSpan w:val="2"/>
                  <w:vAlign w:val="center"/>
                </w:tcPr>
                <w:p w14:paraId="3EDE8CBA">
                  <w:pPr>
                    <w:snapToGrid w:val="0"/>
                    <w:ind w:left="-63" w:leftChars="-30" w:right="-63" w:rightChars="-30"/>
                    <w:jc w:val="center"/>
                    <w:rPr>
                      <w:szCs w:val="21"/>
                    </w:rPr>
                  </w:pPr>
                  <w:r>
                    <w:rPr>
                      <w:rFonts w:hint="eastAsia"/>
                      <w:szCs w:val="21"/>
                    </w:rPr>
                    <w:t>循环冷却系统用水</w:t>
                  </w:r>
                </w:p>
              </w:tc>
              <w:tc>
                <w:tcPr>
                  <w:tcW w:w="1136" w:type="dxa"/>
                  <w:vAlign w:val="center"/>
                </w:tcPr>
                <w:p w14:paraId="2EA953CA">
                  <w:pPr>
                    <w:snapToGrid w:val="0"/>
                    <w:ind w:left="-63" w:leftChars="-30" w:right="-63" w:rightChars="-30"/>
                    <w:jc w:val="center"/>
                    <w:rPr>
                      <w:szCs w:val="21"/>
                    </w:rPr>
                  </w:pPr>
                  <w:r>
                    <w:rPr>
                      <w:szCs w:val="21"/>
                    </w:rPr>
                    <w:t>28.8</w:t>
                  </w:r>
                  <w:r>
                    <w:rPr>
                      <w:rFonts w:hint="eastAsia"/>
                      <w:szCs w:val="21"/>
                    </w:rPr>
                    <w:t>m</w:t>
                  </w:r>
                  <w:r>
                    <w:rPr>
                      <w:rFonts w:hint="eastAsia"/>
                      <w:szCs w:val="21"/>
                      <w:vertAlign w:val="superscript"/>
                    </w:rPr>
                    <w:t>3</w:t>
                  </w:r>
                  <w:r>
                    <w:rPr>
                      <w:rFonts w:hint="eastAsia"/>
                      <w:szCs w:val="21"/>
                    </w:rPr>
                    <w:t>/d</w:t>
                  </w:r>
                </w:p>
              </w:tc>
              <w:tc>
                <w:tcPr>
                  <w:tcW w:w="1082" w:type="dxa"/>
                  <w:vAlign w:val="center"/>
                </w:tcPr>
                <w:p w14:paraId="60A3E40A">
                  <w:pPr>
                    <w:snapToGrid w:val="0"/>
                    <w:ind w:left="-63" w:leftChars="-30" w:right="-63" w:rightChars="-30"/>
                    <w:jc w:val="center"/>
                    <w:rPr>
                      <w:szCs w:val="21"/>
                    </w:rPr>
                  </w:pPr>
                  <w:r>
                    <w:rPr>
                      <w:szCs w:val="21"/>
                    </w:rPr>
                    <w:t>330</w:t>
                  </w:r>
                  <w:r>
                    <w:rPr>
                      <w:rFonts w:hint="eastAsia"/>
                      <w:szCs w:val="21"/>
                    </w:rPr>
                    <w:t>d</w:t>
                  </w:r>
                </w:p>
              </w:tc>
              <w:tc>
                <w:tcPr>
                  <w:tcW w:w="923" w:type="dxa"/>
                  <w:vAlign w:val="center"/>
                </w:tcPr>
                <w:p w14:paraId="3192C5C5">
                  <w:pPr>
                    <w:widowControl/>
                    <w:jc w:val="center"/>
                    <w:rPr>
                      <w:rFonts w:eastAsia="等线"/>
                      <w:kern w:val="0"/>
                      <w:szCs w:val="21"/>
                    </w:rPr>
                  </w:pPr>
                  <w:r>
                    <w:rPr>
                      <w:rFonts w:eastAsia="等线"/>
                      <w:szCs w:val="21"/>
                    </w:rPr>
                    <w:t>28.8</w:t>
                  </w:r>
                </w:p>
              </w:tc>
              <w:tc>
                <w:tcPr>
                  <w:tcW w:w="1028" w:type="dxa"/>
                  <w:vAlign w:val="center"/>
                </w:tcPr>
                <w:p w14:paraId="50CBB91D">
                  <w:pPr>
                    <w:jc w:val="center"/>
                    <w:rPr>
                      <w:rFonts w:eastAsia="等线"/>
                      <w:szCs w:val="21"/>
                    </w:rPr>
                  </w:pPr>
                  <w:r>
                    <w:rPr>
                      <w:rFonts w:eastAsia="等线"/>
                      <w:szCs w:val="21"/>
                    </w:rPr>
                    <w:t>9504</w:t>
                  </w:r>
                </w:p>
              </w:tc>
              <w:tc>
                <w:tcPr>
                  <w:tcW w:w="865" w:type="dxa"/>
                  <w:vAlign w:val="center"/>
                </w:tcPr>
                <w:p w14:paraId="1668EE27">
                  <w:pPr>
                    <w:jc w:val="center"/>
                    <w:rPr>
                      <w:rFonts w:eastAsia="等线"/>
                      <w:szCs w:val="21"/>
                    </w:rPr>
                  </w:pPr>
                  <w:r>
                    <w:rPr>
                      <w:rFonts w:eastAsia="等线"/>
                      <w:szCs w:val="21"/>
                    </w:rPr>
                    <w:t>0</w:t>
                  </w:r>
                </w:p>
              </w:tc>
              <w:tc>
                <w:tcPr>
                  <w:tcW w:w="1028" w:type="dxa"/>
                  <w:vAlign w:val="center"/>
                </w:tcPr>
                <w:p w14:paraId="5B1212E0">
                  <w:pPr>
                    <w:jc w:val="center"/>
                    <w:rPr>
                      <w:rFonts w:eastAsia="等线"/>
                      <w:szCs w:val="21"/>
                    </w:rPr>
                  </w:pPr>
                  <w:r>
                    <w:rPr>
                      <w:rFonts w:eastAsia="等线"/>
                      <w:szCs w:val="21"/>
                    </w:rPr>
                    <w:t>0</w:t>
                  </w:r>
                </w:p>
              </w:tc>
              <w:tc>
                <w:tcPr>
                  <w:tcW w:w="650" w:type="dxa"/>
                  <w:vAlign w:val="center"/>
                </w:tcPr>
                <w:p w14:paraId="14F6050A">
                  <w:pPr>
                    <w:snapToGrid w:val="0"/>
                    <w:ind w:left="-63" w:leftChars="-30" w:right="-63" w:rightChars="-30"/>
                    <w:jc w:val="center"/>
                    <w:rPr>
                      <w:szCs w:val="21"/>
                    </w:rPr>
                  </w:pPr>
                  <w:r>
                    <w:rPr>
                      <w:szCs w:val="21"/>
                    </w:rPr>
                    <w:t>循环使用不排放</w:t>
                  </w:r>
                </w:p>
              </w:tc>
            </w:tr>
            <w:tr w14:paraId="5E000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03" w:type="dxa"/>
                  <w:gridSpan w:val="3"/>
                  <w:vAlign w:val="center"/>
                </w:tcPr>
                <w:p w14:paraId="78D3BFC7">
                  <w:pPr>
                    <w:snapToGrid w:val="0"/>
                    <w:ind w:left="-63" w:leftChars="-30" w:right="-63" w:rightChars="-30"/>
                    <w:jc w:val="center"/>
                    <w:rPr>
                      <w:szCs w:val="21"/>
                    </w:rPr>
                  </w:pPr>
                  <w:r>
                    <w:rPr>
                      <w:rFonts w:hint="eastAsia"/>
                      <w:szCs w:val="21"/>
                    </w:rPr>
                    <w:t>小计</w:t>
                  </w:r>
                </w:p>
              </w:tc>
              <w:tc>
                <w:tcPr>
                  <w:tcW w:w="1136" w:type="dxa"/>
                  <w:vAlign w:val="center"/>
                </w:tcPr>
                <w:p w14:paraId="4224E5FB">
                  <w:pPr>
                    <w:snapToGrid w:val="0"/>
                    <w:ind w:left="-63" w:leftChars="-30" w:right="-63" w:rightChars="-30"/>
                    <w:jc w:val="center"/>
                    <w:rPr>
                      <w:szCs w:val="21"/>
                    </w:rPr>
                  </w:pPr>
                  <w:r>
                    <w:rPr>
                      <w:rFonts w:hint="eastAsia"/>
                      <w:szCs w:val="21"/>
                    </w:rPr>
                    <w:t>/</w:t>
                  </w:r>
                </w:p>
              </w:tc>
              <w:tc>
                <w:tcPr>
                  <w:tcW w:w="1082" w:type="dxa"/>
                  <w:vAlign w:val="center"/>
                </w:tcPr>
                <w:p w14:paraId="2F1B1764">
                  <w:pPr>
                    <w:snapToGrid w:val="0"/>
                    <w:ind w:left="-63" w:leftChars="-30" w:right="-63" w:rightChars="-30"/>
                    <w:jc w:val="center"/>
                    <w:rPr>
                      <w:szCs w:val="21"/>
                    </w:rPr>
                  </w:pPr>
                  <w:r>
                    <w:rPr>
                      <w:rFonts w:hint="eastAsia"/>
                      <w:szCs w:val="21"/>
                    </w:rPr>
                    <w:t>/</w:t>
                  </w:r>
                </w:p>
              </w:tc>
              <w:tc>
                <w:tcPr>
                  <w:tcW w:w="923" w:type="dxa"/>
                  <w:vAlign w:val="center"/>
                </w:tcPr>
                <w:p w14:paraId="7250784B">
                  <w:pPr>
                    <w:widowControl/>
                    <w:jc w:val="center"/>
                    <w:rPr>
                      <w:rFonts w:eastAsia="等线"/>
                      <w:kern w:val="0"/>
                      <w:szCs w:val="21"/>
                    </w:rPr>
                  </w:pPr>
                  <w:r>
                    <w:rPr>
                      <w:rFonts w:eastAsia="等线"/>
                      <w:szCs w:val="21"/>
                    </w:rPr>
                    <w:t>62.32</w:t>
                  </w:r>
                </w:p>
              </w:tc>
              <w:tc>
                <w:tcPr>
                  <w:tcW w:w="1028" w:type="dxa"/>
                  <w:vAlign w:val="center"/>
                </w:tcPr>
                <w:p w14:paraId="1A733E76">
                  <w:pPr>
                    <w:jc w:val="center"/>
                    <w:rPr>
                      <w:rFonts w:eastAsia="等线"/>
                      <w:szCs w:val="21"/>
                    </w:rPr>
                  </w:pPr>
                  <w:r>
                    <w:rPr>
                      <w:rFonts w:eastAsia="等线"/>
                      <w:szCs w:val="21"/>
                    </w:rPr>
                    <w:t>19467.64</w:t>
                  </w:r>
                </w:p>
              </w:tc>
              <w:tc>
                <w:tcPr>
                  <w:tcW w:w="865" w:type="dxa"/>
                  <w:vAlign w:val="center"/>
                </w:tcPr>
                <w:p w14:paraId="603C5A13">
                  <w:pPr>
                    <w:jc w:val="center"/>
                    <w:rPr>
                      <w:rFonts w:eastAsia="等线"/>
                      <w:szCs w:val="21"/>
                    </w:rPr>
                  </w:pPr>
                  <w:r>
                    <w:rPr>
                      <w:rFonts w:eastAsia="等线"/>
                      <w:szCs w:val="21"/>
                    </w:rPr>
                    <w:t>20.23</w:t>
                  </w:r>
                </w:p>
              </w:tc>
              <w:tc>
                <w:tcPr>
                  <w:tcW w:w="1028" w:type="dxa"/>
                  <w:vAlign w:val="center"/>
                </w:tcPr>
                <w:p w14:paraId="6760242A">
                  <w:pPr>
                    <w:jc w:val="center"/>
                    <w:rPr>
                      <w:rFonts w:eastAsia="等线"/>
                      <w:szCs w:val="21"/>
                    </w:rPr>
                  </w:pPr>
                  <w:r>
                    <w:rPr>
                      <w:rFonts w:eastAsia="等线"/>
                      <w:szCs w:val="21"/>
                    </w:rPr>
                    <w:t>5578.06</w:t>
                  </w:r>
                </w:p>
              </w:tc>
              <w:tc>
                <w:tcPr>
                  <w:tcW w:w="650" w:type="dxa"/>
                  <w:vAlign w:val="center"/>
                </w:tcPr>
                <w:p w14:paraId="41BE83D2">
                  <w:pPr>
                    <w:snapToGrid w:val="0"/>
                    <w:ind w:left="-63" w:leftChars="-30" w:right="-63" w:rightChars="-30"/>
                    <w:jc w:val="center"/>
                    <w:rPr>
                      <w:szCs w:val="21"/>
                    </w:rPr>
                  </w:pPr>
                  <w:r>
                    <w:rPr>
                      <w:rFonts w:hint="eastAsia"/>
                      <w:szCs w:val="21"/>
                    </w:rPr>
                    <w:t>/</w:t>
                  </w:r>
                </w:p>
              </w:tc>
            </w:tr>
            <w:tr w14:paraId="5150C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4E596036">
                  <w:pPr>
                    <w:snapToGrid w:val="0"/>
                    <w:ind w:left="-63" w:leftChars="-30" w:right="-63" w:rightChars="-30"/>
                    <w:jc w:val="center"/>
                    <w:rPr>
                      <w:szCs w:val="21"/>
                    </w:rPr>
                  </w:pPr>
                  <w:r>
                    <w:rPr>
                      <w:rFonts w:hint="eastAsia"/>
                      <w:szCs w:val="21"/>
                    </w:rPr>
                    <w:t>9</w:t>
                  </w:r>
                </w:p>
              </w:tc>
              <w:tc>
                <w:tcPr>
                  <w:tcW w:w="1233" w:type="dxa"/>
                  <w:gridSpan w:val="2"/>
                  <w:vAlign w:val="center"/>
                </w:tcPr>
                <w:p w14:paraId="6BA39427">
                  <w:pPr>
                    <w:snapToGrid w:val="0"/>
                    <w:ind w:left="-63" w:leftChars="-30" w:right="-63" w:rightChars="-30"/>
                    <w:jc w:val="center"/>
                    <w:rPr>
                      <w:szCs w:val="21"/>
                    </w:rPr>
                  </w:pPr>
                  <w:r>
                    <w:rPr>
                      <w:rFonts w:hint="eastAsia"/>
                      <w:szCs w:val="21"/>
                    </w:rPr>
                    <w:t>食堂用水</w:t>
                  </w:r>
                </w:p>
              </w:tc>
              <w:tc>
                <w:tcPr>
                  <w:tcW w:w="1136" w:type="dxa"/>
                  <w:vAlign w:val="center"/>
                </w:tcPr>
                <w:p w14:paraId="1A591306">
                  <w:pPr>
                    <w:snapToGrid w:val="0"/>
                    <w:ind w:left="-63" w:leftChars="-30" w:right="-63" w:rightChars="-30"/>
                    <w:jc w:val="center"/>
                    <w:rPr>
                      <w:bCs/>
                      <w:kern w:val="0"/>
                      <w:szCs w:val="21"/>
                    </w:rPr>
                  </w:pPr>
                  <w:r>
                    <w:rPr>
                      <w:bCs/>
                      <w:kern w:val="0"/>
                      <w:szCs w:val="21"/>
                    </w:rPr>
                    <w:t>20L/人·d</w:t>
                  </w:r>
                </w:p>
              </w:tc>
              <w:tc>
                <w:tcPr>
                  <w:tcW w:w="1082" w:type="dxa"/>
                  <w:vAlign w:val="center"/>
                </w:tcPr>
                <w:p w14:paraId="5827A788">
                  <w:pPr>
                    <w:snapToGrid w:val="0"/>
                    <w:ind w:left="-63" w:leftChars="-30" w:right="-63" w:rightChars="-30"/>
                    <w:jc w:val="center"/>
                    <w:rPr>
                      <w:szCs w:val="21"/>
                    </w:rPr>
                  </w:pPr>
                  <w:r>
                    <w:rPr>
                      <w:szCs w:val="21"/>
                    </w:rPr>
                    <w:t>388</w:t>
                  </w:r>
                  <w:r>
                    <w:rPr>
                      <w:rFonts w:hint="eastAsia"/>
                      <w:szCs w:val="21"/>
                    </w:rPr>
                    <w:t>人，</w:t>
                  </w:r>
                  <w:r>
                    <w:rPr>
                      <w:szCs w:val="21"/>
                    </w:rPr>
                    <w:t>330</w:t>
                  </w:r>
                  <w:r>
                    <w:rPr>
                      <w:rFonts w:hint="eastAsia"/>
                      <w:szCs w:val="21"/>
                    </w:rPr>
                    <w:t>d</w:t>
                  </w:r>
                </w:p>
              </w:tc>
              <w:tc>
                <w:tcPr>
                  <w:tcW w:w="923" w:type="dxa"/>
                  <w:vAlign w:val="center"/>
                </w:tcPr>
                <w:p w14:paraId="46919523">
                  <w:pPr>
                    <w:widowControl/>
                    <w:jc w:val="center"/>
                    <w:rPr>
                      <w:rFonts w:eastAsia="等线"/>
                      <w:kern w:val="0"/>
                      <w:szCs w:val="21"/>
                    </w:rPr>
                  </w:pPr>
                  <w:r>
                    <w:rPr>
                      <w:rFonts w:eastAsia="等线"/>
                      <w:szCs w:val="21"/>
                    </w:rPr>
                    <w:t>7.76</w:t>
                  </w:r>
                </w:p>
              </w:tc>
              <w:tc>
                <w:tcPr>
                  <w:tcW w:w="1028" w:type="dxa"/>
                  <w:vAlign w:val="center"/>
                </w:tcPr>
                <w:p w14:paraId="02FDF1DE">
                  <w:pPr>
                    <w:jc w:val="center"/>
                    <w:rPr>
                      <w:rFonts w:eastAsia="等线"/>
                      <w:szCs w:val="21"/>
                    </w:rPr>
                  </w:pPr>
                  <w:r>
                    <w:rPr>
                      <w:rFonts w:eastAsia="等线"/>
                      <w:szCs w:val="21"/>
                    </w:rPr>
                    <w:t>2560.8</w:t>
                  </w:r>
                </w:p>
              </w:tc>
              <w:tc>
                <w:tcPr>
                  <w:tcW w:w="865" w:type="dxa"/>
                  <w:vAlign w:val="center"/>
                </w:tcPr>
                <w:p w14:paraId="66A08A59">
                  <w:pPr>
                    <w:jc w:val="center"/>
                    <w:rPr>
                      <w:rFonts w:eastAsia="等线"/>
                      <w:szCs w:val="21"/>
                    </w:rPr>
                  </w:pPr>
                  <w:r>
                    <w:rPr>
                      <w:rFonts w:eastAsia="等线"/>
                      <w:szCs w:val="21"/>
                    </w:rPr>
                    <w:t>6.98</w:t>
                  </w:r>
                </w:p>
              </w:tc>
              <w:tc>
                <w:tcPr>
                  <w:tcW w:w="1028" w:type="dxa"/>
                  <w:vAlign w:val="center"/>
                </w:tcPr>
                <w:p w14:paraId="00E0E325">
                  <w:pPr>
                    <w:jc w:val="center"/>
                    <w:rPr>
                      <w:rFonts w:eastAsia="等线"/>
                      <w:szCs w:val="21"/>
                    </w:rPr>
                  </w:pPr>
                  <w:r>
                    <w:rPr>
                      <w:rFonts w:eastAsia="等线"/>
                      <w:szCs w:val="21"/>
                    </w:rPr>
                    <w:t>2303.4</w:t>
                  </w:r>
                </w:p>
              </w:tc>
              <w:tc>
                <w:tcPr>
                  <w:tcW w:w="650" w:type="dxa"/>
                  <w:vMerge w:val="restart"/>
                  <w:vAlign w:val="center"/>
                </w:tcPr>
                <w:p w14:paraId="42F5CFA8">
                  <w:pPr>
                    <w:snapToGrid w:val="0"/>
                    <w:ind w:left="-63" w:leftChars="-30" w:right="-63" w:rightChars="-30"/>
                    <w:jc w:val="center"/>
                    <w:rPr>
                      <w:szCs w:val="21"/>
                    </w:rPr>
                  </w:pPr>
                  <w:r>
                    <w:rPr>
                      <w:rFonts w:hint="eastAsia"/>
                      <w:szCs w:val="21"/>
                    </w:rPr>
                    <w:t>排入废水处理系统</w:t>
                  </w:r>
                </w:p>
              </w:tc>
            </w:tr>
            <w:tr w14:paraId="6C7C9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restart"/>
                  <w:vAlign w:val="center"/>
                </w:tcPr>
                <w:p w14:paraId="432F9D30">
                  <w:pPr>
                    <w:snapToGrid w:val="0"/>
                    <w:ind w:left="-63" w:leftChars="-30" w:right="-63" w:rightChars="-30"/>
                    <w:jc w:val="center"/>
                    <w:rPr>
                      <w:szCs w:val="21"/>
                    </w:rPr>
                  </w:pPr>
                  <w:r>
                    <w:rPr>
                      <w:szCs w:val="21"/>
                    </w:rPr>
                    <w:t>10</w:t>
                  </w:r>
                </w:p>
              </w:tc>
              <w:tc>
                <w:tcPr>
                  <w:tcW w:w="616" w:type="dxa"/>
                  <w:vMerge w:val="restart"/>
                  <w:vAlign w:val="center"/>
                </w:tcPr>
                <w:p w14:paraId="37DEE760">
                  <w:pPr>
                    <w:snapToGrid w:val="0"/>
                    <w:ind w:left="-63" w:leftChars="-30" w:right="-63" w:rightChars="-30"/>
                    <w:jc w:val="center"/>
                    <w:rPr>
                      <w:szCs w:val="21"/>
                    </w:rPr>
                  </w:pPr>
                  <w:r>
                    <w:rPr>
                      <w:rFonts w:hint="eastAsia"/>
                      <w:szCs w:val="21"/>
                    </w:rPr>
                    <w:t>生活用水</w:t>
                  </w:r>
                </w:p>
              </w:tc>
              <w:tc>
                <w:tcPr>
                  <w:tcW w:w="617" w:type="dxa"/>
                  <w:vAlign w:val="center"/>
                </w:tcPr>
                <w:p w14:paraId="3F262806">
                  <w:pPr>
                    <w:snapToGrid w:val="0"/>
                    <w:ind w:left="-63" w:leftChars="-30" w:right="-63" w:rightChars="-30"/>
                    <w:jc w:val="center"/>
                    <w:rPr>
                      <w:szCs w:val="21"/>
                    </w:rPr>
                  </w:pPr>
                  <w:r>
                    <w:rPr>
                      <w:rFonts w:hint="eastAsia"/>
                      <w:szCs w:val="21"/>
                    </w:rPr>
                    <w:t>食宿</w:t>
                  </w:r>
                </w:p>
              </w:tc>
              <w:tc>
                <w:tcPr>
                  <w:tcW w:w="1136" w:type="dxa"/>
                  <w:vAlign w:val="center"/>
                </w:tcPr>
                <w:p w14:paraId="58E10342">
                  <w:pPr>
                    <w:snapToGrid w:val="0"/>
                    <w:ind w:left="-63" w:leftChars="-30" w:right="-63" w:rightChars="-30"/>
                    <w:jc w:val="center"/>
                    <w:rPr>
                      <w:szCs w:val="21"/>
                    </w:rPr>
                  </w:pPr>
                  <w:r>
                    <w:rPr>
                      <w:bCs/>
                      <w:kern w:val="0"/>
                      <w:szCs w:val="21"/>
                    </w:rPr>
                    <w:t>150L/人·d</w:t>
                  </w:r>
                </w:p>
              </w:tc>
              <w:tc>
                <w:tcPr>
                  <w:tcW w:w="1082" w:type="dxa"/>
                  <w:vAlign w:val="center"/>
                </w:tcPr>
                <w:p w14:paraId="663E56FC">
                  <w:pPr>
                    <w:snapToGrid w:val="0"/>
                    <w:ind w:left="-63" w:leftChars="-30" w:right="-63" w:rightChars="-30"/>
                    <w:jc w:val="center"/>
                    <w:rPr>
                      <w:szCs w:val="21"/>
                    </w:rPr>
                  </w:pPr>
                  <w:r>
                    <w:rPr>
                      <w:rFonts w:hint="eastAsia"/>
                      <w:szCs w:val="21"/>
                    </w:rPr>
                    <w:t>1</w:t>
                  </w:r>
                  <w:r>
                    <w:rPr>
                      <w:szCs w:val="21"/>
                    </w:rPr>
                    <w:t>50</w:t>
                  </w:r>
                  <w:r>
                    <w:rPr>
                      <w:rFonts w:hint="eastAsia"/>
                      <w:szCs w:val="21"/>
                    </w:rPr>
                    <w:t>人，</w:t>
                  </w:r>
                  <w:r>
                    <w:rPr>
                      <w:szCs w:val="21"/>
                    </w:rPr>
                    <w:t>330</w:t>
                  </w:r>
                  <w:r>
                    <w:rPr>
                      <w:rFonts w:hint="eastAsia"/>
                      <w:szCs w:val="21"/>
                    </w:rPr>
                    <w:t>d</w:t>
                  </w:r>
                </w:p>
              </w:tc>
              <w:tc>
                <w:tcPr>
                  <w:tcW w:w="923" w:type="dxa"/>
                  <w:vAlign w:val="center"/>
                </w:tcPr>
                <w:p w14:paraId="1F8F6274">
                  <w:pPr>
                    <w:widowControl/>
                    <w:jc w:val="center"/>
                    <w:rPr>
                      <w:rFonts w:eastAsia="等线"/>
                      <w:kern w:val="0"/>
                      <w:szCs w:val="22"/>
                    </w:rPr>
                  </w:pPr>
                  <w:r>
                    <w:rPr>
                      <w:rFonts w:eastAsia="等线"/>
                      <w:szCs w:val="22"/>
                    </w:rPr>
                    <w:t>22.5</w:t>
                  </w:r>
                </w:p>
              </w:tc>
              <w:tc>
                <w:tcPr>
                  <w:tcW w:w="1028" w:type="dxa"/>
                  <w:vAlign w:val="center"/>
                </w:tcPr>
                <w:p w14:paraId="55F7B3AA">
                  <w:pPr>
                    <w:jc w:val="center"/>
                    <w:rPr>
                      <w:rFonts w:eastAsia="等线"/>
                      <w:szCs w:val="22"/>
                    </w:rPr>
                  </w:pPr>
                  <w:r>
                    <w:rPr>
                      <w:rFonts w:eastAsia="等线"/>
                      <w:szCs w:val="22"/>
                    </w:rPr>
                    <w:t>7425</w:t>
                  </w:r>
                </w:p>
              </w:tc>
              <w:tc>
                <w:tcPr>
                  <w:tcW w:w="865" w:type="dxa"/>
                  <w:vAlign w:val="center"/>
                </w:tcPr>
                <w:p w14:paraId="3B551DE8">
                  <w:pPr>
                    <w:widowControl/>
                    <w:jc w:val="center"/>
                    <w:rPr>
                      <w:rFonts w:eastAsia="等线"/>
                      <w:kern w:val="0"/>
                      <w:szCs w:val="22"/>
                    </w:rPr>
                  </w:pPr>
                  <w:r>
                    <w:rPr>
                      <w:rFonts w:eastAsia="等线"/>
                      <w:szCs w:val="22"/>
                    </w:rPr>
                    <w:t>20.25</w:t>
                  </w:r>
                </w:p>
              </w:tc>
              <w:tc>
                <w:tcPr>
                  <w:tcW w:w="1028" w:type="dxa"/>
                  <w:vAlign w:val="center"/>
                </w:tcPr>
                <w:p w14:paraId="70F957B6">
                  <w:pPr>
                    <w:jc w:val="center"/>
                    <w:rPr>
                      <w:rFonts w:eastAsia="等线"/>
                      <w:szCs w:val="22"/>
                    </w:rPr>
                  </w:pPr>
                  <w:r>
                    <w:rPr>
                      <w:rFonts w:eastAsia="等线"/>
                      <w:szCs w:val="22"/>
                    </w:rPr>
                    <w:t>6682.5</w:t>
                  </w:r>
                </w:p>
              </w:tc>
              <w:tc>
                <w:tcPr>
                  <w:tcW w:w="650" w:type="dxa"/>
                  <w:vMerge w:val="continue"/>
                  <w:vAlign w:val="center"/>
                </w:tcPr>
                <w:p w14:paraId="06A7FBE8">
                  <w:pPr>
                    <w:snapToGrid w:val="0"/>
                    <w:ind w:left="-63" w:leftChars="-30" w:right="-63" w:rightChars="-30"/>
                    <w:jc w:val="center"/>
                    <w:rPr>
                      <w:szCs w:val="21"/>
                    </w:rPr>
                  </w:pPr>
                </w:p>
              </w:tc>
            </w:tr>
            <w:tr w14:paraId="382B2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Merge w:val="continue"/>
                  <w:vAlign w:val="center"/>
                </w:tcPr>
                <w:p w14:paraId="5F29BFB7">
                  <w:pPr>
                    <w:snapToGrid w:val="0"/>
                    <w:ind w:left="-63" w:leftChars="-30" w:right="-63" w:rightChars="-30"/>
                    <w:jc w:val="center"/>
                    <w:rPr>
                      <w:szCs w:val="21"/>
                    </w:rPr>
                  </w:pPr>
                </w:p>
              </w:tc>
              <w:tc>
                <w:tcPr>
                  <w:tcW w:w="616" w:type="dxa"/>
                  <w:vMerge w:val="continue"/>
                  <w:vAlign w:val="center"/>
                </w:tcPr>
                <w:p w14:paraId="4B943EE4">
                  <w:pPr>
                    <w:snapToGrid w:val="0"/>
                    <w:ind w:left="-63" w:leftChars="-30" w:right="-63" w:rightChars="-30"/>
                    <w:jc w:val="center"/>
                    <w:rPr>
                      <w:szCs w:val="21"/>
                    </w:rPr>
                  </w:pPr>
                </w:p>
              </w:tc>
              <w:tc>
                <w:tcPr>
                  <w:tcW w:w="617" w:type="dxa"/>
                  <w:vAlign w:val="center"/>
                </w:tcPr>
                <w:p w14:paraId="040D57A1">
                  <w:pPr>
                    <w:snapToGrid w:val="0"/>
                    <w:ind w:left="-63" w:leftChars="-30" w:right="-63" w:rightChars="-30"/>
                    <w:jc w:val="center"/>
                    <w:rPr>
                      <w:szCs w:val="21"/>
                    </w:rPr>
                  </w:pPr>
                  <w:r>
                    <w:rPr>
                      <w:rFonts w:hint="eastAsia"/>
                      <w:szCs w:val="21"/>
                    </w:rPr>
                    <w:t>仅就餐</w:t>
                  </w:r>
                </w:p>
              </w:tc>
              <w:tc>
                <w:tcPr>
                  <w:tcW w:w="1136" w:type="dxa"/>
                  <w:vAlign w:val="center"/>
                </w:tcPr>
                <w:p w14:paraId="74392E6A">
                  <w:pPr>
                    <w:snapToGrid w:val="0"/>
                    <w:ind w:left="-63" w:leftChars="-30" w:right="-63" w:rightChars="-30"/>
                    <w:jc w:val="center"/>
                    <w:rPr>
                      <w:szCs w:val="21"/>
                    </w:rPr>
                  </w:pPr>
                  <w:r>
                    <w:rPr>
                      <w:bCs/>
                      <w:kern w:val="0"/>
                      <w:szCs w:val="21"/>
                    </w:rPr>
                    <w:t>100L/人·d</w:t>
                  </w:r>
                </w:p>
              </w:tc>
              <w:tc>
                <w:tcPr>
                  <w:tcW w:w="1082" w:type="dxa"/>
                  <w:vAlign w:val="center"/>
                </w:tcPr>
                <w:p w14:paraId="38442F51">
                  <w:pPr>
                    <w:snapToGrid w:val="0"/>
                    <w:ind w:left="-63" w:leftChars="-30" w:right="-63" w:rightChars="-30"/>
                    <w:jc w:val="center"/>
                    <w:rPr>
                      <w:szCs w:val="21"/>
                    </w:rPr>
                  </w:pPr>
                  <w:r>
                    <w:rPr>
                      <w:szCs w:val="21"/>
                    </w:rPr>
                    <w:t>238</w:t>
                  </w:r>
                  <w:r>
                    <w:rPr>
                      <w:rFonts w:hint="eastAsia"/>
                      <w:szCs w:val="21"/>
                    </w:rPr>
                    <w:t>人，</w:t>
                  </w:r>
                  <w:r>
                    <w:rPr>
                      <w:szCs w:val="21"/>
                    </w:rPr>
                    <w:t>330</w:t>
                  </w:r>
                  <w:r>
                    <w:rPr>
                      <w:rFonts w:hint="eastAsia"/>
                      <w:szCs w:val="21"/>
                    </w:rPr>
                    <w:t>d</w:t>
                  </w:r>
                </w:p>
              </w:tc>
              <w:tc>
                <w:tcPr>
                  <w:tcW w:w="923" w:type="dxa"/>
                  <w:vAlign w:val="center"/>
                </w:tcPr>
                <w:p w14:paraId="7CC46F54">
                  <w:pPr>
                    <w:widowControl/>
                    <w:jc w:val="center"/>
                    <w:rPr>
                      <w:rFonts w:eastAsia="等线"/>
                      <w:kern w:val="0"/>
                      <w:szCs w:val="22"/>
                    </w:rPr>
                  </w:pPr>
                  <w:r>
                    <w:rPr>
                      <w:rFonts w:eastAsia="等线"/>
                      <w:szCs w:val="22"/>
                    </w:rPr>
                    <w:t>11.9</w:t>
                  </w:r>
                </w:p>
              </w:tc>
              <w:tc>
                <w:tcPr>
                  <w:tcW w:w="1028" w:type="dxa"/>
                  <w:vAlign w:val="center"/>
                </w:tcPr>
                <w:p w14:paraId="28AAFF5A">
                  <w:pPr>
                    <w:jc w:val="center"/>
                    <w:rPr>
                      <w:rFonts w:eastAsia="等线"/>
                      <w:szCs w:val="22"/>
                    </w:rPr>
                  </w:pPr>
                  <w:r>
                    <w:rPr>
                      <w:rFonts w:eastAsia="等线"/>
                      <w:szCs w:val="22"/>
                    </w:rPr>
                    <w:t>3927</w:t>
                  </w:r>
                </w:p>
              </w:tc>
              <w:tc>
                <w:tcPr>
                  <w:tcW w:w="865" w:type="dxa"/>
                  <w:vAlign w:val="center"/>
                </w:tcPr>
                <w:p w14:paraId="70ECDEA1">
                  <w:pPr>
                    <w:widowControl/>
                    <w:jc w:val="center"/>
                    <w:rPr>
                      <w:rFonts w:eastAsia="等线"/>
                      <w:kern w:val="0"/>
                      <w:szCs w:val="22"/>
                    </w:rPr>
                  </w:pPr>
                  <w:r>
                    <w:rPr>
                      <w:rFonts w:eastAsia="等线"/>
                      <w:szCs w:val="22"/>
                    </w:rPr>
                    <w:t>10.71</w:t>
                  </w:r>
                </w:p>
              </w:tc>
              <w:tc>
                <w:tcPr>
                  <w:tcW w:w="1028" w:type="dxa"/>
                  <w:vAlign w:val="center"/>
                </w:tcPr>
                <w:p w14:paraId="770A126D">
                  <w:pPr>
                    <w:jc w:val="center"/>
                    <w:rPr>
                      <w:rFonts w:eastAsia="等线"/>
                      <w:szCs w:val="22"/>
                    </w:rPr>
                  </w:pPr>
                  <w:r>
                    <w:rPr>
                      <w:rFonts w:eastAsia="等线"/>
                      <w:szCs w:val="22"/>
                    </w:rPr>
                    <w:t>3534.3</w:t>
                  </w:r>
                </w:p>
              </w:tc>
              <w:tc>
                <w:tcPr>
                  <w:tcW w:w="650" w:type="dxa"/>
                  <w:vMerge w:val="continue"/>
                  <w:vAlign w:val="center"/>
                </w:tcPr>
                <w:p w14:paraId="18725A31">
                  <w:pPr>
                    <w:snapToGrid w:val="0"/>
                    <w:ind w:left="-63" w:leftChars="-30" w:right="-63" w:rightChars="-30"/>
                    <w:jc w:val="center"/>
                    <w:rPr>
                      <w:szCs w:val="21"/>
                    </w:rPr>
                  </w:pPr>
                </w:p>
              </w:tc>
            </w:tr>
            <w:tr w14:paraId="77DE8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03" w:type="dxa"/>
                  <w:gridSpan w:val="3"/>
                  <w:vAlign w:val="center"/>
                </w:tcPr>
                <w:p w14:paraId="75C5980B">
                  <w:pPr>
                    <w:snapToGrid w:val="0"/>
                    <w:ind w:left="-63" w:leftChars="-30" w:right="-63" w:rightChars="-30"/>
                    <w:jc w:val="center"/>
                    <w:rPr>
                      <w:szCs w:val="21"/>
                    </w:rPr>
                  </w:pPr>
                  <w:r>
                    <w:rPr>
                      <w:rFonts w:hint="eastAsia"/>
                      <w:szCs w:val="21"/>
                    </w:rPr>
                    <w:t>小计</w:t>
                  </w:r>
                </w:p>
              </w:tc>
              <w:tc>
                <w:tcPr>
                  <w:tcW w:w="1136" w:type="dxa"/>
                  <w:vAlign w:val="center"/>
                </w:tcPr>
                <w:p w14:paraId="72D151DE">
                  <w:pPr>
                    <w:snapToGrid w:val="0"/>
                    <w:ind w:left="-63" w:leftChars="-30" w:right="-63" w:rightChars="-30"/>
                    <w:jc w:val="center"/>
                    <w:rPr>
                      <w:szCs w:val="21"/>
                    </w:rPr>
                  </w:pPr>
                  <w:r>
                    <w:rPr>
                      <w:rFonts w:hint="eastAsia"/>
                      <w:szCs w:val="21"/>
                    </w:rPr>
                    <w:t>/</w:t>
                  </w:r>
                </w:p>
              </w:tc>
              <w:tc>
                <w:tcPr>
                  <w:tcW w:w="1082" w:type="dxa"/>
                  <w:vAlign w:val="center"/>
                </w:tcPr>
                <w:p w14:paraId="69D0207F">
                  <w:pPr>
                    <w:snapToGrid w:val="0"/>
                    <w:ind w:left="-63" w:leftChars="-30" w:right="-63" w:rightChars="-30"/>
                    <w:jc w:val="center"/>
                    <w:rPr>
                      <w:szCs w:val="21"/>
                    </w:rPr>
                  </w:pPr>
                  <w:r>
                    <w:rPr>
                      <w:rFonts w:hint="eastAsia"/>
                      <w:szCs w:val="21"/>
                    </w:rPr>
                    <w:t>/</w:t>
                  </w:r>
                </w:p>
              </w:tc>
              <w:tc>
                <w:tcPr>
                  <w:tcW w:w="923" w:type="dxa"/>
                  <w:vAlign w:val="center"/>
                </w:tcPr>
                <w:p w14:paraId="3F97C583">
                  <w:pPr>
                    <w:widowControl/>
                    <w:jc w:val="center"/>
                    <w:rPr>
                      <w:rFonts w:eastAsia="等线"/>
                      <w:kern w:val="0"/>
                      <w:szCs w:val="21"/>
                    </w:rPr>
                  </w:pPr>
                  <w:r>
                    <w:rPr>
                      <w:rFonts w:eastAsia="等线"/>
                      <w:szCs w:val="21"/>
                    </w:rPr>
                    <w:t>42.16</w:t>
                  </w:r>
                </w:p>
              </w:tc>
              <w:tc>
                <w:tcPr>
                  <w:tcW w:w="1028" w:type="dxa"/>
                  <w:vAlign w:val="center"/>
                </w:tcPr>
                <w:p w14:paraId="0244382D">
                  <w:pPr>
                    <w:jc w:val="center"/>
                    <w:rPr>
                      <w:rFonts w:eastAsia="等线"/>
                      <w:szCs w:val="21"/>
                    </w:rPr>
                  </w:pPr>
                  <w:r>
                    <w:rPr>
                      <w:rFonts w:eastAsia="等线"/>
                      <w:szCs w:val="21"/>
                    </w:rPr>
                    <w:t>13912.8</w:t>
                  </w:r>
                </w:p>
              </w:tc>
              <w:tc>
                <w:tcPr>
                  <w:tcW w:w="865" w:type="dxa"/>
                  <w:vAlign w:val="center"/>
                </w:tcPr>
                <w:p w14:paraId="4FB344C7">
                  <w:pPr>
                    <w:jc w:val="center"/>
                    <w:rPr>
                      <w:rFonts w:eastAsia="等线"/>
                      <w:szCs w:val="21"/>
                    </w:rPr>
                  </w:pPr>
                  <w:r>
                    <w:rPr>
                      <w:rFonts w:eastAsia="等线"/>
                      <w:szCs w:val="21"/>
                    </w:rPr>
                    <w:t>37.94</w:t>
                  </w:r>
                </w:p>
              </w:tc>
              <w:tc>
                <w:tcPr>
                  <w:tcW w:w="1028" w:type="dxa"/>
                  <w:vAlign w:val="center"/>
                </w:tcPr>
                <w:p w14:paraId="4A87D83C">
                  <w:pPr>
                    <w:jc w:val="center"/>
                    <w:rPr>
                      <w:rFonts w:eastAsia="等线"/>
                      <w:szCs w:val="21"/>
                    </w:rPr>
                  </w:pPr>
                  <w:r>
                    <w:rPr>
                      <w:rFonts w:eastAsia="等线"/>
                      <w:szCs w:val="21"/>
                    </w:rPr>
                    <w:t>12520.2</w:t>
                  </w:r>
                </w:p>
              </w:tc>
              <w:tc>
                <w:tcPr>
                  <w:tcW w:w="650" w:type="dxa"/>
                  <w:vMerge w:val="continue"/>
                  <w:vAlign w:val="center"/>
                </w:tcPr>
                <w:p w14:paraId="6E709424">
                  <w:pPr>
                    <w:snapToGrid w:val="0"/>
                    <w:ind w:left="-63" w:leftChars="-30" w:right="-63" w:rightChars="-30"/>
                    <w:jc w:val="center"/>
                    <w:rPr>
                      <w:szCs w:val="21"/>
                    </w:rPr>
                  </w:pPr>
                </w:p>
              </w:tc>
            </w:tr>
            <w:tr w14:paraId="13DC9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0" w:type="dxa"/>
                  <w:vAlign w:val="center"/>
                </w:tcPr>
                <w:p w14:paraId="4EB3AD6D">
                  <w:pPr>
                    <w:snapToGrid w:val="0"/>
                    <w:ind w:left="-63" w:leftChars="-30" w:right="-63" w:rightChars="-30"/>
                    <w:jc w:val="center"/>
                    <w:rPr>
                      <w:szCs w:val="21"/>
                    </w:rPr>
                  </w:pPr>
                  <w:r>
                    <w:rPr>
                      <w:rFonts w:hint="eastAsia"/>
                      <w:szCs w:val="21"/>
                    </w:rPr>
                    <w:t>1</w:t>
                  </w:r>
                  <w:r>
                    <w:rPr>
                      <w:szCs w:val="21"/>
                    </w:rPr>
                    <w:t>1</w:t>
                  </w:r>
                </w:p>
              </w:tc>
              <w:tc>
                <w:tcPr>
                  <w:tcW w:w="1233" w:type="dxa"/>
                  <w:gridSpan w:val="2"/>
                  <w:vAlign w:val="center"/>
                </w:tcPr>
                <w:p w14:paraId="2B248B1C">
                  <w:pPr>
                    <w:snapToGrid w:val="0"/>
                    <w:ind w:left="-63" w:leftChars="-30" w:right="-63" w:rightChars="-30"/>
                    <w:jc w:val="center"/>
                    <w:rPr>
                      <w:szCs w:val="21"/>
                    </w:rPr>
                  </w:pPr>
                  <w:r>
                    <w:rPr>
                      <w:szCs w:val="21"/>
                    </w:rPr>
                    <w:t>绿化用水</w:t>
                  </w:r>
                </w:p>
              </w:tc>
              <w:tc>
                <w:tcPr>
                  <w:tcW w:w="1136" w:type="dxa"/>
                  <w:vAlign w:val="center"/>
                </w:tcPr>
                <w:p w14:paraId="0D72081C">
                  <w:pPr>
                    <w:snapToGrid w:val="0"/>
                    <w:ind w:left="-63" w:leftChars="-30" w:right="-63" w:rightChars="-30"/>
                    <w:jc w:val="center"/>
                    <w:rPr>
                      <w:bCs/>
                      <w:kern w:val="0"/>
                      <w:szCs w:val="21"/>
                    </w:rPr>
                  </w:pPr>
                  <w:r>
                    <w:rPr>
                      <w:rFonts w:hint="eastAsia"/>
                      <w:bCs/>
                      <w:kern w:val="0"/>
                      <w:szCs w:val="21"/>
                    </w:rPr>
                    <w:t>0</w:t>
                  </w:r>
                  <w:r>
                    <w:rPr>
                      <w:bCs/>
                      <w:kern w:val="0"/>
                      <w:szCs w:val="21"/>
                    </w:rPr>
                    <w:t>.5L/m</w:t>
                  </w:r>
                  <w:r>
                    <w:rPr>
                      <w:bCs/>
                      <w:kern w:val="0"/>
                      <w:szCs w:val="21"/>
                      <w:vertAlign w:val="superscript"/>
                    </w:rPr>
                    <w:t>2</w:t>
                  </w:r>
                </w:p>
              </w:tc>
              <w:tc>
                <w:tcPr>
                  <w:tcW w:w="1082" w:type="dxa"/>
                  <w:vAlign w:val="center"/>
                </w:tcPr>
                <w:p w14:paraId="49AD749E">
                  <w:pPr>
                    <w:snapToGrid w:val="0"/>
                    <w:ind w:left="-63" w:leftChars="-30" w:right="-63" w:rightChars="-30"/>
                    <w:jc w:val="center"/>
                    <w:rPr>
                      <w:szCs w:val="21"/>
                    </w:rPr>
                  </w:pPr>
                  <w:r>
                    <w:rPr>
                      <w:rFonts w:hint="eastAsia"/>
                      <w:szCs w:val="21"/>
                    </w:rPr>
                    <w:t>4</w:t>
                  </w:r>
                  <w:r>
                    <w:rPr>
                      <w:szCs w:val="21"/>
                    </w:rPr>
                    <w:t>360m</w:t>
                  </w:r>
                  <w:r>
                    <w:rPr>
                      <w:szCs w:val="21"/>
                      <w:vertAlign w:val="superscript"/>
                    </w:rPr>
                    <w:t>2</w:t>
                  </w:r>
                </w:p>
              </w:tc>
              <w:tc>
                <w:tcPr>
                  <w:tcW w:w="923" w:type="dxa"/>
                  <w:vAlign w:val="center"/>
                </w:tcPr>
                <w:p w14:paraId="29024126">
                  <w:pPr>
                    <w:widowControl/>
                    <w:jc w:val="center"/>
                    <w:rPr>
                      <w:rFonts w:eastAsia="等线"/>
                      <w:szCs w:val="22"/>
                    </w:rPr>
                  </w:pPr>
                  <w:r>
                    <w:rPr>
                      <w:rFonts w:hint="eastAsia" w:eastAsia="等线"/>
                      <w:szCs w:val="22"/>
                    </w:rPr>
                    <w:t>2</w:t>
                  </w:r>
                  <w:r>
                    <w:rPr>
                      <w:rFonts w:eastAsia="等线"/>
                      <w:szCs w:val="22"/>
                    </w:rPr>
                    <w:t>.18</w:t>
                  </w:r>
                </w:p>
              </w:tc>
              <w:tc>
                <w:tcPr>
                  <w:tcW w:w="1028" w:type="dxa"/>
                  <w:vAlign w:val="center"/>
                </w:tcPr>
                <w:p w14:paraId="1247561D">
                  <w:pPr>
                    <w:jc w:val="center"/>
                    <w:rPr>
                      <w:rFonts w:eastAsia="等线"/>
                      <w:szCs w:val="22"/>
                    </w:rPr>
                  </w:pPr>
                  <w:r>
                    <w:rPr>
                      <w:rFonts w:eastAsia="等线"/>
                      <w:szCs w:val="22"/>
                    </w:rPr>
                    <w:t>719.4</w:t>
                  </w:r>
                </w:p>
              </w:tc>
              <w:tc>
                <w:tcPr>
                  <w:tcW w:w="865" w:type="dxa"/>
                  <w:vAlign w:val="center"/>
                </w:tcPr>
                <w:p w14:paraId="7D005F54">
                  <w:pPr>
                    <w:widowControl/>
                    <w:jc w:val="center"/>
                    <w:rPr>
                      <w:rFonts w:eastAsia="等线"/>
                      <w:szCs w:val="22"/>
                    </w:rPr>
                  </w:pPr>
                  <w:r>
                    <w:rPr>
                      <w:rFonts w:hint="eastAsia" w:eastAsia="等线"/>
                      <w:szCs w:val="22"/>
                    </w:rPr>
                    <w:t>0</w:t>
                  </w:r>
                </w:p>
              </w:tc>
              <w:tc>
                <w:tcPr>
                  <w:tcW w:w="1028" w:type="dxa"/>
                  <w:vAlign w:val="center"/>
                </w:tcPr>
                <w:p w14:paraId="6E3297FB">
                  <w:pPr>
                    <w:jc w:val="center"/>
                    <w:rPr>
                      <w:rFonts w:eastAsia="等线"/>
                      <w:szCs w:val="22"/>
                    </w:rPr>
                  </w:pPr>
                  <w:r>
                    <w:rPr>
                      <w:rFonts w:hint="eastAsia" w:eastAsia="等线"/>
                      <w:szCs w:val="22"/>
                    </w:rPr>
                    <w:t>0</w:t>
                  </w:r>
                </w:p>
              </w:tc>
              <w:tc>
                <w:tcPr>
                  <w:tcW w:w="650" w:type="dxa"/>
                  <w:vAlign w:val="center"/>
                </w:tcPr>
                <w:p w14:paraId="1EA6DD55">
                  <w:pPr>
                    <w:snapToGrid w:val="0"/>
                    <w:ind w:left="-63" w:leftChars="-30" w:right="-63" w:rightChars="-30"/>
                    <w:jc w:val="center"/>
                    <w:rPr>
                      <w:szCs w:val="21"/>
                    </w:rPr>
                  </w:pPr>
                  <w:r>
                    <w:rPr>
                      <w:szCs w:val="21"/>
                    </w:rPr>
                    <w:t>植物吸收</w:t>
                  </w:r>
                </w:p>
              </w:tc>
            </w:tr>
            <w:tr w14:paraId="2B6BD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03" w:type="dxa"/>
                  <w:gridSpan w:val="3"/>
                  <w:vAlign w:val="center"/>
                </w:tcPr>
                <w:p w14:paraId="6D128BC9">
                  <w:pPr>
                    <w:snapToGrid w:val="0"/>
                    <w:ind w:left="-63" w:leftChars="-30" w:right="-63" w:rightChars="-30"/>
                    <w:jc w:val="center"/>
                    <w:rPr>
                      <w:szCs w:val="21"/>
                    </w:rPr>
                  </w:pPr>
                  <w:r>
                    <w:rPr>
                      <w:szCs w:val="21"/>
                    </w:rPr>
                    <w:t>合计</w:t>
                  </w:r>
                </w:p>
              </w:tc>
              <w:tc>
                <w:tcPr>
                  <w:tcW w:w="1136" w:type="dxa"/>
                  <w:vAlign w:val="center"/>
                </w:tcPr>
                <w:p w14:paraId="7CFE3029">
                  <w:pPr>
                    <w:snapToGrid w:val="0"/>
                    <w:ind w:left="-63" w:leftChars="-30" w:right="-63" w:rightChars="-30"/>
                    <w:jc w:val="center"/>
                    <w:rPr>
                      <w:szCs w:val="21"/>
                    </w:rPr>
                  </w:pPr>
                  <w:r>
                    <w:rPr>
                      <w:szCs w:val="21"/>
                    </w:rPr>
                    <w:t>/</w:t>
                  </w:r>
                </w:p>
              </w:tc>
              <w:tc>
                <w:tcPr>
                  <w:tcW w:w="1082" w:type="dxa"/>
                  <w:vAlign w:val="center"/>
                </w:tcPr>
                <w:p w14:paraId="7F72D1D5">
                  <w:pPr>
                    <w:snapToGrid w:val="0"/>
                    <w:ind w:left="-63" w:leftChars="-30" w:right="-63" w:rightChars="-30"/>
                    <w:jc w:val="center"/>
                    <w:rPr>
                      <w:szCs w:val="21"/>
                    </w:rPr>
                  </w:pPr>
                  <w:r>
                    <w:rPr>
                      <w:szCs w:val="21"/>
                    </w:rPr>
                    <w:t>/</w:t>
                  </w:r>
                </w:p>
              </w:tc>
              <w:tc>
                <w:tcPr>
                  <w:tcW w:w="923" w:type="dxa"/>
                  <w:vAlign w:val="center"/>
                </w:tcPr>
                <w:p w14:paraId="7E5135FA">
                  <w:pPr>
                    <w:widowControl/>
                    <w:jc w:val="center"/>
                    <w:rPr>
                      <w:rFonts w:eastAsia="等线"/>
                      <w:kern w:val="0"/>
                      <w:szCs w:val="21"/>
                    </w:rPr>
                  </w:pPr>
                  <w:r>
                    <w:rPr>
                      <w:rFonts w:eastAsia="等线"/>
                      <w:szCs w:val="21"/>
                    </w:rPr>
                    <w:t>106.66</w:t>
                  </w:r>
                </w:p>
              </w:tc>
              <w:tc>
                <w:tcPr>
                  <w:tcW w:w="1028" w:type="dxa"/>
                  <w:vAlign w:val="center"/>
                </w:tcPr>
                <w:p w14:paraId="30CB49B7">
                  <w:pPr>
                    <w:jc w:val="center"/>
                    <w:rPr>
                      <w:rFonts w:eastAsia="等线"/>
                      <w:szCs w:val="21"/>
                    </w:rPr>
                  </w:pPr>
                  <w:r>
                    <w:rPr>
                      <w:rFonts w:eastAsia="等线"/>
                      <w:szCs w:val="21"/>
                    </w:rPr>
                    <w:t>34099.84</w:t>
                  </w:r>
                </w:p>
              </w:tc>
              <w:tc>
                <w:tcPr>
                  <w:tcW w:w="865" w:type="dxa"/>
                  <w:vAlign w:val="center"/>
                </w:tcPr>
                <w:p w14:paraId="1160833A">
                  <w:pPr>
                    <w:jc w:val="center"/>
                    <w:rPr>
                      <w:rFonts w:eastAsia="等线"/>
                      <w:szCs w:val="21"/>
                    </w:rPr>
                  </w:pPr>
                  <w:r>
                    <w:rPr>
                      <w:rFonts w:eastAsia="等线"/>
                      <w:szCs w:val="21"/>
                    </w:rPr>
                    <w:t>58.17</w:t>
                  </w:r>
                </w:p>
              </w:tc>
              <w:tc>
                <w:tcPr>
                  <w:tcW w:w="1028" w:type="dxa"/>
                  <w:vAlign w:val="center"/>
                </w:tcPr>
                <w:p w14:paraId="50FC6AFA">
                  <w:pPr>
                    <w:jc w:val="center"/>
                    <w:rPr>
                      <w:rFonts w:eastAsia="等线"/>
                      <w:szCs w:val="21"/>
                    </w:rPr>
                  </w:pPr>
                  <w:r>
                    <w:rPr>
                      <w:rFonts w:eastAsia="等线"/>
                      <w:szCs w:val="21"/>
                    </w:rPr>
                    <w:t>18098.26</w:t>
                  </w:r>
                </w:p>
              </w:tc>
              <w:tc>
                <w:tcPr>
                  <w:tcW w:w="650" w:type="dxa"/>
                  <w:vAlign w:val="center"/>
                </w:tcPr>
                <w:p w14:paraId="1E643437">
                  <w:pPr>
                    <w:ind w:left="-63" w:leftChars="-30" w:right="-63" w:rightChars="-30"/>
                    <w:jc w:val="center"/>
                    <w:rPr>
                      <w:szCs w:val="21"/>
                    </w:rPr>
                  </w:pPr>
                  <w:r>
                    <w:rPr>
                      <w:rFonts w:hint="eastAsia"/>
                      <w:szCs w:val="21"/>
                    </w:rPr>
                    <w:t>/</w:t>
                  </w:r>
                </w:p>
              </w:tc>
            </w:tr>
          </w:tbl>
          <w:p w14:paraId="33863E60">
            <w:pPr>
              <w:spacing w:line="360" w:lineRule="auto"/>
              <w:ind w:firstLine="482" w:firstLineChars="200"/>
              <w:rPr>
                <w:b/>
                <w:bCs/>
                <w:sz w:val="24"/>
              </w:rPr>
            </w:pPr>
            <w:r>
              <w:rPr>
                <w:b/>
                <w:bCs/>
                <w:sz w:val="24"/>
              </w:rPr>
              <w:t>（2）排水</w:t>
            </w:r>
          </w:p>
          <w:p w14:paraId="3D30D9A1">
            <w:pPr>
              <w:spacing w:line="360" w:lineRule="auto"/>
              <w:ind w:firstLine="480" w:firstLineChars="200"/>
              <w:rPr>
                <w:sz w:val="24"/>
              </w:rPr>
            </w:pPr>
            <w:r>
              <w:rPr>
                <w:rFonts w:hint="eastAsia"/>
                <w:sz w:val="24"/>
              </w:rPr>
              <w:t>项目废水主要为生产废水（包括机加工序废水、浸渗工序废水、产品清洗废水、模具清洗废水、包装材料清洗废水、地坪保洁废水）、食堂废水及生活污水。项目生产废水经收集后排入污水处理设施预处理系统，经“隔油+调节池+破乳+气浮”预处理后进入污水处理设施生化处理系统，食堂废水经隔油池预处理后进入化粪池，与生活污水一并经化粪池处理后进入污水处理设施生化处理系统。综合废水经污水处理设施处理达《污水综合排放标准》（GB8978-1996）三级标准后排入园区市政污水管网，最终经李渡大耍坝污水处理厂处理达《城镇污水处理厂污染物排放标准》（GB18918-2002）的一级B标准后排入长江。</w:t>
            </w:r>
          </w:p>
          <w:p w14:paraId="752AC127">
            <w:pPr>
              <w:numPr>
                <w:ilvl w:val="0"/>
                <w:numId w:val="2"/>
              </w:numPr>
              <w:adjustRightInd w:val="0"/>
              <w:snapToGrid w:val="0"/>
              <w:spacing w:line="360" w:lineRule="auto"/>
              <w:ind w:firstLine="482" w:firstLineChars="200"/>
              <w:rPr>
                <w:b/>
                <w:sz w:val="24"/>
              </w:rPr>
            </w:pPr>
            <w:r>
              <w:rPr>
                <w:rFonts w:hint="eastAsia"/>
                <w:b/>
                <w:sz w:val="24"/>
              </w:rPr>
              <w:t>水平衡</w:t>
            </w:r>
          </w:p>
          <w:p w14:paraId="30B73938">
            <w:pPr>
              <w:adjustRightInd w:val="0"/>
              <w:snapToGrid w:val="0"/>
              <w:spacing w:line="360" w:lineRule="auto"/>
              <w:ind w:firstLine="480" w:firstLineChars="200"/>
              <w:rPr>
                <w:bCs/>
                <w:sz w:val="24"/>
              </w:rPr>
            </w:pPr>
            <w:r>
              <w:rPr>
                <w:rFonts w:hint="eastAsia"/>
                <w:bCs/>
                <w:sz w:val="24"/>
              </w:rPr>
              <w:t>本项目水平衡图见图2-1。</w:t>
            </w:r>
          </w:p>
          <w:p w14:paraId="320BAAD5">
            <w:pPr>
              <w:adjustRightInd w:val="0"/>
              <w:snapToGrid w:val="0"/>
              <w:spacing w:line="360" w:lineRule="auto"/>
              <w:jc w:val="center"/>
              <w:rPr>
                <w:bCs/>
                <w:sz w:val="24"/>
              </w:rPr>
            </w:pPr>
          </w:p>
          <w:p w14:paraId="45F42E23">
            <w:pPr>
              <w:adjustRightInd w:val="0"/>
              <w:snapToGrid w:val="0"/>
              <w:spacing w:line="360" w:lineRule="auto"/>
              <w:jc w:val="center"/>
              <w:rPr>
                <w:bCs/>
                <w:sz w:val="24"/>
              </w:rPr>
            </w:pPr>
          </w:p>
          <w:p w14:paraId="361C14CC">
            <w:pPr>
              <w:adjustRightInd w:val="0"/>
              <w:snapToGrid w:val="0"/>
              <w:spacing w:line="360" w:lineRule="auto"/>
              <w:jc w:val="center"/>
              <w:rPr>
                <w:bCs/>
                <w:sz w:val="24"/>
              </w:rPr>
            </w:pPr>
          </w:p>
          <w:p w14:paraId="24D7B986">
            <w:pPr>
              <w:adjustRightInd w:val="0"/>
              <w:snapToGrid w:val="0"/>
              <w:spacing w:line="360" w:lineRule="auto"/>
              <w:jc w:val="center"/>
              <w:rPr>
                <w:bCs/>
                <w:sz w:val="24"/>
              </w:rPr>
            </w:pPr>
          </w:p>
          <w:p w14:paraId="5F3BBC39">
            <w:pPr>
              <w:adjustRightInd w:val="0"/>
              <w:snapToGrid w:val="0"/>
              <w:spacing w:line="360" w:lineRule="auto"/>
              <w:jc w:val="center"/>
              <w:rPr>
                <w:bCs/>
                <w:sz w:val="24"/>
              </w:rPr>
            </w:pPr>
          </w:p>
          <w:p w14:paraId="29E5F534">
            <w:pPr>
              <w:adjustRightInd w:val="0"/>
              <w:snapToGrid w:val="0"/>
              <w:spacing w:line="360" w:lineRule="auto"/>
              <w:jc w:val="center"/>
              <w:rPr>
                <w:bCs/>
                <w:sz w:val="24"/>
              </w:rPr>
            </w:pPr>
          </w:p>
          <w:p w14:paraId="77327D87">
            <w:pPr>
              <w:adjustRightInd w:val="0"/>
              <w:snapToGrid w:val="0"/>
              <w:spacing w:line="360" w:lineRule="auto"/>
              <w:jc w:val="center"/>
              <w:rPr>
                <w:bCs/>
                <w:sz w:val="24"/>
              </w:rPr>
            </w:pPr>
          </w:p>
          <w:p w14:paraId="264B41AD">
            <w:pPr>
              <w:adjustRightInd w:val="0"/>
              <w:snapToGrid w:val="0"/>
              <w:spacing w:line="360" w:lineRule="auto"/>
              <w:jc w:val="center"/>
              <w:rPr>
                <w:bCs/>
                <w:sz w:val="24"/>
              </w:rPr>
            </w:pPr>
          </w:p>
          <w:p w14:paraId="400F0EB6">
            <w:pPr>
              <w:adjustRightInd w:val="0"/>
              <w:snapToGrid w:val="0"/>
              <w:spacing w:line="360" w:lineRule="auto"/>
              <w:jc w:val="center"/>
              <w:rPr>
                <w:bCs/>
                <w:sz w:val="24"/>
              </w:rPr>
            </w:pPr>
          </w:p>
          <w:p w14:paraId="3F49BC86">
            <w:pPr>
              <w:adjustRightInd w:val="0"/>
              <w:snapToGrid w:val="0"/>
              <w:spacing w:line="360" w:lineRule="auto"/>
              <w:jc w:val="center"/>
              <w:rPr>
                <w:bCs/>
                <w:sz w:val="24"/>
              </w:rPr>
            </w:pPr>
          </w:p>
          <w:p w14:paraId="30D51A10">
            <w:pPr>
              <w:adjustRightInd w:val="0"/>
              <w:snapToGrid w:val="0"/>
              <w:spacing w:line="360" w:lineRule="auto"/>
              <w:jc w:val="center"/>
              <w:rPr>
                <w:bCs/>
                <w:sz w:val="24"/>
              </w:rPr>
            </w:pPr>
          </w:p>
          <w:p w14:paraId="013433D4">
            <w:pPr>
              <w:adjustRightInd w:val="0"/>
              <w:snapToGrid w:val="0"/>
              <w:spacing w:line="360" w:lineRule="auto"/>
              <w:jc w:val="center"/>
              <w:rPr>
                <w:bCs/>
                <w:sz w:val="24"/>
              </w:rPr>
            </w:pPr>
          </w:p>
          <w:p w14:paraId="6CF49F57">
            <w:pPr>
              <w:adjustRightInd w:val="0"/>
              <w:snapToGrid w:val="0"/>
              <w:spacing w:line="360" w:lineRule="auto"/>
              <w:jc w:val="center"/>
              <w:rPr>
                <w:bCs/>
                <w:sz w:val="24"/>
              </w:rPr>
            </w:pPr>
          </w:p>
          <w:p w14:paraId="344217D8">
            <w:pPr>
              <w:adjustRightInd w:val="0"/>
              <w:snapToGrid w:val="0"/>
              <w:spacing w:line="360" w:lineRule="auto"/>
              <w:jc w:val="center"/>
              <w:rPr>
                <w:bCs/>
                <w:sz w:val="24"/>
              </w:rPr>
            </w:pPr>
          </w:p>
          <w:p w14:paraId="0AAB2607">
            <w:pPr>
              <w:adjustRightInd w:val="0"/>
              <w:snapToGrid w:val="0"/>
              <w:spacing w:line="360" w:lineRule="auto"/>
              <w:jc w:val="center"/>
              <w:rPr>
                <w:bCs/>
                <w:sz w:val="24"/>
              </w:rPr>
            </w:pPr>
          </w:p>
          <w:p w14:paraId="6CC26811">
            <w:pPr>
              <w:adjustRightInd w:val="0"/>
              <w:snapToGrid w:val="0"/>
              <w:spacing w:line="360" w:lineRule="auto"/>
              <w:jc w:val="center"/>
              <w:rPr>
                <w:bCs/>
                <w:sz w:val="24"/>
              </w:rPr>
            </w:pPr>
          </w:p>
          <w:p w14:paraId="2C3D9635">
            <w:pPr>
              <w:adjustRightInd w:val="0"/>
              <w:snapToGrid w:val="0"/>
              <w:spacing w:line="360" w:lineRule="auto"/>
              <w:jc w:val="center"/>
              <w:rPr>
                <w:bCs/>
                <w:sz w:val="24"/>
              </w:rPr>
            </w:pPr>
          </w:p>
          <w:p w14:paraId="16D97009">
            <w:pPr>
              <w:adjustRightInd w:val="0"/>
              <w:snapToGrid w:val="0"/>
              <w:spacing w:line="360" w:lineRule="auto"/>
              <w:jc w:val="center"/>
              <w:rPr>
                <w:bCs/>
                <w:sz w:val="24"/>
              </w:rPr>
            </w:pPr>
          </w:p>
          <w:p w14:paraId="7897052D">
            <w:pPr>
              <w:adjustRightInd w:val="0"/>
              <w:snapToGrid w:val="0"/>
              <w:spacing w:line="360" w:lineRule="auto"/>
              <w:jc w:val="center"/>
              <w:rPr>
                <w:bCs/>
                <w:sz w:val="24"/>
              </w:rPr>
            </w:pPr>
          </w:p>
          <w:p w14:paraId="317BEB25">
            <w:pPr>
              <w:adjustRightInd w:val="0"/>
              <w:snapToGrid w:val="0"/>
              <w:spacing w:line="360" w:lineRule="auto"/>
              <w:jc w:val="center"/>
              <w:rPr>
                <w:bCs/>
                <w:sz w:val="24"/>
              </w:rPr>
            </w:pPr>
          </w:p>
          <w:p w14:paraId="5CFFB476">
            <w:pPr>
              <w:adjustRightInd w:val="0"/>
              <w:snapToGrid w:val="0"/>
              <w:spacing w:line="360" w:lineRule="auto"/>
              <w:jc w:val="center"/>
              <w:rPr>
                <w:bCs/>
                <w:sz w:val="24"/>
              </w:rPr>
            </w:pPr>
          </w:p>
          <w:p w14:paraId="53C99602">
            <w:pPr>
              <w:adjustRightInd w:val="0"/>
              <w:snapToGrid w:val="0"/>
              <w:spacing w:line="360" w:lineRule="auto"/>
              <w:jc w:val="center"/>
              <w:rPr>
                <w:bCs/>
                <w:sz w:val="24"/>
              </w:rPr>
            </w:pPr>
            <w:r>
              <w:object>
                <v:shape id="_x0000_i1025" o:spt="75" type="#_x0000_t75" style="height:491.45pt;width:419.4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14:paraId="67237239">
            <w:pPr>
              <w:adjustRightInd w:val="0"/>
              <w:snapToGrid w:val="0"/>
              <w:spacing w:line="360" w:lineRule="auto"/>
              <w:jc w:val="center"/>
              <w:rPr>
                <w:b/>
                <w:bCs/>
                <w:sz w:val="24"/>
              </w:rPr>
            </w:pPr>
            <w:r>
              <w:rPr>
                <w:rFonts w:hint="eastAsia"/>
                <w:bCs/>
                <w:sz w:val="24"/>
              </w:rPr>
              <w:t>图2-1  项目水平衡图  单位：m</w:t>
            </w:r>
            <w:r>
              <w:rPr>
                <w:rFonts w:hint="eastAsia"/>
                <w:bCs/>
                <w:sz w:val="24"/>
                <w:vertAlign w:val="superscript"/>
              </w:rPr>
              <w:t>3</w:t>
            </w:r>
            <w:r>
              <w:rPr>
                <w:rFonts w:hint="eastAsia"/>
                <w:bCs/>
                <w:sz w:val="24"/>
              </w:rPr>
              <w:t>/d</w:t>
            </w:r>
          </w:p>
          <w:p w14:paraId="6C626F06">
            <w:pPr>
              <w:adjustRightInd w:val="0"/>
              <w:snapToGrid w:val="0"/>
              <w:spacing w:line="360" w:lineRule="auto"/>
              <w:jc w:val="left"/>
              <w:rPr>
                <w:b/>
                <w:bCs/>
                <w:sz w:val="24"/>
              </w:rPr>
            </w:pPr>
            <w:r>
              <w:rPr>
                <w:b/>
                <w:bCs/>
                <w:sz w:val="24"/>
              </w:rPr>
              <w:t>8、劳动定员及工作制度</w:t>
            </w:r>
          </w:p>
          <w:p w14:paraId="2A3E0A36">
            <w:pPr>
              <w:spacing w:line="360" w:lineRule="auto"/>
              <w:ind w:firstLine="480" w:firstLineChars="200"/>
              <w:rPr>
                <w:sz w:val="24"/>
              </w:rPr>
            </w:pPr>
            <w:r>
              <w:rPr>
                <w:sz w:val="24"/>
              </w:rPr>
              <w:t>劳动定员：本次</w:t>
            </w:r>
            <w:r>
              <w:rPr>
                <w:rFonts w:hint="eastAsia"/>
                <w:sz w:val="24"/>
              </w:rPr>
              <w:t>迁建在现有工程基础上扩大规模。现有工程劳动定员1</w:t>
            </w:r>
            <w:r>
              <w:rPr>
                <w:sz w:val="24"/>
              </w:rPr>
              <w:t>10</w:t>
            </w:r>
            <w:r>
              <w:rPr>
                <w:rFonts w:hint="eastAsia"/>
                <w:sz w:val="24"/>
              </w:rPr>
              <w:t>人，新增劳动定员2</w:t>
            </w:r>
            <w:r>
              <w:rPr>
                <w:sz w:val="24"/>
              </w:rPr>
              <w:t>78</w:t>
            </w:r>
            <w:r>
              <w:rPr>
                <w:rFonts w:hint="eastAsia"/>
                <w:sz w:val="24"/>
              </w:rPr>
              <w:t>人，共计劳动定员3</w:t>
            </w:r>
            <w:r>
              <w:rPr>
                <w:sz w:val="24"/>
              </w:rPr>
              <w:t>88</w:t>
            </w:r>
            <w:r>
              <w:rPr>
                <w:rFonts w:hint="eastAsia"/>
                <w:sz w:val="24"/>
              </w:rPr>
              <w:t>人。预计其中1</w:t>
            </w:r>
            <w:r>
              <w:rPr>
                <w:sz w:val="24"/>
              </w:rPr>
              <w:t>50</w:t>
            </w:r>
            <w:r>
              <w:rPr>
                <w:rFonts w:hint="eastAsia"/>
                <w:sz w:val="24"/>
              </w:rPr>
              <w:t>人在厂区内食宿，其余2</w:t>
            </w:r>
            <w:r>
              <w:rPr>
                <w:sz w:val="24"/>
              </w:rPr>
              <w:t>38</w:t>
            </w:r>
            <w:r>
              <w:rPr>
                <w:rFonts w:hint="eastAsia"/>
                <w:sz w:val="24"/>
              </w:rPr>
              <w:t>人仅在厂区内就餐。</w:t>
            </w:r>
          </w:p>
          <w:p w14:paraId="18CFD837">
            <w:pPr>
              <w:adjustRightInd w:val="0"/>
              <w:snapToGrid w:val="0"/>
              <w:spacing w:line="360" w:lineRule="auto"/>
              <w:ind w:firstLine="480" w:firstLineChars="200"/>
              <w:jc w:val="left"/>
              <w:rPr>
                <w:bCs/>
                <w:sz w:val="24"/>
              </w:rPr>
            </w:pPr>
            <w:r>
              <w:rPr>
                <w:sz w:val="24"/>
              </w:rPr>
              <w:t>工作制度：</w:t>
            </w:r>
            <w:r>
              <w:rPr>
                <w:rFonts w:hint="eastAsia"/>
                <w:sz w:val="24"/>
              </w:rPr>
              <w:t>项目压铸工序、机加工工序、浸渗工序均为3班制，每班8h；表面清理及抛丸工段为2班制，每班8h。项目全年工作</w:t>
            </w:r>
            <w:r>
              <w:rPr>
                <w:sz w:val="24"/>
              </w:rPr>
              <w:t>330</w:t>
            </w:r>
            <w:r>
              <w:rPr>
                <w:rFonts w:hint="eastAsia"/>
                <w:sz w:val="24"/>
              </w:rPr>
              <w:t>d。</w:t>
            </w:r>
          </w:p>
          <w:p w14:paraId="621A26A7">
            <w:pPr>
              <w:adjustRightInd w:val="0"/>
              <w:snapToGrid w:val="0"/>
              <w:spacing w:line="360" w:lineRule="auto"/>
              <w:jc w:val="left"/>
              <w:rPr>
                <w:b/>
                <w:bCs/>
                <w:sz w:val="24"/>
              </w:rPr>
            </w:pPr>
            <w:r>
              <w:rPr>
                <w:b/>
                <w:bCs/>
                <w:sz w:val="24"/>
              </w:rPr>
              <w:t>9、项目总平面布置</w:t>
            </w:r>
          </w:p>
          <w:p w14:paraId="6B8D1657">
            <w:pPr>
              <w:spacing w:line="360" w:lineRule="auto"/>
              <w:ind w:firstLine="491" w:firstLineChars="205"/>
              <w:rPr>
                <w:sz w:val="24"/>
                <w:highlight w:val="yellow"/>
              </w:rPr>
            </w:pPr>
            <w:r>
              <w:rPr>
                <w:sz w:val="24"/>
              </w:rPr>
              <w:t>项目建设联合厂房一栋</w:t>
            </w:r>
            <w:r>
              <w:rPr>
                <w:rFonts w:hint="eastAsia"/>
                <w:sz w:val="24"/>
              </w:rPr>
              <w:t>，</w:t>
            </w:r>
            <w:r>
              <w:rPr>
                <w:sz w:val="24"/>
              </w:rPr>
              <w:t>包含生产车间</w:t>
            </w:r>
            <w:r>
              <w:rPr>
                <w:rFonts w:hint="eastAsia"/>
                <w:sz w:val="24"/>
              </w:rPr>
              <w:t>、</w:t>
            </w:r>
            <w:r>
              <w:rPr>
                <w:sz w:val="24"/>
              </w:rPr>
              <w:t>办公室及辅房</w:t>
            </w:r>
            <w:r>
              <w:rPr>
                <w:rFonts w:hint="eastAsia"/>
                <w:sz w:val="24"/>
              </w:rPr>
              <w:t>。</w:t>
            </w:r>
            <w:r>
              <w:rPr>
                <w:sz w:val="24"/>
              </w:rPr>
              <w:t>生产车间由北向南一次布设熔化工序</w:t>
            </w:r>
            <w:r>
              <w:rPr>
                <w:rFonts w:hint="eastAsia"/>
                <w:sz w:val="24"/>
              </w:rPr>
              <w:t>、</w:t>
            </w:r>
            <w:r>
              <w:rPr>
                <w:sz w:val="24"/>
              </w:rPr>
              <w:t>压铸工序</w:t>
            </w:r>
            <w:r>
              <w:rPr>
                <w:rFonts w:hint="eastAsia"/>
                <w:sz w:val="24"/>
              </w:rPr>
              <w:t>、表面清理工序、抛丸工序、机加工工序、浸渗工序、氦检工序、清洗工序、检验工序、包装工序等生产工序。联合厂房北侧、西南及南侧建设相关辅房。北侧辅房主要包括物料储存库房、空压机房、循环冷却水系统、污水处理设施等建设内容；西侧辅房主要包括机修间、变配电室、辅料库、更衣室、资料室等；南侧辅房主要包括检测室、办公室等建设内容。此外在厂区东南侧建设门卫室两间，厂区西南侧建设三层倒班楼1座，1层位餐厅，2层和</w:t>
            </w:r>
            <w:r>
              <w:rPr>
                <w:sz w:val="24"/>
              </w:rPr>
              <w:t>3层均为员工宿舍</w:t>
            </w:r>
            <w:r>
              <w:rPr>
                <w:rFonts w:hint="eastAsia"/>
                <w:sz w:val="24"/>
              </w:rPr>
              <w:t>。</w:t>
            </w:r>
            <w:r>
              <w:rPr>
                <w:sz w:val="24"/>
              </w:rPr>
              <w:t>另沿厂区四周建设绿化带</w:t>
            </w:r>
            <w:r>
              <w:rPr>
                <w:rFonts w:hint="eastAsia"/>
                <w:sz w:val="24"/>
              </w:rPr>
              <w:t>，</w:t>
            </w:r>
            <w:r>
              <w:rPr>
                <w:sz w:val="24"/>
              </w:rPr>
              <w:t>厂区南侧空地建设室外停车场</w:t>
            </w:r>
            <w:r>
              <w:rPr>
                <w:rFonts w:hint="eastAsia"/>
                <w:sz w:val="24"/>
              </w:rPr>
              <w:t>。</w:t>
            </w:r>
          </w:p>
          <w:p w14:paraId="20E80FE0">
            <w:pPr>
              <w:spacing w:line="360" w:lineRule="auto"/>
              <w:ind w:firstLine="491" w:firstLineChars="205"/>
              <w:rPr>
                <w:sz w:val="24"/>
              </w:rPr>
            </w:pPr>
            <w:r>
              <w:rPr>
                <w:sz w:val="24"/>
              </w:rPr>
              <w:t>项目平面布置基本保证了工艺流程的顺畅紧凑，减少了物料输送流程，同时充分考虑到噪声源的合理位置，将高噪声设备</w:t>
            </w:r>
            <w:r>
              <w:rPr>
                <w:rFonts w:hint="eastAsia"/>
                <w:sz w:val="24"/>
              </w:rPr>
              <w:t>联合厂房</w:t>
            </w:r>
            <w:r>
              <w:rPr>
                <w:sz w:val="24"/>
              </w:rPr>
              <w:t>内，厂房四周进行绿化，最大限度地减轻了项目噪声对区域环境的影响。</w:t>
            </w:r>
          </w:p>
          <w:p w14:paraId="753C999D">
            <w:pPr>
              <w:spacing w:line="360" w:lineRule="auto"/>
              <w:ind w:firstLine="491" w:firstLineChars="205"/>
              <w:rPr>
                <w:sz w:val="24"/>
              </w:rPr>
            </w:pPr>
            <w:r>
              <w:rPr>
                <w:sz w:val="24"/>
              </w:rPr>
              <w:t>项目设置4</w:t>
            </w:r>
            <w:r>
              <w:rPr>
                <w:rFonts w:hint="eastAsia"/>
                <w:sz w:val="24"/>
              </w:rPr>
              <w:t>套</w:t>
            </w:r>
            <w:r>
              <w:rPr>
                <w:sz w:val="24"/>
              </w:rPr>
              <w:t>废气处理设施，用于处理</w:t>
            </w:r>
            <w:r>
              <w:rPr>
                <w:rFonts w:hint="eastAsia"/>
                <w:sz w:val="24"/>
              </w:rPr>
              <w:t>熔化炉</w:t>
            </w:r>
            <w:r>
              <w:rPr>
                <w:sz w:val="24"/>
              </w:rPr>
              <w:t>废气</w:t>
            </w:r>
            <w:r>
              <w:rPr>
                <w:rFonts w:hint="eastAsia"/>
                <w:sz w:val="24"/>
              </w:rPr>
              <w:t>、</w:t>
            </w:r>
            <w:r>
              <w:rPr>
                <w:sz w:val="24"/>
              </w:rPr>
              <w:t>保温炉废气、</w:t>
            </w:r>
            <w:r>
              <w:rPr>
                <w:rFonts w:hint="eastAsia"/>
                <w:sz w:val="24"/>
              </w:rPr>
              <w:t>压铸工序</w:t>
            </w:r>
            <w:r>
              <w:rPr>
                <w:sz w:val="24"/>
              </w:rPr>
              <w:t>废气</w:t>
            </w:r>
            <w:r>
              <w:rPr>
                <w:rFonts w:hint="eastAsia"/>
                <w:sz w:val="24"/>
              </w:rPr>
              <w:t>、</w:t>
            </w:r>
            <w:r>
              <w:rPr>
                <w:sz w:val="24"/>
              </w:rPr>
              <w:t>抛丸及表面清理工序废气</w:t>
            </w:r>
            <w:r>
              <w:rPr>
                <w:rFonts w:hint="eastAsia"/>
                <w:sz w:val="24"/>
              </w:rPr>
              <w:t>。熔化炉</w:t>
            </w:r>
            <w:r>
              <w:rPr>
                <w:sz w:val="24"/>
              </w:rPr>
              <w:t>废气排气筒</w:t>
            </w:r>
            <w:r>
              <w:rPr>
                <w:rFonts w:hint="eastAsia"/>
                <w:sz w:val="24"/>
              </w:rPr>
              <w:t>（1#排气筒）、</w:t>
            </w:r>
            <w:r>
              <w:rPr>
                <w:sz w:val="24"/>
              </w:rPr>
              <w:t>保温炉废气排气筒</w:t>
            </w:r>
            <w:r>
              <w:rPr>
                <w:rFonts w:hint="eastAsia"/>
                <w:sz w:val="24"/>
              </w:rPr>
              <w:t>（</w:t>
            </w:r>
            <w:r>
              <w:rPr>
                <w:sz w:val="24"/>
              </w:rPr>
              <w:t>2</w:t>
            </w:r>
            <w:r>
              <w:rPr>
                <w:rFonts w:hint="eastAsia"/>
                <w:sz w:val="24"/>
              </w:rPr>
              <w:t>#排气筒）、压铸工序废气</w:t>
            </w:r>
            <w:r>
              <w:rPr>
                <w:sz w:val="24"/>
              </w:rPr>
              <w:t>排气筒</w:t>
            </w:r>
            <w:r>
              <w:rPr>
                <w:rFonts w:hint="eastAsia"/>
                <w:sz w:val="24"/>
              </w:rPr>
              <w:t>（</w:t>
            </w:r>
            <w:r>
              <w:rPr>
                <w:sz w:val="24"/>
              </w:rPr>
              <w:t>3</w:t>
            </w:r>
            <w:r>
              <w:rPr>
                <w:rFonts w:hint="eastAsia"/>
                <w:sz w:val="24"/>
              </w:rPr>
              <w:t>#排气筒）均位于项目区北侧，</w:t>
            </w:r>
            <w:r>
              <w:rPr>
                <w:bCs/>
                <w:sz w:val="24"/>
              </w:rPr>
              <w:t>抛丸及表面清理废气</w:t>
            </w:r>
            <w:r>
              <w:rPr>
                <w:rFonts w:hint="eastAsia"/>
                <w:sz w:val="24"/>
              </w:rPr>
              <w:t>排气筒</w:t>
            </w:r>
            <w:r>
              <w:rPr>
                <w:rFonts w:hint="eastAsia"/>
                <w:bCs/>
                <w:sz w:val="24"/>
              </w:rPr>
              <w:t>（4</w:t>
            </w:r>
            <w:r>
              <w:rPr>
                <w:bCs/>
                <w:sz w:val="24"/>
              </w:rPr>
              <w:t>#排气筒</w:t>
            </w:r>
            <w:r>
              <w:rPr>
                <w:rFonts w:hint="eastAsia"/>
                <w:bCs/>
                <w:sz w:val="24"/>
              </w:rPr>
              <w:t>）位于项目区西侧，各</w:t>
            </w:r>
            <w:r>
              <w:rPr>
                <w:bCs/>
                <w:sz w:val="24"/>
              </w:rPr>
              <w:t>配气通布设均原料项目</w:t>
            </w:r>
            <w:r>
              <w:rPr>
                <w:rFonts w:hint="eastAsia"/>
                <w:bCs/>
                <w:sz w:val="24"/>
              </w:rPr>
              <w:t>东南侧</w:t>
            </w:r>
            <w:r>
              <w:rPr>
                <w:bCs/>
                <w:sz w:val="24"/>
              </w:rPr>
              <w:t>及东北侧敏感目标</w:t>
            </w:r>
            <w:r>
              <w:rPr>
                <w:rFonts w:hint="eastAsia"/>
                <w:bCs/>
                <w:sz w:val="24"/>
              </w:rPr>
              <w:t>，</w:t>
            </w:r>
            <w:r>
              <w:rPr>
                <w:bCs/>
                <w:sz w:val="24"/>
              </w:rPr>
              <w:t>且不在敏感目标上风向。项目各废气治理设施靠近污染源布设，缩短了废气输送距离，提高了废气收集效率。同时均位于联合厂房边缘，不会影响工艺流程正常进行。各污染物均实现达标排放</w:t>
            </w:r>
            <w:r>
              <w:rPr>
                <w:rFonts w:hint="eastAsia"/>
                <w:bCs/>
                <w:sz w:val="24"/>
              </w:rPr>
              <w:t>，</w:t>
            </w:r>
            <w:r>
              <w:rPr>
                <w:bCs/>
                <w:sz w:val="24"/>
              </w:rPr>
              <w:t>对项目区周边影响较小</w:t>
            </w:r>
            <w:r>
              <w:rPr>
                <w:rFonts w:hint="eastAsia"/>
                <w:bCs/>
                <w:sz w:val="24"/>
              </w:rPr>
              <w:t>。</w:t>
            </w:r>
            <w:r>
              <w:rPr>
                <w:bCs/>
                <w:sz w:val="24"/>
              </w:rPr>
              <w:t>项目</w:t>
            </w:r>
            <w:r>
              <w:rPr>
                <w:rFonts w:hint="eastAsia"/>
                <w:bCs/>
                <w:sz w:val="24"/>
              </w:rPr>
              <w:t>污水</w:t>
            </w:r>
            <w:r>
              <w:rPr>
                <w:bCs/>
                <w:sz w:val="24"/>
              </w:rPr>
              <w:t>处理设施位于联合厂房北侧辅房内，各池体均采用地埋式建设，设备位于地面设备间内，项目施工过程中</w:t>
            </w:r>
            <w:r>
              <w:rPr>
                <w:rFonts w:hint="eastAsia"/>
                <w:bCs/>
                <w:sz w:val="24"/>
              </w:rPr>
              <w:t>通过</w:t>
            </w:r>
            <w:r>
              <w:rPr>
                <w:bCs/>
                <w:sz w:val="24"/>
              </w:rPr>
              <w:t>调整污水管网敷设深度</w:t>
            </w:r>
            <w:r>
              <w:rPr>
                <w:rFonts w:hint="eastAsia"/>
                <w:bCs/>
                <w:sz w:val="24"/>
              </w:rPr>
              <w:t>，</w:t>
            </w:r>
            <w:r>
              <w:rPr>
                <w:bCs/>
                <w:sz w:val="24"/>
              </w:rPr>
              <w:t>确保管网水力坡度不低于</w:t>
            </w:r>
            <w:r>
              <w:rPr>
                <w:rFonts w:hint="eastAsia"/>
                <w:bCs/>
                <w:sz w:val="24"/>
              </w:rPr>
              <w:t>3%，</w:t>
            </w:r>
            <w:r>
              <w:rPr>
                <w:bCs/>
                <w:sz w:val="24"/>
              </w:rPr>
              <w:t>可实现生产废水、食堂废水及生活污水均自流进入污水处理设施。</w:t>
            </w:r>
          </w:p>
          <w:p w14:paraId="789F3F8C">
            <w:pPr>
              <w:spacing w:line="360" w:lineRule="auto"/>
              <w:ind w:firstLine="491" w:firstLineChars="205"/>
              <w:rPr>
                <w:sz w:val="24"/>
              </w:rPr>
            </w:pPr>
            <w:r>
              <w:rPr>
                <w:sz w:val="24"/>
              </w:rPr>
              <w:t>危险废物和一般固废暂存区布置在厂房东北角，紧邻出入口布置便于固废就近转运。</w:t>
            </w:r>
          </w:p>
          <w:p w14:paraId="173FD5D3">
            <w:pPr>
              <w:spacing w:line="360" w:lineRule="auto"/>
              <w:ind w:firstLine="491" w:firstLineChars="205"/>
              <w:rPr>
                <w:b/>
                <w:bCs/>
                <w:szCs w:val="21"/>
              </w:rPr>
            </w:pPr>
            <w:r>
              <w:rPr>
                <w:rFonts w:hint="eastAsia"/>
                <w:sz w:val="24"/>
              </w:rPr>
              <w:t>综上</w:t>
            </w:r>
            <w:r>
              <w:rPr>
                <w:sz w:val="24"/>
              </w:rPr>
              <w:t>，本评价认为，项目总平面布局合理。</w:t>
            </w:r>
          </w:p>
        </w:tc>
      </w:tr>
      <w:tr w14:paraId="688C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dxa"/>
            <w:vAlign w:val="center"/>
          </w:tcPr>
          <w:p w14:paraId="33670911">
            <w:pPr>
              <w:pStyle w:val="24"/>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工艺流程和产排污环节</w:t>
            </w:r>
          </w:p>
        </w:tc>
        <w:tc>
          <w:tcPr>
            <w:tcW w:w="8637" w:type="dxa"/>
          </w:tcPr>
          <w:p w14:paraId="6DBE5E07">
            <w:pPr>
              <w:adjustRightInd w:val="0"/>
              <w:snapToGrid w:val="0"/>
              <w:spacing w:line="360" w:lineRule="auto"/>
              <w:rPr>
                <w:rFonts w:ascii="宋体" w:hAnsi="宋体"/>
                <w:b/>
                <w:bCs/>
                <w:sz w:val="24"/>
              </w:rPr>
            </w:pPr>
            <w:r>
              <w:rPr>
                <w:rFonts w:hAnsi="宋体"/>
                <w:b/>
                <w:sz w:val="24"/>
              </w:rPr>
              <w:t>1</w:t>
            </w:r>
            <w:r>
              <w:rPr>
                <w:rFonts w:hint="eastAsia" w:hAnsi="宋体"/>
                <w:b/>
                <w:sz w:val="24"/>
              </w:rPr>
              <w:t>、施工期工艺流程及产排污环节</w:t>
            </w:r>
          </w:p>
          <w:p w14:paraId="6721C8E0">
            <w:pPr>
              <w:adjustRightInd w:val="0"/>
              <w:snapToGrid w:val="0"/>
              <w:spacing w:line="360" w:lineRule="auto"/>
              <w:ind w:firstLine="480" w:firstLineChars="200"/>
              <w:rPr>
                <w:bCs/>
                <w:sz w:val="24"/>
              </w:rPr>
            </w:pPr>
            <w:r>
              <w:rPr>
                <w:bCs/>
                <w:sz w:val="24"/>
              </w:rPr>
              <w:t>项目所在地块已进行平场，项目施工期主要包括联合厂房、</w:t>
            </w:r>
            <w:r>
              <w:rPr>
                <w:rFonts w:hint="eastAsia"/>
                <w:bCs/>
                <w:sz w:val="24"/>
              </w:rPr>
              <w:t>倒班房</w:t>
            </w:r>
            <w:r>
              <w:rPr>
                <w:bCs/>
                <w:sz w:val="24"/>
              </w:rPr>
              <w:t>和门卫室的建设与装修等，施工期主要污染物包括施工噪声</w:t>
            </w:r>
            <w:r>
              <w:rPr>
                <w:rFonts w:hint="eastAsia"/>
                <w:bCs/>
                <w:sz w:val="24"/>
              </w:rPr>
              <w:t>、</w:t>
            </w:r>
            <w:r>
              <w:rPr>
                <w:bCs/>
                <w:sz w:val="24"/>
              </w:rPr>
              <w:t>施工扬尘</w:t>
            </w:r>
            <w:r>
              <w:rPr>
                <w:rFonts w:hint="eastAsia"/>
                <w:bCs/>
                <w:sz w:val="24"/>
              </w:rPr>
              <w:t>、</w:t>
            </w:r>
            <w:r>
              <w:rPr>
                <w:bCs/>
                <w:sz w:val="24"/>
              </w:rPr>
              <w:t>建筑垃圾</w:t>
            </w:r>
            <w:r>
              <w:rPr>
                <w:rFonts w:hint="eastAsia"/>
                <w:bCs/>
                <w:sz w:val="24"/>
              </w:rPr>
              <w:t>、</w:t>
            </w:r>
            <w:r>
              <w:rPr>
                <w:bCs/>
                <w:sz w:val="24"/>
              </w:rPr>
              <w:t>设备安装废弃物及生活污水</w:t>
            </w:r>
            <w:r>
              <w:rPr>
                <w:rFonts w:hint="eastAsia"/>
                <w:bCs/>
                <w:sz w:val="24"/>
              </w:rPr>
              <w:t>、</w:t>
            </w:r>
            <w:r>
              <w:rPr>
                <w:bCs/>
                <w:sz w:val="24"/>
              </w:rPr>
              <w:t>生活垃圾等</w:t>
            </w:r>
            <w:r>
              <w:rPr>
                <w:rFonts w:hint="eastAsia"/>
                <w:bCs/>
                <w:sz w:val="24"/>
              </w:rPr>
              <w:t>，</w:t>
            </w:r>
            <w:r>
              <w:rPr>
                <w:bCs/>
                <w:sz w:val="24"/>
              </w:rPr>
              <w:t>项目施工期工艺流程及产污环节示意图见图2-2。</w:t>
            </w:r>
          </w:p>
          <w:p w14:paraId="4F9B9C14">
            <w:pPr>
              <w:adjustRightInd w:val="0"/>
              <w:snapToGrid w:val="0"/>
              <w:spacing w:line="360" w:lineRule="auto"/>
              <w:jc w:val="center"/>
              <w:rPr>
                <w:rFonts w:ascii="宋体" w:hAnsi="宋体"/>
                <w:bCs/>
                <w:sz w:val="24"/>
              </w:rPr>
            </w:pPr>
            <w:r>
              <w:rPr>
                <w:sz w:val="24"/>
              </w:rPr>
              <w:object>
                <v:shape id="_x0000_i1026" o:spt="75" type="#_x0000_t75" style="height:144pt;width:381.0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072B96BA">
            <w:pPr>
              <w:adjustRightInd w:val="0"/>
              <w:snapToGrid w:val="0"/>
              <w:spacing w:line="360" w:lineRule="auto"/>
              <w:jc w:val="center"/>
              <w:rPr>
                <w:bCs/>
                <w:sz w:val="24"/>
              </w:rPr>
            </w:pPr>
            <w:r>
              <w:rPr>
                <w:bCs/>
                <w:sz w:val="24"/>
              </w:rPr>
              <w:t>图2-2  施工期工艺流程及产污环节图</w:t>
            </w:r>
          </w:p>
          <w:p w14:paraId="568A06B0">
            <w:pPr>
              <w:adjustRightInd w:val="0"/>
              <w:snapToGrid w:val="0"/>
              <w:spacing w:line="360" w:lineRule="auto"/>
              <w:rPr>
                <w:rFonts w:ascii="宋体" w:hAnsi="宋体"/>
                <w:b/>
                <w:bCs/>
                <w:sz w:val="24"/>
              </w:rPr>
            </w:pPr>
            <w:r>
              <w:rPr>
                <w:rFonts w:hint="eastAsia" w:hAnsi="宋体"/>
                <w:b/>
                <w:bCs/>
                <w:sz w:val="24"/>
              </w:rPr>
              <w:t>2、营运期工艺流程及产排污环节</w:t>
            </w:r>
          </w:p>
          <w:p w14:paraId="03001DE4">
            <w:pPr>
              <w:adjustRightInd w:val="0"/>
              <w:snapToGrid w:val="0"/>
              <w:spacing w:line="360" w:lineRule="auto"/>
              <w:ind w:firstLine="480" w:firstLineChars="200"/>
              <w:rPr>
                <w:rFonts w:hAnsi="宋体"/>
                <w:sz w:val="24"/>
              </w:rPr>
            </w:pPr>
            <w:r>
              <w:rPr>
                <w:rFonts w:hint="eastAsia" w:hAnsi="宋体"/>
                <w:sz w:val="24"/>
              </w:rPr>
              <w:t>项目迁建后与现有工程相比取消了无铬钝化工序，其余生产工序保持不变，主要包括熔化工序、压铸工序、表面清理工序、抛丸工序、机加工工序、氦检工序、浸渗工序、清洗工序、检验工序、包装工序、模具维修工序，厂区内主要对设备进行维护保养以及简单维修。</w:t>
            </w:r>
          </w:p>
          <w:p w14:paraId="143A9851">
            <w:pPr>
              <w:adjustRightInd w:val="0"/>
              <w:snapToGrid w:val="0"/>
              <w:spacing w:line="360" w:lineRule="auto"/>
              <w:ind w:firstLine="482" w:firstLineChars="200"/>
              <w:rPr>
                <w:rFonts w:hAnsi="宋体"/>
                <w:b/>
                <w:sz w:val="24"/>
              </w:rPr>
            </w:pPr>
            <w:r>
              <w:rPr>
                <w:rFonts w:hint="eastAsia" w:hAnsi="宋体"/>
                <w:b/>
                <w:sz w:val="24"/>
              </w:rPr>
              <w:t>2</w:t>
            </w:r>
            <w:r>
              <w:rPr>
                <w:rFonts w:hAnsi="宋体"/>
                <w:b/>
                <w:sz w:val="24"/>
              </w:rPr>
              <w:t>.1 项目主体工程工艺</w:t>
            </w:r>
          </w:p>
          <w:p w14:paraId="3D82E9BF">
            <w:pPr>
              <w:adjustRightInd w:val="0"/>
              <w:snapToGrid w:val="0"/>
              <w:spacing w:line="360" w:lineRule="auto"/>
              <w:ind w:firstLine="480" w:firstLineChars="200"/>
              <w:rPr>
                <w:rFonts w:hAnsi="宋体"/>
                <w:sz w:val="24"/>
              </w:rPr>
            </w:pPr>
            <w:r>
              <w:rPr>
                <w:rFonts w:hint="eastAsia" w:hAnsi="宋体"/>
                <w:sz w:val="24"/>
              </w:rPr>
              <w:t>项目压铸所需的铝合金液主要由重庆剑涛铝业有限公司及重庆国丰实业有限公司提供，采用专用运输车将铝合金液运至厂区压铸区域使用，项目铝合金液即运即用，不在厂区内暂存。考虑到铝合金液供应公司自身设备检修及其他情况导致铝铝合金液断供，为保障项目生产运营，项目设置熔化炉并外购铝合金锭作为备用，根据业主经验数据，项目熔化铝合金量约为</w:t>
            </w:r>
            <w:r>
              <w:rPr>
                <w:rFonts w:hAnsi="宋体"/>
                <w:sz w:val="24"/>
              </w:rPr>
              <w:t>1500t</w:t>
            </w:r>
            <w:r>
              <w:rPr>
                <w:rFonts w:hint="eastAsia" w:hAnsi="宋体"/>
                <w:sz w:val="24"/>
              </w:rPr>
              <w:t>。</w:t>
            </w:r>
          </w:p>
          <w:p w14:paraId="1DEC319F">
            <w:pPr>
              <w:adjustRightInd w:val="0"/>
              <w:snapToGrid w:val="0"/>
              <w:spacing w:line="360" w:lineRule="auto"/>
              <w:ind w:firstLine="480" w:firstLineChars="200"/>
              <w:rPr>
                <w:rFonts w:hAnsi="宋体"/>
                <w:sz w:val="24"/>
              </w:rPr>
            </w:pPr>
            <w:r>
              <w:rPr>
                <w:rFonts w:hint="eastAsia" w:hAnsi="宋体"/>
                <w:sz w:val="24"/>
              </w:rPr>
              <w:t>项目生产工艺流程及产排污环节图如下：</w:t>
            </w:r>
          </w:p>
          <w:p w14:paraId="4BD9CDA2">
            <w:pPr>
              <w:adjustRightInd w:val="0"/>
              <w:snapToGrid w:val="0"/>
              <w:spacing w:line="360" w:lineRule="auto"/>
              <w:jc w:val="center"/>
            </w:pPr>
          </w:p>
          <w:p w14:paraId="0CFBBA66">
            <w:pPr>
              <w:adjustRightInd w:val="0"/>
              <w:snapToGrid w:val="0"/>
              <w:spacing w:line="360" w:lineRule="auto"/>
              <w:jc w:val="center"/>
            </w:pPr>
          </w:p>
          <w:p w14:paraId="0C393FD2">
            <w:pPr>
              <w:adjustRightInd w:val="0"/>
              <w:snapToGrid w:val="0"/>
              <w:spacing w:line="360" w:lineRule="auto"/>
              <w:jc w:val="center"/>
            </w:pPr>
          </w:p>
          <w:p w14:paraId="7A80A1E1">
            <w:pPr>
              <w:adjustRightInd w:val="0"/>
              <w:snapToGrid w:val="0"/>
              <w:spacing w:line="360" w:lineRule="auto"/>
              <w:jc w:val="center"/>
            </w:pPr>
          </w:p>
          <w:p w14:paraId="29A31A27">
            <w:pPr>
              <w:adjustRightInd w:val="0"/>
              <w:snapToGrid w:val="0"/>
              <w:spacing w:line="360" w:lineRule="auto"/>
              <w:jc w:val="center"/>
            </w:pPr>
          </w:p>
          <w:p w14:paraId="3608195E">
            <w:pPr>
              <w:adjustRightInd w:val="0"/>
              <w:snapToGrid w:val="0"/>
              <w:spacing w:line="360" w:lineRule="auto"/>
              <w:jc w:val="center"/>
            </w:pPr>
          </w:p>
          <w:p w14:paraId="64BD8514">
            <w:pPr>
              <w:adjustRightInd w:val="0"/>
              <w:snapToGrid w:val="0"/>
              <w:spacing w:line="360" w:lineRule="auto"/>
              <w:jc w:val="center"/>
            </w:pPr>
          </w:p>
          <w:p w14:paraId="36C16740">
            <w:pPr>
              <w:adjustRightInd w:val="0"/>
              <w:snapToGrid w:val="0"/>
              <w:spacing w:line="360" w:lineRule="auto"/>
              <w:jc w:val="center"/>
            </w:pPr>
          </w:p>
          <w:p w14:paraId="14CC6BEE">
            <w:pPr>
              <w:adjustRightInd w:val="0"/>
              <w:snapToGrid w:val="0"/>
              <w:spacing w:line="360" w:lineRule="auto"/>
              <w:jc w:val="center"/>
            </w:pPr>
          </w:p>
          <w:p w14:paraId="27AAD048">
            <w:pPr>
              <w:adjustRightInd w:val="0"/>
              <w:snapToGrid w:val="0"/>
              <w:spacing w:line="360" w:lineRule="auto"/>
              <w:jc w:val="center"/>
              <w:rPr>
                <w:bCs/>
                <w:sz w:val="24"/>
              </w:rPr>
            </w:pPr>
            <w:r>
              <w:object>
                <v:shape id="_x0000_i1027" o:spt="75" type="#_x0000_t75" style="height:467.45pt;width:264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14:paraId="3EDF057F">
            <w:pPr>
              <w:adjustRightInd w:val="0"/>
              <w:snapToGrid w:val="0"/>
              <w:spacing w:line="360" w:lineRule="auto"/>
              <w:jc w:val="center"/>
              <w:rPr>
                <w:bCs/>
                <w:sz w:val="24"/>
              </w:rPr>
            </w:pPr>
            <w:r>
              <w:rPr>
                <w:bCs/>
                <w:sz w:val="24"/>
              </w:rPr>
              <w:t xml:space="preserve">图2-3  </w:t>
            </w:r>
            <w:r>
              <w:rPr>
                <w:rFonts w:hint="eastAsia"/>
                <w:bCs/>
                <w:sz w:val="24"/>
              </w:rPr>
              <w:t>运营期</w:t>
            </w:r>
            <w:r>
              <w:rPr>
                <w:bCs/>
                <w:sz w:val="24"/>
              </w:rPr>
              <w:t>工艺流程及产污环节图</w:t>
            </w:r>
          </w:p>
          <w:p w14:paraId="0444ED44">
            <w:pPr>
              <w:adjustRightInd w:val="0"/>
              <w:snapToGrid w:val="0"/>
              <w:spacing w:line="360" w:lineRule="auto"/>
              <w:ind w:firstLine="480" w:firstLineChars="200"/>
              <w:rPr>
                <w:sz w:val="24"/>
              </w:rPr>
            </w:pPr>
            <w:r>
              <w:rPr>
                <w:sz w:val="24"/>
              </w:rPr>
              <w:t>工艺</w:t>
            </w:r>
            <w:r>
              <w:rPr>
                <w:rFonts w:hint="eastAsia"/>
                <w:sz w:val="24"/>
              </w:rPr>
              <w:t>简介：</w:t>
            </w:r>
          </w:p>
          <w:p w14:paraId="22B04453">
            <w:pPr>
              <w:adjustRightInd w:val="0"/>
              <w:snapToGrid w:val="0"/>
              <w:spacing w:line="360" w:lineRule="auto"/>
              <w:ind w:firstLine="480" w:firstLineChars="200"/>
              <w:rPr>
                <w:sz w:val="24"/>
              </w:rPr>
            </w:pPr>
            <w:r>
              <w:rPr>
                <w:rFonts w:hint="eastAsia"/>
                <w:sz w:val="24"/>
              </w:rPr>
              <w:t>（1）熔化工序</w:t>
            </w:r>
          </w:p>
          <w:p w14:paraId="72550C35">
            <w:pPr>
              <w:adjustRightInd w:val="0"/>
              <w:snapToGrid w:val="0"/>
              <w:spacing w:line="360" w:lineRule="auto"/>
              <w:ind w:firstLine="480" w:firstLineChars="200"/>
              <w:rPr>
                <w:sz w:val="24"/>
              </w:rPr>
            </w:pPr>
            <w:r>
              <w:rPr>
                <w:rFonts w:hint="eastAsia"/>
                <w:sz w:val="24"/>
              </w:rPr>
              <w:t>项目外购成品ACD12铝合金锭加入熔化炉进行熔化，项目设置2台熔化炉，熔化能力分别为1</w:t>
            </w:r>
            <w:r>
              <w:rPr>
                <w:sz w:val="24"/>
              </w:rPr>
              <w:t>.5t/h</w:t>
            </w:r>
            <w:r>
              <w:rPr>
                <w:rFonts w:hint="eastAsia"/>
                <w:sz w:val="24"/>
              </w:rPr>
              <w:t>、0</w:t>
            </w:r>
            <w:r>
              <w:rPr>
                <w:sz w:val="24"/>
              </w:rPr>
              <w:t>.75t/h</w:t>
            </w:r>
            <w:r>
              <w:rPr>
                <w:rFonts w:hint="eastAsia"/>
                <w:sz w:val="24"/>
              </w:rPr>
              <w:t>，年有效工作时间</w:t>
            </w:r>
            <w:r>
              <w:rPr>
                <w:sz w:val="24"/>
              </w:rPr>
              <w:t>667h</w:t>
            </w:r>
            <w:r>
              <w:rPr>
                <w:rFonts w:hint="eastAsia"/>
                <w:sz w:val="24"/>
              </w:rPr>
              <w:t>。铝合金锭由升降机投入到熔化炉内。熔化炉采用天然气为燃料，直接加热，熔化炉炉膛温度约</w:t>
            </w:r>
            <w:r>
              <w:rPr>
                <w:sz w:val="24"/>
              </w:rPr>
              <w:t>730</w:t>
            </w:r>
            <w:r>
              <w:rPr>
                <w:rFonts w:hint="eastAsia"/>
                <w:sz w:val="24"/>
              </w:rPr>
              <w:t>℃。铝锭熔化后人工投加少量的精炼剂和铝除渣除气剂，投加量均约为2kg/t铝锭，采用工具压到液池底部并缓慢搅拌，主要清除铝液中少量的氢及合金液中氧化夹杂物，处理完毕后打捞表面浮渣。项目精炼剂及铝除渣除气剂不含氟化物。</w:t>
            </w:r>
          </w:p>
          <w:p w14:paraId="3671E357">
            <w:pPr>
              <w:adjustRightInd w:val="0"/>
              <w:snapToGrid w:val="0"/>
              <w:spacing w:line="360" w:lineRule="auto"/>
              <w:ind w:firstLine="480" w:firstLineChars="200"/>
              <w:rPr>
                <w:sz w:val="24"/>
              </w:rPr>
            </w:pPr>
            <w:r>
              <w:rPr>
                <w:rFonts w:hint="eastAsia"/>
                <w:sz w:val="24"/>
              </w:rPr>
              <w:t>项目熔化工序工序会有废气（G1）及铝灰渣（S1）产生。</w:t>
            </w:r>
          </w:p>
          <w:p w14:paraId="14FB6881">
            <w:pPr>
              <w:pStyle w:val="126"/>
              <w:ind w:left="105" w:right="105" w:firstLine="480"/>
              <w:jc w:val="both"/>
              <w:rPr>
                <w:rFonts w:ascii="Times New Roman" w:hAnsi="Times New Roman"/>
                <w:sz w:val="24"/>
                <w:szCs w:val="24"/>
              </w:rPr>
            </w:pPr>
            <w:r>
              <w:rPr>
                <w:rFonts w:hint="eastAsia" w:ascii="Times New Roman" w:hAnsi="Times New Roman"/>
                <w:sz w:val="24"/>
                <w:szCs w:val="24"/>
              </w:rPr>
              <w:t>（2）压铸工序</w:t>
            </w:r>
          </w:p>
          <w:p w14:paraId="29AEC8E4">
            <w:pPr>
              <w:pStyle w:val="126"/>
              <w:ind w:left="105" w:right="105" w:firstLine="480"/>
              <w:jc w:val="both"/>
              <w:rPr>
                <w:rFonts w:ascii="Times New Roman" w:hAnsi="Times New Roman"/>
                <w:sz w:val="24"/>
                <w:szCs w:val="24"/>
              </w:rPr>
            </w:pPr>
            <w:r>
              <w:rPr>
                <w:rFonts w:hint="eastAsia" w:ascii="Times New Roman" w:hAnsi="Times New Roman"/>
                <w:sz w:val="24"/>
                <w:szCs w:val="24"/>
              </w:rPr>
              <w:t>熔化后的铝液经熔化炉出液口流至铝液包，使用旋转脱气装置，向铝液包内的铝液输送氮气，处理时间8-12分钟，达到除去铝液内部氢气的目的，再由叉车转移至压铸机配套的保温炉内。保温炉采用天然气加热保温，炉内温度保持在650℃左右。剑涛铝业和</w:t>
            </w:r>
            <w:r>
              <w:rPr>
                <w:rFonts w:hint="eastAsia"/>
                <w:sz w:val="24"/>
                <w:szCs w:val="24"/>
              </w:rPr>
              <w:t>国丰实业</w:t>
            </w:r>
            <w:r>
              <w:rPr>
                <w:rFonts w:hint="eastAsia" w:ascii="Times New Roman" w:hAnsi="Times New Roman"/>
                <w:sz w:val="24"/>
                <w:szCs w:val="24"/>
              </w:rPr>
              <w:t>提供的铝合金液由铝液包通过叉车转移至保温炉内。单台压铸机平均每分钟压铸</w:t>
            </w:r>
            <w:r>
              <w:rPr>
                <w:rFonts w:ascii="Times New Roman" w:hAnsi="Times New Roman"/>
                <w:sz w:val="24"/>
                <w:szCs w:val="24"/>
              </w:rPr>
              <w:t>1</w:t>
            </w:r>
            <w:r>
              <w:rPr>
                <w:rFonts w:hint="eastAsia" w:ascii="Times New Roman" w:hAnsi="Times New Roman"/>
                <w:sz w:val="24"/>
                <w:szCs w:val="24"/>
              </w:rPr>
              <w:t>个或</w:t>
            </w:r>
            <w:r>
              <w:rPr>
                <w:rFonts w:ascii="Times New Roman" w:hAnsi="Times New Roman"/>
                <w:sz w:val="24"/>
                <w:szCs w:val="24"/>
              </w:rPr>
              <w:t>2</w:t>
            </w:r>
            <w:r>
              <w:rPr>
                <w:rFonts w:hint="eastAsia" w:ascii="Times New Roman" w:hAnsi="Times New Roman"/>
                <w:sz w:val="24"/>
                <w:szCs w:val="24"/>
              </w:rPr>
              <w:t>个铸件，年有效工作时间</w:t>
            </w:r>
            <w:r>
              <w:rPr>
                <w:rFonts w:ascii="Times New Roman" w:hAnsi="Times New Roman"/>
                <w:sz w:val="24"/>
                <w:szCs w:val="24"/>
              </w:rPr>
              <w:t>7920</w:t>
            </w:r>
            <w:r>
              <w:rPr>
                <w:rFonts w:hint="eastAsia" w:ascii="Times New Roman" w:hAnsi="Times New Roman"/>
                <w:sz w:val="24"/>
                <w:szCs w:val="24"/>
              </w:rPr>
              <w:t>h。</w:t>
            </w:r>
          </w:p>
          <w:p w14:paraId="1154A719">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压铸是使液体金属在压力作用下充填型腔，以形成铸件的一种方法。压铸机机械手自动从保温炉出铝口熔池内定量舀取铝液，并将铝液注入模具型腔内，再由压铸机冷却循环系统冷却成型。在压铸前需要在模具内喷涂0</w:t>
            </w:r>
            <w:r>
              <w:rPr>
                <w:rFonts w:ascii="Times New Roman" w:hAnsi="Times New Roman"/>
                <w:sz w:val="24"/>
                <w:szCs w:val="24"/>
              </w:rPr>
              <w:t>.9</w:t>
            </w:r>
            <w:r>
              <w:rPr>
                <w:rFonts w:hint="eastAsia" w:ascii="Times New Roman" w:hAnsi="Times New Roman"/>
                <w:sz w:val="24"/>
                <w:szCs w:val="24"/>
              </w:rPr>
              <w:t>kg配置好的脱模剂，项目采用</w:t>
            </w:r>
            <w:r>
              <w:rPr>
                <w:rFonts w:hint="eastAsia"/>
                <w:sz w:val="24"/>
                <w:szCs w:val="21"/>
              </w:rPr>
              <w:t>喷雾机器人</w:t>
            </w:r>
            <w:r>
              <w:rPr>
                <w:rFonts w:hint="eastAsia" w:ascii="Times New Roman" w:hAnsi="Times New Roman"/>
                <w:sz w:val="24"/>
                <w:szCs w:val="24"/>
              </w:rPr>
              <w:t>自动喷涂脱模剂，喷涂系统底部设有脱模剂收集槽，过喷的脱模剂从模具型腔内流入模具下方的收集槽中，经收集槽进入脱模剂回收装置处理后回用。脱模剂回收装置内部设杂质过滤系统，经处理后脱模剂进入脱模剂循环池（1</w:t>
            </w:r>
            <w:r>
              <w:rPr>
                <w:rFonts w:ascii="Times New Roman" w:hAnsi="Times New Roman"/>
                <w:sz w:val="24"/>
                <w:szCs w:val="24"/>
              </w:rPr>
              <w:t>2m</w:t>
            </w:r>
            <w:r>
              <w:rPr>
                <w:rFonts w:ascii="Times New Roman" w:hAnsi="Times New Roman"/>
                <w:sz w:val="24"/>
                <w:szCs w:val="24"/>
                <w:vertAlign w:val="superscript"/>
              </w:rPr>
              <w:t>3</w:t>
            </w:r>
            <w:r>
              <w:rPr>
                <w:rFonts w:hint="eastAsia" w:ascii="Times New Roman" w:hAnsi="Times New Roman"/>
                <w:sz w:val="24"/>
                <w:szCs w:val="24"/>
              </w:rPr>
              <w:t>）中直接回用，过滤杂质作危废交由具有危废处置资质的单位处置。</w:t>
            </w:r>
          </w:p>
          <w:p w14:paraId="07CC3CD1">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工件压铸前向压射套筒加入适量的颗粒柱塞油（2g</w:t>
            </w:r>
            <w:r>
              <w:rPr>
                <w:rFonts w:ascii="Times New Roman" w:hAnsi="Times New Roman"/>
                <w:sz w:val="24"/>
                <w:szCs w:val="24"/>
              </w:rPr>
              <w:t>/次</w:t>
            </w:r>
            <w:r>
              <w:rPr>
                <w:rFonts w:hint="eastAsia" w:ascii="Times New Roman" w:hAnsi="Times New Roman"/>
                <w:sz w:val="24"/>
                <w:szCs w:val="24"/>
              </w:rPr>
              <w:t>），颗粒柱塞油遇高温铝液后迅速熔化并扩展，在压射套筒内形成润滑膜，可有效延长冲头的使用寿命，降低铸件气孔发生率。</w:t>
            </w:r>
          </w:p>
          <w:p w14:paraId="11EEA941">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压铸过程中，高温铝液（</w:t>
            </w:r>
            <w:r>
              <w:rPr>
                <w:rFonts w:ascii="Times New Roman" w:hAnsi="Times New Roman"/>
                <w:sz w:val="24"/>
                <w:szCs w:val="24"/>
              </w:rPr>
              <w:t>65</w:t>
            </w:r>
            <w:r>
              <w:rPr>
                <w:rFonts w:hint="eastAsia" w:ascii="Times New Roman" w:hAnsi="Times New Roman"/>
                <w:sz w:val="24"/>
                <w:szCs w:val="24"/>
              </w:rPr>
              <w:t>0℃）与脱模剂接触后，脱模剂水分会迅速蒸发，达到降温效果，并在模具与压铸件之间形成一层薄膜，阻止铝液或铸件与模具粘连。压铸机工作期间需使用循环冷却水装置对压铸机机头进行冷却。项目压铸成品率约90%。</w:t>
            </w:r>
          </w:p>
          <w:p w14:paraId="14CE9A78">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压铸工序主要有保温炉废气（G2）、少量的压铸脱模废气（G3）、废品（S2）和脱模剂过滤杂质（S3）产生。</w:t>
            </w:r>
          </w:p>
          <w:p w14:paraId="35EDFD5E">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（3）时效处理</w:t>
            </w:r>
          </w:p>
          <w:p w14:paraId="05B12001">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项目压铸而成的半成品需进行热处理，消除表面应力。项目设1台热处理炉，采用电加热，温度在</w:t>
            </w:r>
            <w:r>
              <w:rPr>
                <w:rFonts w:ascii="Times New Roman" w:hAnsi="Times New Roman"/>
                <w:sz w:val="24"/>
                <w:szCs w:val="24"/>
              </w:rPr>
              <w:t>175</w:t>
            </w:r>
            <w:r>
              <w:rPr>
                <w:rFonts w:hint="eastAsia" w:ascii="Times New Roman" w:hAnsi="Times New Roman"/>
                <w:sz w:val="24"/>
                <w:szCs w:val="24"/>
              </w:rPr>
              <w:t>℃，保温时间约</w:t>
            </w:r>
            <w:r>
              <w:rPr>
                <w:rFonts w:ascii="Times New Roman" w:hAnsi="Times New Roman"/>
                <w:sz w:val="24"/>
                <w:szCs w:val="24"/>
              </w:rPr>
              <w:t>4</w:t>
            </w:r>
            <w:r>
              <w:rPr>
                <w:rFonts w:hint="eastAsia" w:ascii="Times New Roman" w:hAnsi="Times New Roman"/>
                <w:sz w:val="24"/>
                <w:szCs w:val="24"/>
              </w:rPr>
              <w:t>h。该过程无污染物产生。</w:t>
            </w:r>
          </w:p>
          <w:p w14:paraId="6AD812AE">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）表面清理工序</w:t>
            </w:r>
          </w:p>
          <w:p w14:paraId="597D0110">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成型后的压铸件在清理台上通过人工清理，采用锉刀或气动锉刀清理压铸件表面的毛刺。该工序有废边角料（S</w:t>
            </w:r>
            <w:r>
              <w:rPr>
                <w:rFonts w:ascii="Times New Roman" w:hAnsi="Times New Roman"/>
                <w:sz w:val="24"/>
                <w:szCs w:val="24"/>
              </w:rPr>
              <w:t>4</w:t>
            </w:r>
            <w:r>
              <w:rPr>
                <w:rFonts w:hint="eastAsia" w:ascii="Times New Roman" w:hAnsi="Times New Roman"/>
                <w:sz w:val="24"/>
                <w:szCs w:val="24"/>
              </w:rPr>
              <w:t>）、清理废气（G</w:t>
            </w:r>
            <w:r>
              <w:rPr>
                <w:rFonts w:ascii="Times New Roman" w:hAnsi="Times New Roman"/>
                <w:sz w:val="24"/>
                <w:szCs w:val="24"/>
              </w:rPr>
              <w:t>4</w:t>
            </w:r>
            <w:r>
              <w:rPr>
                <w:rFonts w:hint="eastAsia" w:ascii="Times New Roman" w:hAnsi="Times New Roman"/>
                <w:sz w:val="24"/>
                <w:szCs w:val="24"/>
              </w:rPr>
              <w:t>）产生。</w:t>
            </w:r>
          </w:p>
          <w:p w14:paraId="37A96033">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5</w:t>
            </w:r>
            <w:r>
              <w:rPr>
                <w:rFonts w:hint="eastAsia" w:ascii="Times New Roman" w:hAnsi="Times New Roman"/>
                <w:sz w:val="24"/>
                <w:szCs w:val="24"/>
              </w:rPr>
              <w:t>）抛丸工序</w:t>
            </w:r>
          </w:p>
          <w:p w14:paraId="1EA40369">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采用抛丸机对工件表面进行整光处理，每次抛丸时间约</w:t>
            </w:r>
            <w:r>
              <w:rPr>
                <w:rFonts w:ascii="Times New Roman" w:hAnsi="Times New Roman"/>
                <w:sz w:val="24"/>
                <w:szCs w:val="24"/>
              </w:rPr>
              <w:t>5</w:t>
            </w:r>
            <w:r>
              <w:rPr>
                <w:rFonts w:hint="eastAsia" w:ascii="Times New Roman" w:hAnsi="Times New Roman"/>
                <w:sz w:val="24"/>
                <w:szCs w:val="24"/>
              </w:rPr>
              <w:t>~</w:t>
            </w:r>
            <w:r>
              <w:rPr>
                <w:rFonts w:ascii="Times New Roman" w:hAnsi="Times New Roman"/>
                <w:sz w:val="24"/>
                <w:szCs w:val="24"/>
              </w:rPr>
              <w:t>8</w:t>
            </w:r>
            <w:r>
              <w:rPr>
                <w:rFonts w:hint="eastAsia" w:ascii="Times New Roman" w:hAnsi="Times New Roman"/>
                <w:sz w:val="24"/>
                <w:szCs w:val="24"/>
              </w:rPr>
              <w:t>min，年有效工作时间2</w:t>
            </w:r>
            <w:r>
              <w:rPr>
                <w:rFonts w:ascii="Times New Roman" w:hAnsi="Times New Roman"/>
                <w:sz w:val="24"/>
                <w:szCs w:val="24"/>
              </w:rPr>
              <w:t>64</w:t>
            </w:r>
            <w:r>
              <w:rPr>
                <w:rFonts w:hint="eastAsia" w:ascii="Times New Roman" w:hAnsi="Times New Roman"/>
                <w:sz w:val="24"/>
                <w:szCs w:val="24"/>
              </w:rPr>
              <w:t>0h。</w:t>
            </w:r>
            <w:r>
              <w:rPr>
                <w:rFonts w:ascii="Times New Roman" w:hAnsi="Times New Roman"/>
                <w:sz w:val="24"/>
                <w:szCs w:val="24"/>
              </w:rPr>
              <w:t>工件由输送辊道送至封闭的</w:t>
            </w:r>
            <w:r>
              <w:rPr>
                <w:rFonts w:hint="eastAsia" w:ascii="Times New Roman" w:hAnsi="Times New Roman"/>
                <w:sz w:val="24"/>
                <w:szCs w:val="24"/>
              </w:rPr>
              <w:t>抛丸</w:t>
            </w:r>
            <w:r>
              <w:rPr>
                <w:rFonts w:ascii="Times New Roman" w:hAnsi="Times New Roman"/>
                <w:sz w:val="24"/>
                <w:szCs w:val="24"/>
              </w:rPr>
              <w:t>室，经多个位置及角度不同的高效抛丸器抛出的高速弹丸击打至工件表面，</w:t>
            </w:r>
            <w:r>
              <w:rPr>
                <w:rFonts w:hint="eastAsia" w:ascii="Times New Roman" w:hAnsi="Times New Roman"/>
                <w:sz w:val="24"/>
                <w:szCs w:val="24"/>
              </w:rPr>
              <w:t>使</w:t>
            </w:r>
            <w:r>
              <w:rPr>
                <w:rFonts w:ascii="Times New Roman" w:hAnsi="Times New Roman"/>
                <w:sz w:val="24"/>
                <w:szCs w:val="24"/>
              </w:rPr>
              <w:t>表面获得一定粗糙度的光亮表面，同时工件由于受到密集强力冲击，消除工件应力，避免工件变形。</w:t>
            </w:r>
            <w:r>
              <w:rPr>
                <w:rFonts w:hint="eastAsia" w:ascii="Times New Roman" w:hAnsi="Times New Roman"/>
                <w:sz w:val="24"/>
                <w:szCs w:val="24"/>
              </w:rPr>
              <w:t>抛丸</w:t>
            </w:r>
            <w:r>
              <w:rPr>
                <w:rFonts w:ascii="Times New Roman" w:hAnsi="Times New Roman"/>
                <w:sz w:val="24"/>
                <w:szCs w:val="24"/>
              </w:rPr>
              <w:t>过程中，撒落下来的丸尘混合物经提升机输送至抛丸机顶部分离器，经分离器产生丸尘瀑布，由风口吹扬除去粉尘，分离后的干净弹丸落入分离器料斗，循环使用</w:t>
            </w:r>
            <w:r>
              <w:rPr>
                <w:rFonts w:hint="eastAsia" w:ascii="Times New Roman" w:hAnsi="Times New Roman"/>
                <w:sz w:val="24"/>
                <w:szCs w:val="24"/>
              </w:rPr>
              <w:t>，定期更换</w:t>
            </w:r>
            <w:r>
              <w:rPr>
                <w:rFonts w:ascii="Times New Roman" w:hAnsi="Times New Roman"/>
                <w:sz w:val="24"/>
                <w:szCs w:val="24"/>
              </w:rPr>
              <w:t>。</w:t>
            </w:r>
          </w:p>
          <w:p w14:paraId="7320D865">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该工序有</w:t>
            </w:r>
            <w:r>
              <w:rPr>
                <w:rFonts w:ascii="Times New Roman" w:hAnsi="Times New Roman"/>
                <w:sz w:val="24"/>
                <w:szCs w:val="24"/>
              </w:rPr>
              <w:t>抛丸粉尘（G5）</w:t>
            </w:r>
            <w:r>
              <w:rPr>
                <w:rFonts w:hint="eastAsia" w:ascii="Times New Roman" w:hAnsi="Times New Roman"/>
                <w:sz w:val="24"/>
                <w:szCs w:val="24"/>
              </w:rPr>
              <w:t>、</w:t>
            </w:r>
            <w:r>
              <w:rPr>
                <w:rFonts w:ascii="Times New Roman" w:hAnsi="Times New Roman"/>
                <w:sz w:val="24"/>
                <w:szCs w:val="24"/>
              </w:rPr>
              <w:t>噪声</w:t>
            </w:r>
            <w:r>
              <w:rPr>
                <w:rFonts w:hint="eastAsia" w:ascii="Times New Roman" w:hAnsi="Times New Roman"/>
                <w:sz w:val="24"/>
                <w:szCs w:val="24"/>
              </w:rPr>
              <w:t>（N）及废钢丸（S</w:t>
            </w:r>
            <w:r>
              <w:rPr>
                <w:rFonts w:ascii="Times New Roman" w:hAnsi="Times New Roman"/>
                <w:sz w:val="24"/>
                <w:szCs w:val="24"/>
              </w:rPr>
              <w:t>4</w:t>
            </w:r>
            <w:r>
              <w:rPr>
                <w:rFonts w:hint="eastAsia" w:ascii="Times New Roman" w:hAnsi="Times New Roman"/>
                <w:sz w:val="24"/>
                <w:szCs w:val="24"/>
              </w:rPr>
              <w:t>）产生。</w:t>
            </w:r>
          </w:p>
          <w:p w14:paraId="6E0FCB9D">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6</w:t>
            </w:r>
            <w:r>
              <w:rPr>
                <w:rFonts w:hint="eastAsia" w:ascii="Times New Roman" w:hAnsi="Times New Roman"/>
                <w:sz w:val="24"/>
                <w:szCs w:val="24"/>
              </w:rPr>
              <w:t>）机加工工序</w:t>
            </w:r>
          </w:p>
          <w:p w14:paraId="1D97F323">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主要利用车铣复合、加工中心、立车、钻攻中心等自动化机加工设备对半成品件进行车、铣、钻攻等机加工。项目机加工采用水基切削液，切削液循环使用，定期补充，每半年全部更换一次。机加工后的工件表面粘有少量切削液，在车铣复合、加工中心、立车、钻攻中心设备内采用旋转喷淋水洗，清洗用水每班次循环使用，下一班次全部排放更新。水洗后的半成品件经人工使用压缩空气吹掉表面水分。</w:t>
            </w:r>
          </w:p>
          <w:p w14:paraId="42EFEC7C">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该工序主要有废切削液（S</w:t>
            </w:r>
            <w:r>
              <w:rPr>
                <w:rFonts w:ascii="Times New Roman" w:hAnsi="Times New Roman"/>
                <w:sz w:val="24"/>
                <w:szCs w:val="24"/>
              </w:rPr>
              <w:t>6</w:t>
            </w:r>
            <w:r>
              <w:rPr>
                <w:rFonts w:hint="eastAsia" w:ascii="Times New Roman" w:hAnsi="Times New Roman"/>
                <w:sz w:val="24"/>
                <w:szCs w:val="24"/>
              </w:rPr>
              <w:t>）、废铝屑（S</w:t>
            </w:r>
            <w:r>
              <w:rPr>
                <w:rFonts w:ascii="Times New Roman" w:hAnsi="Times New Roman"/>
                <w:sz w:val="24"/>
                <w:szCs w:val="24"/>
              </w:rPr>
              <w:t>7</w:t>
            </w:r>
            <w:r>
              <w:rPr>
                <w:rFonts w:hint="eastAsia" w:ascii="Times New Roman" w:hAnsi="Times New Roman"/>
                <w:sz w:val="24"/>
                <w:szCs w:val="24"/>
              </w:rPr>
              <w:t>）产生和机边清洗废水（W</w:t>
            </w:r>
            <w:r>
              <w:rPr>
                <w:rFonts w:ascii="Times New Roman" w:hAnsi="Times New Roman"/>
                <w:sz w:val="24"/>
                <w:szCs w:val="24"/>
              </w:rPr>
              <w:t>1</w:t>
            </w:r>
            <w:r>
              <w:rPr>
                <w:rFonts w:hint="eastAsia" w:ascii="Times New Roman" w:hAnsi="Times New Roman"/>
                <w:sz w:val="24"/>
                <w:szCs w:val="24"/>
              </w:rPr>
              <w:t>）及噪声（N）产生。</w:t>
            </w:r>
          </w:p>
          <w:p w14:paraId="403F31EB">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7</w:t>
            </w:r>
            <w:r>
              <w:rPr>
                <w:rFonts w:hint="eastAsia" w:ascii="Times New Roman" w:hAnsi="Times New Roman"/>
                <w:sz w:val="24"/>
                <w:szCs w:val="24"/>
              </w:rPr>
              <w:t>）浸渗工序</w:t>
            </w:r>
          </w:p>
          <w:p w14:paraId="0867D8CC">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项目部分产品为满足市场质量需求，需进行浸渗处理，浸渗主要作用为封堵工件上的沙眼、气孔。浸渗剂组分主要为单（甲基）丙烯酸酯、多（甲基）丙烯酸酯、表面活性剂等，具体详见附件M</w:t>
            </w:r>
            <w:r>
              <w:rPr>
                <w:rFonts w:ascii="Times New Roman" w:hAnsi="Times New Roman"/>
                <w:sz w:val="24"/>
                <w:szCs w:val="24"/>
              </w:rPr>
              <w:t>SDS</w:t>
            </w:r>
            <w:r>
              <w:rPr>
                <w:rFonts w:hint="eastAsia" w:ascii="Times New Roman" w:hAnsi="Times New Roman"/>
                <w:sz w:val="24"/>
                <w:szCs w:val="24"/>
              </w:rPr>
              <w:t>。浸渗工艺主要分为</w:t>
            </w:r>
            <w:r>
              <w:rPr>
                <w:rFonts w:ascii="Times New Roman" w:hAnsi="Times New Roman"/>
                <w:sz w:val="24"/>
                <w:szCs w:val="24"/>
              </w:rPr>
              <w:t>5</w:t>
            </w:r>
            <w:r>
              <w:rPr>
                <w:rFonts w:hint="eastAsia" w:ascii="Times New Roman" w:hAnsi="Times New Roman"/>
                <w:sz w:val="24"/>
                <w:szCs w:val="24"/>
              </w:rPr>
              <w:t>个步骤，依次为浸渗→甩胶→清洗1→清洗2→固化。</w:t>
            </w:r>
          </w:p>
          <w:p w14:paraId="1A88DDB0">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浸渗：通过浸渗设备自带电动葫芦将装有工件的浸渗篮吊入空浸渗罐中，开动真空泵（真空压力-0</w:t>
            </w:r>
            <w:r>
              <w:rPr>
                <w:rFonts w:ascii="Times New Roman" w:hAnsi="Times New Roman"/>
                <w:sz w:val="24"/>
                <w:szCs w:val="24"/>
              </w:rPr>
              <w:t>.09MPa</w:t>
            </w:r>
            <w:r>
              <w:rPr>
                <w:rFonts w:hint="eastAsia" w:ascii="Times New Roman" w:hAnsi="Times New Roman"/>
                <w:sz w:val="24"/>
                <w:szCs w:val="24"/>
              </w:rPr>
              <w:t>），抽真空</w:t>
            </w:r>
            <w:r>
              <w:rPr>
                <w:rFonts w:ascii="Times New Roman" w:hAnsi="Times New Roman"/>
                <w:sz w:val="24"/>
                <w:szCs w:val="24"/>
              </w:rPr>
              <w:t>5min</w:t>
            </w:r>
            <w:r>
              <w:rPr>
                <w:rFonts w:hint="eastAsia" w:ascii="Times New Roman" w:hAnsi="Times New Roman"/>
                <w:sz w:val="24"/>
                <w:szCs w:val="24"/>
              </w:rPr>
              <w:t>，将罐内空气抽出；然后打开储胶罐阀门，在真空环境下通过负压将配置好的浸渗液（浸渗剂含量为</w:t>
            </w:r>
            <w:r>
              <w:rPr>
                <w:rFonts w:ascii="Times New Roman" w:hAnsi="Times New Roman"/>
                <w:sz w:val="24"/>
                <w:szCs w:val="24"/>
              </w:rPr>
              <w:t>3</w:t>
            </w:r>
            <w:r>
              <w:rPr>
                <w:rFonts w:hint="eastAsia" w:ascii="Times New Roman" w:hAnsi="Times New Roman"/>
                <w:sz w:val="24"/>
                <w:szCs w:val="24"/>
              </w:rPr>
              <w:t>g/kg产品）吸进浸渗罐内，浸渗液的液面高出浸渗篮中工件5</w:t>
            </w:r>
            <w:r>
              <w:rPr>
                <w:rFonts w:ascii="Times New Roman" w:hAnsi="Times New Roman"/>
                <w:sz w:val="24"/>
                <w:szCs w:val="24"/>
              </w:rPr>
              <w:t>0~80mm</w:t>
            </w:r>
            <w:r>
              <w:rPr>
                <w:rFonts w:hint="eastAsia" w:ascii="Times New Roman" w:hAnsi="Times New Roman"/>
                <w:sz w:val="24"/>
                <w:szCs w:val="24"/>
              </w:rPr>
              <w:t>后，持续抽真空</w:t>
            </w:r>
            <w:r>
              <w:rPr>
                <w:rFonts w:ascii="Times New Roman" w:hAnsi="Times New Roman"/>
                <w:sz w:val="24"/>
                <w:szCs w:val="24"/>
              </w:rPr>
              <w:t>3min</w:t>
            </w:r>
            <w:r>
              <w:rPr>
                <w:rFonts w:hint="eastAsia" w:ascii="Times New Roman" w:hAnsi="Times New Roman"/>
                <w:sz w:val="24"/>
                <w:szCs w:val="24"/>
              </w:rPr>
              <w:t>，然后缓慢恢复至常压，浸泡</w:t>
            </w:r>
            <w:r>
              <w:rPr>
                <w:rFonts w:ascii="Times New Roman" w:hAnsi="Times New Roman"/>
                <w:sz w:val="24"/>
                <w:szCs w:val="24"/>
              </w:rPr>
              <w:t>3min</w:t>
            </w:r>
            <w:r>
              <w:rPr>
                <w:rFonts w:hint="eastAsia" w:ascii="Times New Roman" w:hAnsi="Times New Roman"/>
                <w:sz w:val="24"/>
                <w:szCs w:val="24"/>
              </w:rPr>
              <w:t>。</w:t>
            </w:r>
          </w:p>
          <w:p w14:paraId="66A9B04E">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甩胶：浸渗完成后，打开浸渗罐盖子，采用电动葫芦将装有工件的浸渗篮吊离浸渗液（篮底离开浸渗液表面），然后进入甩胶罐，利用罐内旋转设备离心力将浸渗液甩干，甩胶时间约1</w:t>
            </w:r>
            <w:r>
              <w:rPr>
                <w:rFonts w:ascii="Times New Roman" w:hAnsi="Times New Roman"/>
                <w:sz w:val="24"/>
                <w:szCs w:val="24"/>
              </w:rPr>
              <w:t>0min</w:t>
            </w:r>
            <w:r>
              <w:rPr>
                <w:rFonts w:hint="eastAsia" w:cs="宋体" w:eastAsiaTheme="minorEastAsia"/>
                <w:sz w:val="24"/>
                <w:szCs w:val="24"/>
              </w:rPr>
              <w:t>。</w:t>
            </w:r>
            <w:r>
              <w:rPr>
                <w:rFonts w:hint="eastAsia" w:ascii="Times New Roman" w:hAnsi="Times New Roman"/>
                <w:sz w:val="24"/>
                <w:szCs w:val="24"/>
              </w:rPr>
              <w:t>甩胶罐中收集的浸渗液泵入储胶罐内重复使用，不外排。</w:t>
            </w:r>
          </w:p>
          <w:p w14:paraId="21D716AF">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清洗1：甩胶完成后，采用电动葫芦将装有工件的浸渗篮运至1#清洗罐中，采用翻转喷淋的方式清洗1</w:t>
            </w:r>
            <w:r>
              <w:rPr>
                <w:rFonts w:ascii="Times New Roman" w:hAnsi="Times New Roman"/>
                <w:sz w:val="24"/>
                <w:szCs w:val="24"/>
              </w:rPr>
              <w:t>0min</w:t>
            </w:r>
            <w:r>
              <w:rPr>
                <w:rFonts w:hint="eastAsia" w:ascii="Times New Roman" w:hAnsi="Times New Roman"/>
                <w:sz w:val="24"/>
                <w:szCs w:val="24"/>
              </w:rPr>
              <w:t>，罐中清洗水重复使用，不排放</w:t>
            </w:r>
            <w:r>
              <w:rPr>
                <w:rFonts w:hint="eastAsia" w:cs="宋体" w:eastAsiaTheme="minorEastAsia"/>
                <w:sz w:val="24"/>
                <w:szCs w:val="24"/>
              </w:rPr>
              <w:t>。</w:t>
            </w:r>
            <w:r>
              <w:rPr>
                <w:rFonts w:hint="eastAsia" w:ascii="Times New Roman" w:hAnsi="Times New Roman"/>
                <w:sz w:val="24"/>
                <w:szCs w:val="24"/>
              </w:rPr>
              <w:t>1#</w:t>
            </w:r>
            <w:r>
              <w:rPr>
                <w:rFonts w:ascii="Times New Roman" w:hAnsi="Times New Roman"/>
                <w:sz w:val="24"/>
                <w:szCs w:val="24"/>
              </w:rPr>
              <w:t>清洗罐内清洗水中加入</w:t>
            </w:r>
            <w:r>
              <w:rPr>
                <w:rFonts w:hint="eastAsia" w:ascii="Times New Roman" w:hAnsi="Times New Roman"/>
                <w:sz w:val="24"/>
                <w:szCs w:val="24"/>
              </w:rPr>
              <w:t>分离剂</w:t>
            </w:r>
            <w:r>
              <w:rPr>
                <w:rFonts w:ascii="Times New Roman" w:hAnsi="Times New Roman"/>
                <w:sz w:val="24"/>
                <w:szCs w:val="24"/>
              </w:rPr>
              <w:t>，加入</w:t>
            </w:r>
            <w:r>
              <w:rPr>
                <w:rFonts w:hint="eastAsia" w:ascii="Times New Roman" w:hAnsi="Times New Roman"/>
                <w:sz w:val="24"/>
                <w:szCs w:val="24"/>
              </w:rPr>
              <w:t>比例</w:t>
            </w:r>
            <w:r>
              <w:rPr>
                <w:rFonts w:ascii="Times New Roman" w:hAnsi="Times New Roman"/>
                <w:sz w:val="24"/>
                <w:szCs w:val="24"/>
              </w:rPr>
              <w:t>约为8%。</w:t>
            </w:r>
          </w:p>
          <w:p w14:paraId="54107529">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清洗</w:t>
            </w:r>
            <w:r>
              <w:rPr>
                <w:rFonts w:ascii="Times New Roman" w:hAnsi="Times New Roman"/>
                <w:sz w:val="24"/>
                <w:szCs w:val="24"/>
              </w:rPr>
              <w:t>2</w:t>
            </w:r>
            <w:r>
              <w:rPr>
                <w:rFonts w:hint="eastAsia" w:ascii="Times New Roman" w:hAnsi="Times New Roman"/>
                <w:sz w:val="24"/>
                <w:szCs w:val="24"/>
              </w:rPr>
              <w:t>：清洗1完成后，采用电动葫芦将装有工件的浸渗篮运至</w:t>
            </w:r>
            <w:r>
              <w:rPr>
                <w:rFonts w:ascii="Times New Roman" w:hAnsi="Times New Roman"/>
                <w:sz w:val="24"/>
                <w:szCs w:val="24"/>
              </w:rPr>
              <w:t>2</w:t>
            </w:r>
            <w:r>
              <w:rPr>
                <w:rFonts w:hint="eastAsia" w:ascii="Times New Roman" w:hAnsi="Times New Roman"/>
                <w:sz w:val="24"/>
                <w:szCs w:val="24"/>
              </w:rPr>
              <w:t>#清洗罐中，采用翻转喷淋的方式清洗</w:t>
            </w:r>
            <w:r>
              <w:rPr>
                <w:rFonts w:ascii="Times New Roman" w:hAnsi="Times New Roman"/>
                <w:sz w:val="24"/>
                <w:szCs w:val="24"/>
              </w:rPr>
              <w:t>10min</w:t>
            </w:r>
            <w:r>
              <w:rPr>
                <w:rFonts w:hint="eastAsia" w:ascii="Times New Roman" w:hAnsi="Times New Roman"/>
                <w:sz w:val="24"/>
                <w:szCs w:val="24"/>
              </w:rPr>
              <w:t>，罐中清洗水重复使用，每天排放1次</w:t>
            </w:r>
            <w:r>
              <w:rPr>
                <w:rFonts w:hint="eastAsia" w:cs="宋体" w:eastAsiaTheme="minorEastAsia"/>
                <w:sz w:val="24"/>
                <w:szCs w:val="24"/>
              </w:rPr>
              <w:t>。</w:t>
            </w:r>
            <w:r>
              <w:rPr>
                <w:rFonts w:ascii="Times New Roman" w:hAnsi="Times New Roman"/>
                <w:sz w:val="24"/>
                <w:szCs w:val="24"/>
              </w:rPr>
              <w:t>2#清洗罐用水为清水，不添加分离剂等物料。</w:t>
            </w:r>
          </w:p>
          <w:p w14:paraId="09AA6FA4">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固化：将洗涤后的工件运至固化罐内进行固化，固化采用热水固化的方式，热水使用电加热，固化温度9</w:t>
            </w:r>
            <w:r>
              <w:rPr>
                <w:rFonts w:ascii="Times New Roman" w:hAnsi="Times New Roman"/>
                <w:sz w:val="24"/>
                <w:szCs w:val="24"/>
              </w:rPr>
              <w:t>0</w:t>
            </w:r>
            <w:r>
              <w:rPr>
                <w:rFonts w:hint="eastAsia" w:ascii="Times New Roman" w:hAnsi="Times New Roman"/>
                <w:sz w:val="24"/>
                <w:szCs w:val="24"/>
              </w:rPr>
              <w:t>℃，远低于浸渗剂分解温度，</w:t>
            </w:r>
            <w:r>
              <w:rPr>
                <w:rFonts w:ascii="Times New Roman" w:hAnsi="Times New Roman"/>
                <w:sz w:val="24"/>
                <w:szCs w:val="24"/>
              </w:rPr>
              <w:t>固化时间约14.5min，固化完成进入下一工序</w:t>
            </w:r>
            <w:r>
              <w:rPr>
                <w:rFonts w:hint="eastAsia" w:ascii="Times New Roman" w:hAnsi="Times New Roman"/>
                <w:sz w:val="24"/>
                <w:szCs w:val="24"/>
              </w:rPr>
              <w:t>，该过程中仅产生少量水蒸气，无其他废气产生</w:t>
            </w:r>
            <w:r>
              <w:rPr>
                <w:rFonts w:ascii="Times New Roman" w:hAnsi="Times New Roman"/>
                <w:sz w:val="24"/>
                <w:szCs w:val="24"/>
              </w:rPr>
              <w:t>。固化时向热水中加入缓蚀剂，加入比例约为3%。固化过程废水每周</w:t>
            </w:r>
            <w:r>
              <w:rPr>
                <w:rFonts w:hint="eastAsia" w:ascii="Times New Roman" w:hAnsi="Times New Roman"/>
                <w:sz w:val="24"/>
                <w:szCs w:val="24"/>
              </w:rPr>
              <w:t>（7d）</w:t>
            </w:r>
            <w:r>
              <w:rPr>
                <w:rFonts w:ascii="Times New Roman" w:hAnsi="Times New Roman"/>
                <w:sz w:val="24"/>
                <w:szCs w:val="24"/>
              </w:rPr>
              <w:t>排放</w:t>
            </w:r>
            <w:r>
              <w:rPr>
                <w:rFonts w:hint="eastAsia" w:ascii="Times New Roman" w:hAnsi="Times New Roman"/>
                <w:sz w:val="24"/>
                <w:szCs w:val="24"/>
              </w:rPr>
              <w:t>1次。浸渗后的半成品件经气动打标机进行打码。</w:t>
            </w:r>
          </w:p>
          <w:p w14:paraId="28C9477A">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该工序主要有浸渗废水（W</w:t>
            </w:r>
            <w:r>
              <w:rPr>
                <w:rFonts w:ascii="Times New Roman" w:hAnsi="Times New Roman"/>
                <w:sz w:val="24"/>
                <w:szCs w:val="24"/>
              </w:rPr>
              <w:t>2</w:t>
            </w:r>
            <w:r>
              <w:rPr>
                <w:rFonts w:hint="eastAsia" w:ascii="Times New Roman" w:hAnsi="Times New Roman"/>
                <w:sz w:val="24"/>
                <w:szCs w:val="24"/>
              </w:rPr>
              <w:t>）和噪声（N）产生。</w:t>
            </w:r>
          </w:p>
          <w:p w14:paraId="5CFA5A45">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8</w:t>
            </w:r>
            <w:r>
              <w:rPr>
                <w:rFonts w:hint="eastAsia" w:ascii="Times New Roman" w:hAnsi="Times New Roman"/>
                <w:sz w:val="24"/>
                <w:szCs w:val="24"/>
              </w:rPr>
              <w:t>）氦检工序</w:t>
            </w:r>
          </w:p>
          <w:p w14:paraId="3AEA8BF4">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浸渗后的工件进入氦检工序监测工件是否存在漏点。氦检机由真空测试箱、真空泵、泄漏检测仪、氦气充填设备组成。检验工程见工件置于真空测试箱内，利用真空泵将箱体内空气全部抽出，是箱体内处于真空状态，然后由氦气充填设备向工件腔体内注入氦气，若存在被监测设备存在漏点，则氦气将由被检测设备内部腔体泄漏至真空测试箱内，并引起泄漏检测仪报警。</w:t>
            </w:r>
          </w:p>
          <w:p w14:paraId="518C1D7E">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该工序主要有噪声（N）、废品（S</w:t>
            </w:r>
            <w:r>
              <w:rPr>
                <w:rFonts w:ascii="Times New Roman" w:hAnsi="Times New Roman"/>
                <w:sz w:val="24"/>
                <w:szCs w:val="24"/>
              </w:rPr>
              <w:t>2</w:t>
            </w:r>
            <w:r>
              <w:rPr>
                <w:rFonts w:hint="eastAsia" w:ascii="Times New Roman" w:hAnsi="Times New Roman"/>
                <w:sz w:val="24"/>
                <w:szCs w:val="24"/>
              </w:rPr>
              <w:t>）产生。</w:t>
            </w:r>
          </w:p>
          <w:p w14:paraId="49AA21F4">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9</w:t>
            </w:r>
            <w:r>
              <w:rPr>
                <w:rFonts w:hint="eastAsia" w:ascii="Times New Roman" w:hAnsi="Times New Roman"/>
                <w:sz w:val="24"/>
                <w:szCs w:val="24"/>
              </w:rPr>
              <w:t>）清洗</w:t>
            </w:r>
          </w:p>
          <w:p w14:paraId="061F73D4">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氦检无渗漏的半成品件集中放置于提篮上，集中进入超声波清洗机清洗，通过超声波高频震动清洗掉工件表面残留的切削液、浸渗剂等污染物。该工序将产生清洗废水（W</w:t>
            </w:r>
            <w:r>
              <w:rPr>
                <w:rFonts w:ascii="Times New Roman" w:hAnsi="Times New Roman"/>
                <w:sz w:val="24"/>
                <w:szCs w:val="24"/>
              </w:rPr>
              <w:t>3</w:t>
            </w:r>
            <w:r>
              <w:rPr>
                <w:rFonts w:hint="eastAsia" w:ascii="Times New Roman" w:hAnsi="Times New Roman"/>
                <w:sz w:val="24"/>
                <w:szCs w:val="24"/>
              </w:rPr>
              <w:t>）和噪声（N）产生</w:t>
            </w:r>
          </w:p>
          <w:p w14:paraId="7A62A410">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10</w:t>
            </w:r>
            <w:r>
              <w:rPr>
                <w:rFonts w:hint="eastAsia" w:ascii="Times New Roman" w:hAnsi="Times New Roman"/>
                <w:sz w:val="24"/>
                <w:szCs w:val="24"/>
              </w:rPr>
              <w:t>）检验</w:t>
            </w:r>
          </w:p>
          <w:p w14:paraId="5C017245">
            <w:pPr>
              <w:pStyle w:val="126"/>
              <w:spacing w:line="460" w:lineRule="exact"/>
              <w:ind w:left="105" w:right="105" w:firstLine="480"/>
              <w:jc w:val="both"/>
              <w:rPr>
                <w:rFonts w:cs="宋体" w:eastAsiaTheme="minorEastAsia"/>
                <w:sz w:val="24"/>
                <w:szCs w:val="24"/>
              </w:rPr>
            </w:pPr>
            <w:r>
              <w:rPr>
                <w:rFonts w:hint="eastAsia" w:ascii="Times New Roman" w:hAnsi="Times New Roman"/>
                <w:sz w:val="24"/>
                <w:szCs w:val="24"/>
              </w:rPr>
              <w:t>浸渗完成后，利用探伤仪、三坐标机、硬度检测仪、轮廓仪、粗糙度仪等检验设备对工件外观、硬度及内部结构进行检验。该工序主要有废品（</w:t>
            </w:r>
            <w:r>
              <w:rPr>
                <w:rFonts w:ascii="Times New Roman" w:hAnsi="Times New Roman"/>
                <w:sz w:val="24"/>
                <w:szCs w:val="24"/>
              </w:rPr>
              <w:t>S2</w:t>
            </w:r>
            <w:r>
              <w:rPr>
                <w:rFonts w:hint="eastAsia" w:ascii="Times New Roman" w:hAnsi="Times New Roman"/>
                <w:sz w:val="24"/>
                <w:szCs w:val="24"/>
              </w:rPr>
              <w:t>）产生。</w:t>
            </w:r>
          </w:p>
          <w:p w14:paraId="3DE41FD2">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11</w:t>
            </w:r>
            <w:r>
              <w:rPr>
                <w:rFonts w:hint="eastAsia" w:ascii="Times New Roman" w:hAnsi="Times New Roman"/>
                <w:sz w:val="24"/>
                <w:szCs w:val="24"/>
              </w:rPr>
              <w:t>）包装</w:t>
            </w:r>
          </w:p>
          <w:p w14:paraId="5A35426A">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对检验合格，进行包装入库，包装规格为1</w:t>
            </w:r>
            <w:r>
              <w:rPr>
                <w:rFonts w:ascii="Times New Roman" w:hAnsi="Times New Roman"/>
                <w:sz w:val="24"/>
                <w:szCs w:val="24"/>
              </w:rPr>
              <w:t>25件</w:t>
            </w:r>
            <w:r>
              <w:rPr>
                <w:rFonts w:hint="eastAsia" w:ascii="Times New Roman" w:hAnsi="Times New Roman"/>
                <w:sz w:val="24"/>
                <w:szCs w:val="24"/>
              </w:rPr>
              <w:t>/仓笼，该工序主要有废包装材料（</w:t>
            </w:r>
            <w:r>
              <w:rPr>
                <w:rFonts w:ascii="Times New Roman" w:hAnsi="Times New Roman"/>
                <w:sz w:val="24"/>
                <w:szCs w:val="24"/>
              </w:rPr>
              <w:t>S8</w:t>
            </w:r>
            <w:r>
              <w:rPr>
                <w:rFonts w:hint="eastAsia" w:ascii="Times New Roman" w:hAnsi="Times New Roman"/>
                <w:sz w:val="24"/>
                <w:szCs w:val="24"/>
              </w:rPr>
              <w:t>）产生。</w:t>
            </w:r>
          </w:p>
          <w:p w14:paraId="74AA79DE">
            <w:pPr>
              <w:pStyle w:val="126"/>
              <w:spacing w:line="460" w:lineRule="exact"/>
              <w:ind w:left="105" w:right="105" w:firstLine="482"/>
              <w:jc w:val="both"/>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w:t>
            </w:r>
            <w:r>
              <w:rPr>
                <w:rFonts w:hint="eastAsia" w:ascii="Times New Roman" w:hAnsi="Times New Roman"/>
                <w:b/>
                <w:sz w:val="24"/>
                <w:szCs w:val="24"/>
              </w:rPr>
              <w:t>、模具</w:t>
            </w:r>
            <w:r>
              <w:rPr>
                <w:rFonts w:ascii="Times New Roman" w:hAnsi="Times New Roman"/>
                <w:b/>
                <w:sz w:val="24"/>
                <w:szCs w:val="24"/>
              </w:rPr>
              <w:t>维修工序</w:t>
            </w:r>
          </w:p>
          <w:p w14:paraId="229C4720">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项目压铸工序模具在使用过程中存在损坏情况，需对模具进行维修保养，具体工艺流程及产排污情况如下：</w:t>
            </w:r>
          </w:p>
          <w:p w14:paraId="1F40576E">
            <w:pPr>
              <w:adjustRightInd w:val="0"/>
              <w:snapToGrid w:val="0"/>
              <w:spacing w:line="360" w:lineRule="auto"/>
              <w:jc w:val="center"/>
            </w:pPr>
            <w:r>
              <w:object>
                <v:shape id="_x0000_i1028" o:spt="75" type="#_x0000_t75" style="height:176.5pt;width:201.6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14:paraId="0B859152">
            <w:pPr>
              <w:adjustRightInd w:val="0"/>
              <w:snapToGrid w:val="0"/>
              <w:spacing w:line="360" w:lineRule="auto"/>
              <w:jc w:val="center"/>
              <w:rPr>
                <w:bCs/>
                <w:sz w:val="24"/>
              </w:rPr>
            </w:pPr>
            <w:r>
              <w:rPr>
                <w:bCs/>
                <w:sz w:val="24"/>
              </w:rPr>
              <w:t xml:space="preserve">图2-4  </w:t>
            </w:r>
            <w:r>
              <w:rPr>
                <w:rFonts w:hint="eastAsia"/>
                <w:bCs/>
                <w:sz w:val="24"/>
              </w:rPr>
              <w:t>运营期模具维修工艺流程及产污环节图</w:t>
            </w:r>
          </w:p>
          <w:p w14:paraId="299873B4">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工艺简介：</w:t>
            </w:r>
          </w:p>
          <w:p w14:paraId="00FC8E57">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项目主要对压铸模具</w:t>
            </w:r>
            <w:r>
              <w:rPr>
                <w:rFonts w:ascii="Times New Roman" w:hAnsi="Times New Roman"/>
                <w:sz w:val="24"/>
                <w:szCs w:val="24"/>
              </w:rPr>
              <w:t>受损部位进行</w:t>
            </w:r>
            <w:r>
              <w:rPr>
                <w:rFonts w:hint="eastAsia" w:ascii="Times New Roman" w:hAnsi="Times New Roman"/>
                <w:sz w:val="24"/>
                <w:szCs w:val="24"/>
              </w:rPr>
              <w:t>焊接、打磨、机加工、被覆等修复</w:t>
            </w:r>
            <w:r>
              <w:rPr>
                <w:rFonts w:ascii="Times New Roman" w:hAnsi="Times New Roman"/>
                <w:sz w:val="24"/>
                <w:szCs w:val="24"/>
              </w:rPr>
              <w:t>处理</w:t>
            </w:r>
            <w:r>
              <w:rPr>
                <w:rFonts w:hint="eastAsia" w:ascii="Times New Roman" w:hAnsi="Times New Roman"/>
                <w:sz w:val="24"/>
                <w:szCs w:val="24"/>
              </w:rPr>
              <w:t>。此外，模具需定期进行清洗，</w:t>
            </w:r>
            <w:r>
              <w:rPr>
                <w:rFonts w:ascii="Times New Roman" w:hAnsi="Times New Roman"/>
                <w:sz w:val="24"/>
                <w:szCs w:val="24"/>
              </w:rPr>
              <w:t>保证模具清洁及排气通畅</w:t>
            </w:r>
            <w:r>
              <w:rPr>
                <w:rFonts w:hint="eastAsia" w:ascii="Times New Roman" w:hAnsi="Times New Roman"/>
                <w:sz w:val="24"/>
                <w:szCs w:val="24"/>
              </w:rPr>
              <w:t>。</w:t>
            </w:r>
          </w:p>
          <w:p w14:paraId="53E03406">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机加工是根据模具受损部位情况针对性进行下料、车铣等加工，使修补件大小、形状能够满足受损模具的修复需求；然后通过焊接工艺将加工好的修补件焊接到磨具上，项目焊接采用氩弧焊工艺；然后使用打磨机对焊缝及模具中其他有铝粘连的地方进行</w:t>
            </w:r>
            <w:r>
              <w:rPr>
                <w:rFonts w:ascii="Times New Roman" w:hAnsi="Times New Roman"/>
                <w:sz w:val="24"/>
                <w:szCs w:val="24"/>
              </w:rPr>
              <w:t>人工打磨</w:t>
            </w:r>
            <w:r>
              <w:rPr>
                <w:rFonts w:hint="eastAsia" w:ascii="Times New Roman" w:hAnsi="Times New Roman"/>
                <w:sz w:val="24"/>
                <w:szCs w:val="24"/>
              </w:rPr>
              <w:t>；被覆是对模具受损部位进行修补，采用电火花沉积工艺，将电源储存的高能量电能在金属电极与被覆条间瞬间高频释放，把被覆条在短时间内迅速被覆在模具表面及渗透到模具内部，被覆后可增加被覆模具的耐磨性、耐腐蚀性、耐冲击性、脱模性及耐热性。被覆过程类似于热熔，无废气产生。</w:t>
            </w:r>
          </w:p>
          <w:p w14:paraId="419E0EC6">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为防止模具型腔、模板堵塞，项目模具会定期进行清洗，清洗前人工清除模具表面油泥，高压水枪冲洗干净，最后用压缩空气将水分吹干后再投入使用。</w:t>
            </w:r>
          </w:p>
          <w:p w14:paraId="367A89AB">
            <w:pPr>
              <w:pStyle w:val="126"/>
              <w:spacing w:line="460" w:lineRule="exact"/>
              <w:ind w:left="105" w:right="105" w:firstLine="480"/>
              <w:jc w:val="both"/>
              <w:rPr>
                <w:rFonts w:ascii="Times New Roman" w:hAnsi="Times New Roman"/>
                <w:sz w:val="24"/>
                <w:szCs w:val="24"/>
              </w:rPr>
            </w:pPr>
            <w:r>
              <w:rPr>
                <w:rFonts w:hint="eastAsia" w:ascii="Times New Roman" w:hAnsi="Times New Roman"/>
                <w:sz w:val="24"/>
                <w:szCs w:val="24"/>
              </w:rPr>
              <w:t>模具维修工序主要有模具清理产生的焊接打磨烟尘（G</w:t>
            </w:r>
            <w:r>
              <w:rPr>
                <w:rFonts w:ascii="Times New Roman" w:hAnsi="Times New Roman"/>
                <w:sz w:val="24"/>
                <w:szCs w:val="24"/>
              </w:rPr>
              <w:t>6</w:t>
            </w:r>
            <w:r>
              <w:rPr>
                <w:rFonts w:hint="eastAsia" w:ascii="Times New Roman" w:hAnsi="Times New Roman"/>
                <w:sz w:val="24"/>
                <w:szCs w:val="24"/>
              </w:rPr>
              <w:t>）、油泥（S</w:t>
            </w:r>
            <w:r>
              <w:rPr>
                <w:rFonts w:ascii="Times New Roman" w:hAnsi="Times New Roman"/>
                <w:sz w:val="24"/>
                <w:szCs w:val="24"/>
              </w:rPr>
              <w:t>9</w:t>
            </w:r>
            <w:r>
              <w:rPr>
                <w:rFonts w:hint="eastAsia" w:ascii="Times New Roman" w:hAnsi="Times New Roman"/>
                <w:sz w:val="24"/>
                <w:szCs w:val="24"/>
              </w:rPr>
              <w:t>）及模具清洗废水（W</w:t>
            </w:r>
            <w:r>
              <w:rPr>
                <w:rFonts w:ascii="Times New Roman" w:hAnsi="Times New Roman"/>
                <w:sz w:val="24"/>
                <w:szCs w:val="24"/>
              </w:rPr>
              <w:t>5</w:t>
            </w:r>
            <w:r>
              <w:rPr>
                <w:rFonts w:hint="eastAsia" w:ascii="Times New Roman" w:hAnsi="Times New Roman"/>
                <w:sz w:val="24"/>
                <w:szCs w:val="24"/>
              </w:rPr>
              <w:t>）。</w:t>
            </w:r>
          </w:p>
          <w:p w14:paraId="21DA1C01">
            <w:pPr>
              <w:pStyle w:val="126"/>
              <w:spacing w:line="460" w:lineRule="exact"/>
              <w:ind w:left="105" w:right="105" w:firstLine="482"/>
              <w:jc w:val="both"/>
              <w:rPr>
                <w:bCs/>
                <w:sz w:val="24"/>
              </w:rPr>
            </w:pPr>
            <w:r>
              <w:rPr>
                <w:rFonts w:hint="eastAsia" w:ascii="Times New Roman" w:hAnsi="Times New Roman"/>
                <w:b/>
                <w:sz w:val="24"/>
                <w:szCs w:val="24"/>
              </w:rPr>
              <w:t>其他：</w:t>
            </w:r>
            <w:r>
              <w:rPr>
                <w:rFonts w:hint="eastAsia" w:ascii="Times New Roman" w:hAnsi="Times New Roman"/>
                <w:sz w:val="24"/>
                <w:szCs w:val="24"/>
              </w:rPr>
              <w:t>拟建项目在厂区内仅对设备进行简单维修以及维护，主要为机油、液压油、模具简单维修以及更换等，因此，该过程主要产生废机油、废液压油、废油桶以及废含油抹布及手套等。</w:t>
            </w:r>
          </w:p>
        </w:tc>
      </w:tr>
      <w:tr w14:paraId="5A42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23" w:type="dxa"/>
            <w:vAlign w:val="center"/>
          </w:tcPr>
          <w:p w14:paraId="28CE1E08">
            <w:pPr>
              <w:pStyle w:val="24"/>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637" w:type="dxa"/>
          </w:tcPr>
          <w:p w14:paraId="7B5CCFFD">
            <w:pPr>
              <w:adjustRightInd w:val="0"/>
              <w:snapToGrid w:val="0"/>
              <w:spacing w:line="360" w:lineRule="auto"/>
              <w:rPr>
                <w:b/>
                <w:bCs/>
                <w:sz w:val="24"/>
              </w:rPr>
            </w:pPr>
            <w:r>
              <w:rPr>
                <w:b/>
                <w:bCs/>
                <w:sz w:val="24"/>
              </w:rPr>
              <w:t>1、现有工程环保手续履行情况</w:t>
            </w:r>
          </w:p>
          <w:p w14:paraId="00A08AF4">
            <w:pPr>
              <w:adjustRightInd w:val="0"/>
              <w:snapToGrid w:val="0"/>
              <w:spacing w:line="360" w:lineRule="auto"/>
              <w:ind w:firstLine="480" w:firstLineChars="200"/>
              <w:rPr>
                <w:sz w:val="24"/>
              </w:rPr>
            </w:pPr>
            <w:r>
              <w:rPr>
                <w:sz w:val="24"/>
              </w:rPr>
              <w:t>（1）环评手续</w:t>
            </w:r>
          </w:p>
          <w:p w14:paraId="0D3131DA">
            <w:pPr>
              <w:adjustRightInd w:val="0"/>
              <w:snapToGrid w:val="0"/>
              <w:spacing w:line="360" w:lineRule="auto"/>
              <w:ind w:firstLine="520" w:firstLineChars="200"/>
              <w:rPr>
                <w:sz w:val="24"/>
              </w:rPr>
            </w:pPr>
            <w:r>
              <w:rPr>
                <w:kern w:val="0"/>
                <w:sz w:val="26"/>
                <w:szCs w:val="26"/>
              </w:rPr>
              <w:t>2019</w:t>
            </w:r>
            <w:r>
              <w:rPr>
                <w:rFonts w:hint="eastAsia"/>
                <w:kern w:val="0"/>
                <w:sz w:val="26"/>
                <w:szCs w:val="26"/>
              </w:rPr>
              <w:t>年</w:t>
            </w:r>
            <w:r>
              <w:rPr>
                <w:kern w:val="0"/>
                <w:sz w:val="26"/>
                <w:szCs w:val="26"/>
              </w:rPr>
              <w:t>11</w:t>
            </w:r>
            <w:r>
              <w:rPr>
                <w:rFonts w:hint="eastAsia"/>
                <w:kern w:val="0"/>
                <w:sz w:val="26"/>
                <w:szCs w:val="26"/>
              </w:rPr>
              <w:t>月委托中煤科工重庆设计研究院（集团）有限公司编制完成了《年产500万件铝合金汽车压铸件项目环境影响报告表》</w:t>
            </w:r>
            <w:r>
              <w:rPr>
                <w:sz w:val="24"/>
              </w:rPr>
              <w:t>，并取得“</w:t>
            </w:r>
            <w:r>
              <w:rPr>
                <w:rFonts w:hint="eastAsia"/>
                <w:kern w:val="0"/>
                <w:sz w:val="26"/>
                <w:szCs w:val="26"/>
              </w:rPr>
              <w:t>渝（涪）环准〔201</w:t>
            </w:r>
            <w:r>
              <w:rPr>
                <w:kern w:val="0"/>
                <w:sz w:val="26"/>
                <w:szCs w:val="26"/>
              </w:rPr>
              <w:t>9</w:t>
            </w:r>
            <w:r>
              <w:rPr>
                <w:rFonts w:hint="eastAsia"/>
                <w:kern w:val="0"/>
                <w:sz w:val="26"/>
                <w:szCs w:val="26"/>
              </w:rPr>
              <w:t>〕</w:t>
            </w:r>
            <w:r>
              <w:rPr>
                <w:kern w:val="0"/>
                <w:sz w:val="26"/>
                <w:szCs w:val="26"/>
              </w:rPr>
              <w:t>120</w:t>
            </w:r>
            <w:r>
              <w:rPr>
                <w:rFonts w:hint="eastAsia"/>
                <w:kern w:val="0"/>
                <w:sz w:val="26"/>
                <w:szCs w:val="26"/>
              </w:rPr>
              <w:t>号</w:t>
            </w:r>
            <w:r>
              <w:rPr>
                <w:sz w:val="24"/>
              </w:rPr>
              <w:t>”环评批准书。</w:t>
            </w:r>
          </w:p>
          <w:p w14:paraId="7978FBA6">
            <w:pPr>
              <w:adjustRightInd w:val="0"/>
              <w:snapToGrid w:val="0"/>
              <w:spacing w:line="360" w:lineRule="auto"/>
              <w:ind w:firstLine="480" w:firstLineChars="200"/>
              <w:rPr>
                <w:sz w:val="24"/>
              </w:rPr>
            </w:pPr>
            <w:r>
              <w:rPr>
                <w:rFonts w:hint="eastAsia"/>
                <w:sz w:val="24"/>
              </w:rPr>
              <w:t>2021年3月委托</w:t>
            </w:r>
            <w:r>
              <w:rPr>
                <w:rFonts w:hint="eastAsia"/>
                <w:kern w:val="0"/>
                <w:sz w:val="26"/>
                <w:szCs w:val="26"/>
              </w:rPr>
              <w:t>中煤科工重庆设计研究院（集团）有限公司重新编制完成了《年产500万件铝合金汽车压铸件项目环境影响报告表》，</w:t>
            </w:r>
            <w:r>
              <w:rPr>
                <w:sz w:val="24"/>
              </w:rPr>
              <w:t>并取得“</w:t>
            </w:r>
            <w:r>
              <w:rPr>
                <w:rFonts w:hint="eastAsia"/>
                <w:sz w:val="24"/>
              </w:rPr>
              <w:t>渝（涪）环准</w:t>
            </w:r>
            <w:r>
              <w:rPr>
                <w:sz w:val="24"/>
              </w:rPr>
              <w:t>[</w:t>
            </w:r>
            <w:r>
              <w:rPr>
                <w:rFonts w:hint="eastAsia"/>
                <w:sz w:val="24"/>
              </w:rPr>
              <w:t>2021]037号</w:t>
            </w:r>
            <w:r>
              <w:rPr>
                <w:sz w:val="24"/>
              </w:rPr>
              <w:t>”环评批准书。</w:t>
            </w:r>
          </w:p>
          <w:p w14:paraId="64D4DC96">
            <w:pPr>
              <w:adjustRightInd w:val="0"/>
              <w:snapToGrid w:val="0"/>
              <w:spacing w:line="360" w:lineRule="auto"/>
              <w:ind w:firstLine="480" w:firstLineChars="200"/>
              <w:rPr>
                <w:sz w:val="24"/>
              </w:rPr>
            </w:pPr>
            <w:r>
              <w:rPr>
                <w:sz w:val="24"/>
              </w:rPr>
              <w:t>（2）排污许可</w:t>
            </w:r>
          </w:p>
          <w:p w14:paraId="3D57F566">
            <w:pPr>
              <w:adjustRightInd w:val="0"/>
              <w:snapToGrid w:val="0"/>
              <w:spacing w:line="360" w:lineRule="auto"/>
              <w:ind w:firstLine="480" w:firstLineChars="200"/>
              <w:rPr>
                <w:sz w:val="24"/>
              </w:rPr>
            </w:pPr>
            <w:r>
              <w:rPr>
                <w:sz w:val="24"/>
              </w:rPr>
              <w:t>202</w:t>
            </w:r>
            <w:r>
              <w:rPr>
                <w:rFonts w:hint="eastAsia"/>
                <w:sz w:val="24"/>
              </w:rPr>
              <w:t>1</w:t>
            </w:r>
            <w:r>
              <w:rPr>
                <w:sz w:val="24"/>
              </w:rPr>
              <w:t>年</w:t>
            </w:r>
            <w:r>
              <w:rPr>
                <w:rFonts w:hint="eastAsia"/>
                <w:sz w:val="24"/>
              </w:rPr>
              <w:t>4</w:t>
            </w:r>
            <w:r>
              <w:rPr>
                <w:sz w:val="24"/>
              </w:rPr>
              <w:t>月，进行排污许可</w:t>
            </w:r>
            <w:r>
              <w:rPr>
                <w:rFonts w:hint="eastAsia"/>
                <w:sz w:val="24"/>
              </w:rPr>
              <w:t>申请</w:t>
            </w:r>
            <w:r>
              <w:rPr>
                <w:sz w:val="24"/>
              </w:rPr>
              <w:t>，取得</w:t>
            </w:r>
            <w:r>
              <w:rPr>
                <w:rFonts w:hint="eastAsia"/>
                <w:sz w:val="24"/>
              </w:rPr>
              <w:t>排污许可证</w:t>
            </w:r>
            <w:r>
              <w:rPr>
                <w:sz w:val="24"/>
              </w:rPr>
              <w:t>（</w:t>
            </w:r>
            <w:r>
              <w:rPr>
                <w:rFonts w:hint="eastAsia"/>
                <w:sz w:val="24"/>
              </w:rPr>
              <w:t>证书编号</w:t>
            </w:r>
            <w:r>
              <w:rPr>
                <w:sz w:val="24"/>
              </w:rPr>
              <w:t>：91500102327813505N001X）。</w:t>
            </w:r>
          </w:p>
          <w:p w14:paraId="7B41988F">
            <w:pPr>
              <w:adjustRightInd w:val="0"/>
              <w:snapToGrid w:val="0"/>
              <w:spacing w:line="360" w:lineRule="auto"/>
              <w:ind w:firstLine="480" w:firstLineChars="200"/>
              <w:rPr>
                <w:sz w:val="24"/>
              </w:rPr>
            </w:pPr>
            <w:r>
              <w:rPr>
                <w:rFonts w:hint="eastAsia"/>
                <w:sz w:val="24"/>
              </w:rPr>
              <w:t>（3）竣工环境保护验收</w:t>
            </w:r>
          </w:p>
          <w:p w14:paraId="7D08BA14">
            <w:pPr>
              <w:adjustRightInd w:val="0"/>
              <w:snapToGrid w:val="0"/>
              <w:spacing w:line="360" w:lineRule="auto"/>
              <w:ind w:firstLine="480" w:firstLineChars="200"/>
              <w:rPr>
                <w:sz w:val="24"/>
              </w:rPr>
            </w:pPr>
            <w:r>
              <w:rPr>
                <w:rFonts w:hint="eastAsia"/>
                <w:sz w:val="24"/>
              </w:rPr>
              <w:t>2021年5月委托编制完成了《重庆渝湘精密机械有限公司年产500万件铝合金汽车压铸件项目（一阶段）竣工环境保护验收监测报告表》，并取得了“同意通过环保验收”的专家意见。</w:t>
            </w:r>
          </w:p>
          <w:p w14:paraId="334BB383">
            <w:pPr>
              <w:adjustRightInd w:val="0"/>
              <w:snapToGrid w:val="0"/>
              <w:spacing w:line="360" w:lineRule="auto"/>
              <w:rPr>
                <w:b/>
                <w:bCs/>
                <w:sz w:val="24"/>
              </w:rPr>
            </w:pPr>
            <w:r>
              <w:rPr>
                <w:b/>
                <w:bCs/>
                <w:sz w:val="24"/>
              </w:rPr>
              <w:t>2、现有工程污染物排放情况</w:t>
            </w:r>
          </w:p>
          <w:p w14:paraId="2E897CAA">
            <w:pPr>
              <w:adjustRightInd w:val="0"/>
              <w:snapToGrid w:val="0"/>
              <w:spacing w:line="360" w:lineRule="auto"/>
              <w:ind w:firstLine="480" w:firstLineChars="200"/>
              <w:rPr>
                <w:bCs/>
                <w:sz w:val="24"/>
              </w:rPr>
            </w:pPr>
            <w:r>
              <w:rPr>
                <w:bCs/>
                <w:sz w:val="24"/>
              </w:rPr>
              <w:t>1）现有工程建设内容</w:t>
            </w:r>
          </w:p>
          <w:p w14:paraId="0FC21319">
            <w:pPr>
              <w:adjustRightInd w:val="0"/>
              <w:snapToGrid w:val="0"/>
              <w:spacing w:line="360" w:lineRule="auto"/>
              <w:ind w:firstLine="480" w:firstLineChars="200"/>
              <w:rPr>
                <w:sz w:val="24"/>
              </w:rPr>
            </w:pPr>
            <w:r>
              <w:rPr>
                <w:sz w:val="24"/>
              </w:rPr>
              <w:t>现有工程</w:t>
            </w:r>
            <w:r>
              <w:rPr>
                <w:rFonts w:hint="eastAsia"/>
                <w:sz w:val="24"/>
              </w:rPr>
              <w:t>租用剑涛铝业限制厂房</w:t>
            </w:r>
            <w:r>
              <w:rPr>
                <w:sz w:val="24"/>
              </w:rPr>
              <w:t>进行建设，厂房面积4540m</w:t>
            </w:r>
            <w:r>
              <w:rPr>
                <w:sz w:val="24"/>
                <w:vertAlign w:val="superscript"/>
              </w:rPr>
              <w:t>2</w:t>
            </w:r>
            <w:r>
              <w:rPr>
                <w:rFonts w:hint="eastAsia"/>
                <w:sz w:val="24"/>
              </w:rPr>
              <w:t>，在厂房内建设压铸线、抛丸线、机加工线、浸渗线等生产线，年产汽车用空调压缩机缸体、前盖、后盖、机壳及支架各100万件/年，总计500万件/年。</w:t>
            </w:r>
          </w:p>
          <w:p w14:paraId="017DC950">
            <w:pPr>
              <w:adjustRightInd w:val="0"/>
              <w:snapToGrid w:val="0"/>
              <w:spacing w:line="360" w:lineRule="auto"/>
              <w:ind w:firstLine="480" w:firstLineChars="200"/>
              <w:rPr>
                <w:sz w:val="24"/>
              </w:rPr>
            </w:pPr>
            <w:r>
              <w:rPr>
                <w:rFonts w:hint="eastAsia"/>
                <w:bCs/>
                <w:sz w:val="24"/>
              </w:rPr>
              <w:t>项目劳动定员</w:t>
            </w:r>
            <w:r>
              <w:rPr>
                <w:bCs/>
                <w:sz w:val="24"/>
              </w:rPr>
              <w:t>110</w:t>
            </w:r>
            <w:r>
              <w:rPr>
                <w:rFonts w:hint="eastAsia"/>
                <w:bCs/>
                <w:sz w:val="24"/>
              </w:rPr>
              <w:t>人，生产制度压铸工段为三班制，每班8h，全年工作300d，抛丸工段为单班制，每班8h，全年工作300d；其他工段为两班制，每班8h，全年工作300d。</w:t>
            </w:r>
          </w:p>
          <w:p w14:paraId="565DF115">
            <w:pPr>
              <w:adjustRightInd w:val="0"/>
              <w:snapToGrid w:val="0"/>
              <w:spacing w:line="360" w:lineRule="auto"/>
              <w:ind w:firstLine="480" w:firstLineChars="200"/>
              <w:rPr>
                <w:bCs/>
                <w:sz w:val="24"/>
              </w:rPr>
            </w:pPr>
            <w:r>
              <w:rPr>
                <w:rFonts w:hint="eastAsia"/>
                <w:bCs/>
                <w:sz w:val="24"/>
              </w:rPr>
              <w:t>现有工程</w:t>
            </w:r>
            <w:r>
              <w:rPr>
                <w:bCs/>
                <w:sz w:val="24"/>
              </w:rPr>
              <w:t>组成见表2-8</w:t>
            </w:r>
            <w:r>
              <w:rPr>
                <w:rFonts w:hint="eastAsia"/>
                <w:bCs/>
                <w:sz w:val="24"/>
              </w:rPr>
              <w:t>。</w:t>
            </w:r>
          </w:p>
          <w:p w14:paraId="3A890DA7">
            <w:pPr>
              <w:adjustRightInd w:val="0"/>
              <w:snapToGrid w:val="0"/>
              <w:spacing w:line="360" w:lineRule="auto"/>
              <w:jc w:val="center"/>
              <w:rPr>
                <w:bCs/>
                <w:sz w:val="24"/>
              </w:rPr>
            </w:pPr>
            <w:r>
              <w:rPr>
                <w:bCs/>
                <w:sz w:val="24"/>
              </w:rPr>
              <w:t xml:space="preserve">表2-8  </w:t>
            </w:r>
            <w:r>
              <w:rPr>
                <w:rFonts w:hint="eastAsia"/>
                <w:bCs/>
                <w:sz w:val="24"/>
              </w:rPr>
              <w:t>现有工程</w:t>
            </w:r>
            <w:r>
              <w:rPr>
                <w:bCs/>
                <w:sz w:val="24"/>
              </w:rPr>
              <w:t>组成表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6"/>
              <w:gridCol w:w="1299"/>
              <w:gridCol w:w="6149"/>
            </w:tblGrid>
            <w:tr w14:paraId="15527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shd w:val="clear" w:color="auto" w:fill="auto"/>
                  <w:vAlign w:val="center"/>
                </w:tcPr>
                <w:p w14:paraId="59139888">
                  <w:pPr>
                    <w:spacing w:line="280" w:lineRule="exact"/>
                    <w:jc w:val="center"/>
                    <w:rPr>
                      <w:szCs w:val="21"/>
                    </w:rPr>
                  </w:pPr>
                  <w:r>
                    <w:rPr>
                      <w:szCs w:val="21"/>
                    </w:rPr>
                    <w:t>类别</w:t>
                  </w:r>
                </w:p>
              </w:tc>
              <w:tc>
                <w:tcPr>
                  <w:tcW w:w="772" w:type="pct"/>
                  <w:shd w:val="clear" w:color="auto" w:fill="auto"/>
                  <w:vAlign w:val="center"/>
                </w:tcPr>
                <w:p w14:paraId="6DDE5CC4">
                  <w:pPr>
                    <w:spacing w:line="280" w:lineRule="exact"/>
                    <w:jc w:val="center"/>
                    <w:rPr>
                      <w:szCs w:val="21"/>
                    </w:rPr>
                  </w:pPr>
                  <w:r>
                    <w:rPr>
                      <w:szCs w:val="21"/>
                    </w:rPr>
                    <w:t>项目</w:t>
                  </w:r>
                </w:p>
              </w:tc>
              <w:tc>
                <w:tcPr>
                  <w:tcW w:w="3654" w:type="pct"/>
                  <w:tcBorders>
                    <w:right w:val="single" w:color="auto" w:sz="4" w:space="0"/>
                  </w:tcBorders>
                  <w:shd w:val="clear" w:color="auto" w:fill="auto"/>
                  <w:vAlign w:val="center"/>
                </w:tcPr>
                <w:p w14:paraId="69EA0CC7">
                  <w:pPr>
                    <w:spacing w:line="280" w:lineRule="exact"/>
                    <w:jc w:val="center"/>
                    <w:rPr>
                      <w:szCs w:val="21"/>
                    </w:rPr>
                  </w:pPr>
                  <w:r>
                    <w:rPr>
                      <w:szCs w:val="21"/>
                    </w:rPr>
                    <w:t>规模与用途</w:t>
                  </w:r>
                </w:p>
              </w:tc>
            </w:tr>
            <w:tr w14:paraId="16B56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restart"/>
                  <w:shd w:val="clear" w:color="auto" w:fill="auto"/>
                  <w:vAlign w:val="center"/>
                </w:tcPr>
                <w:p w14:paraId="3F4DCBAE">
                  <w:pPr>
                    <w:spacing w:line="280" w:lineRule="exact"/>
                    <w:jc w:val="center"/>
                    <w:rPr>
                      <w:szCs w:val="21"/>
                    </w:rPr>
                  </w:pPr>
                  <w:r>
                    <w:rPr>
                      <w:szCs w:val="21"/>
                    </w:rPr>
                    <w:t>主体</w:t>
                  </w:r>
                </w:p>
                <w:p w14:paraId="493F75DA">
                  <w:pPr>
                    <w:spacing w:line="280" w:lineRule="exact"/>
                    <w:jc w:val="center"/>
                    <w:rPr>
                      <w:szCs w:val="21"/>
                    </w:rPr>
                  </w:pPr>
                  <w:r>
                    <w:rPr>
                      <w:szCs w:val="21"/>
                    </w:rPr>
                    <w:t>工程</w:t>
                  </w:r>
                </w:p>
              </w:tc>
              <w:tc>
                <w:tcPr>
                  <w:tcW w:w="772" w:type="pct"/>
                  <w:shd w:val="clear" w:color="auto" w:fill="auto"/>
                  <w:vAlign w:val="center"/>
                </w:tcPr>
                <w:p w14:paraId="7F749DAD">
                  <w:pPr>
                    <w:spacing w:line="280" w:lineRule="exact"/>
                    <w:jc w:val="center"/>
                    <w:rPr>
                      <w:szCs w:val="21"/>
                    </w:rPr>
                  </w:pPr>
                  <w:r>
                    <w:rPr>
                      <w:rFonts w:hint="eastAsia"/>
                      <w:szCs w:val="21"/>
                    </w:rPr>
                    <w:t>厂房</w:t>
                  </w:r>
                </w:p>
              </w:tc>
              <w:tc>
                <w:tcPr>
                  <w:tcW w:w="3654" w:type="pct"/>
                  <w:tcBorders>
                    <w:right w:val="single" w:color="auto" w:sz="4" w:space="0"/>
                  </w:tcBorders>
                  <w:shd w:val="clear" w:color="auto" w:fill="auto"/>
                  <w:vAlign w:val="center"/>
                </w:tcPr>
                <w:p w14:paraId="61CF207B">
                  <w:pPr>
                    <w:spacing w:line="280" w:lineRule="exact"/>
                    <w:rPr>
                      <w:szCs w:val="21"/>
                    </w:rPr>
                  </w:pPr>
                  <w:r>
                    <w:rPr>
                      <w:rFonts w:hint="eastAsia"/>
                      <w:szCs w:val="21"/>
                    </w:rPr>
                    <w:t>租赁了重庆剑涛铝业有限公司闲置厂房，建筑面积4540m2，1F钢架结构。</w:t>
                  </w:r>
                </w:p>
              </w:tc>
            </w:tr>
            <w:tr w14:paraId="3EAF0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6EAA9D0A">
                  <w:pPr>
                    <w:spacing w:line="280" w:lineRule="exact"/>
                    <w:jc w:val="center"/>
                    <w:rPr>
                      <w:szCs w:val="21"/>
                    </w:rPr>
                  </w:pPr>
                </w:p>
              </w:tc>
              <w:tc>
                <w:tcPr>
                  <w:tcW w:w="772" w:type="pct"/>
                  <w:shd w:val="clear" w:color="auto" w:fill="auto"/>
                  <w:vAlign w:val="center"/>
                </w:tcPr>
                <w:p w14:paraId="6BDD5152">
                  <w:pPr>
                    <w:spacing w:line="280" w:lineRule="exact"/>
                    <w:jc w:val="center"/>
                    <w:rPr>
                      <w:szCs w:val="21"/>
                    </w:rPr>
                  </w:pPr>
                  <w:r>
                    <w:rPr>
                      <w:rFonts w:hint="eastAsia"/>
                      <w:szCs w:val="21"/>
                    </w:rPr>
                    <w:t>压铸工序</w:t>
                  </w:r>
                </w:p>
              </w:tc>
              <w:tc>
                <w:tcPr>
                  <w:tcW w:w="3654" w:type="pct"/>
                  <w:tcBorders>
                    <w:right w:val="single" w:color="auto" w:sz="4" w:space="0"/>
                  </w:tcBorders>
                  <w:shd w:val="clear" w:color="auto" w:fill="auto"/>
                  <w:vAlign w:val="center"/>
                </w:tcPr>
                <w:p w14:paraId="47594546">
                  <w:pPr>
                    <w:spacing w:line="280" w:lineRule="exact"/>
                    <w:rPr>
                      <w:szCs w:val="21"/>
                    </w:rPr>
                  </w:pPr>
                  <w:r>
                    <w:rPr>
                      <w:rFonts w:hint="eastAsia"/>
                      <w:szCs w:val="21"/>
                    </w:rPr>
                    <w:t>在厂房西侧，面积为563m</w:t>
                  </w:r>
                  <w:r>
                    <w:rPr>
                      <w:rFonts w:hint="eastAsia"/>
                      <w:szCs w:val="21"/>
                      <w:vertAlign w:val="superscript"/>
                    </w:rPr>
                    <w:t>2</w:t>
                  </w:r>
                  <w:r>
                    <w:rPr>
                      <w:rFonts w:hint="eastAsia"/>
                      <w:szCs w:val="21"/>
                    </w:rPr>
                    <w:t>的区域已建成</w:t>
                  </w:r>
                  <w:r>
                    <w:rPr>
                      <w:szCs w:val="21"/>
                    </w:rPr>
                    <w:t>6</w:t>
                  </w:r>
                  <w:r>
                    <w:rPr>
                      <w:rFonts w:hint="eastAsia"/>
                      <w:szCs w:val="21"/>
                    </w:rPr>
                    <w:t>台保温炉、</w:t>
                  </w:r>
                  <w:r>
                    <w:rPr>
                      <w:szCs w:val="21"/>
                    </w:rPr>
                    <w:t>6</w:t>
                  </w:r>
                  <w:r>
                    <w:rPr>
                      <w:rFonts w:hint="eastAsia"/>
                      <w:szCs w:val="21"/>
                    </w:rPr>
                    <w:t>台压铸机及控制系统。</w:t>
                  </w:r>
                </w:p>
              </w:tc>
            </w:tr>
            <w:tr w14:paraId="318A9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1F3C7745">
                  <w:pPr>
                    <w:spacing w:line="280" w:lineRule="exact"/>
                    <w:jc w:val="center"/>
                    <w:rPr>
                      <w:szCs w:val="21"/>
                    </w:rPr>
                  </w:pPr>
                </w:p>
              </w:tc>
              <w:tc>
                <w:tcPr>
                  <w:tcW w:w="772" w:type="pct"/>
                  <w:shd w:val="clear" w:color="auto" w:fill="auto"/>
                  <w:vAlign w:val="center"/>
                </w:tcPr>
                <w:p w14:paraId="0B53F2BE">
                  <w:pPr>
                    <w:jc w:val="center"/>
                    <w:rPr>
                      <w:bCs/>
                      <w:szCs w:val="21"/>
                    </w:rPr>
                  </w:pPr>
                  <w:r>
                    <w:rPr>
                      <w:rFonts w:hint="eastAsia"/>
                      <w:bCs/>
                      <w:szCs w:val="21"/>
                    </w:rPr>
                    <w:t>表面清理</w:t>
                  </w:r>
                </w:p>
              </w:tc>
              <w:tc>
                <w:tcPr>
                  <w:tcW w:w="3654" w:type="pct"/>
                  <w:tcBorders>
                    <w:right w:val="single" w:color="auto" w:sz="4" w:space="0"/>
                  </w:tcBorders>
                  <w:shd w:val="clear" w:color="auto" w:fill="auto"/>
                  <w:vAlign w:val="center"/>
                </w:tcPr>
                <w:p w14:paraId="317E3E0C">
                  <w:pPr>
                    <w:rPr>
                      <w:bCs/>
                      <w:szCs w:val="21"/>
                    </w:rPr>
                  </w:pPr>
                  <w:r>
                    <w:rPr>
                      <w:rFonts w:hint="eastAsia"/>
                      <w:bCs/>
                      <w:szCs w:val="21"/>
                    </w:rPr>
                    <w:t>在厂房西侧，面积1</w:t>
                  </w:r>
                  <w:r>
                    <w:rPr>
                      <w:bCs/>
                      <w:szCs w:val="21"/>
                    </w:rPr>
                    <w:t>31</w:t>
                  </w:r>
                  <w:r>
                    <w:rPr>
                      <w:rFonts w:hint="eastAsia"/>
                      <w:bCs/>
                      <w:szCs w:val="21"/>
                    </w:rPr>
                    <w:t>m</w:t>
                  </w:r>
                  <w:r>
                    <w:rPr>
                      <w:bCs/>
                      <w:szCs w:val="21"/>
                      <w:vertAlign w:val="superscript"/>
                    </w:rPr>
                    <w:t>2.</w:t>
                  </w:r>
                  <w:r>
                    <w:rPr>
                      <w:rFonts w:hint="eastAsia"/>
                      <w:bCs/>
                      <w:szCs w:val="21"/>
                    </w:rPr>
                    <w:t>的区域已建成清理台等机加设备；</w:t>
                  </w:r>
                </w:p>
              </w:tc>
            </w:tr>
            <w:tr w14:paraId="7325D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762D3FC">
                  <w:pPr>
                    <w:spacing w:line="280" w:lineRule="exact"/>
                    <w:jc w:val="center"/>
                    <w:rPr>
                      <w:szCs w:val="21"/>
                    </w:rPr>
                  </w:pPr>
                </w:p>
              </w:tc>
              <w:tc>
                <w:tcPr>
                  <w:tcW w:w="772" w:type="pct"/>
                  <w:shd w:val="clear" w:color="auto" w:fill="auto"/>
                  <w:vAlign w:val="center"/>
                </w:tcPr>
                <w:p w14:paraId="3E68D250">
                  <w:pPr>
                    <w:jc w:val="center"/>
                    <w:rPr>
                      <w:bCs/>
                      <w:szCs w:val="21"/>
                    </w:rPr>
                  </w:pPr>
                  <w:r>
                    <w:rPr>
                      <w:rFonts w:hint="eastAsia"/>
                      <w:bCs/>
                      <w:szCs w:val="21"/>
                    </w:rPr>
                    <w:t>抛丸工序</w:t>
                  </w:r>
                </w:p>
              </w:tc>
              <w:tc>
                <w:tcPr>
                  <w:tcW w:w="3654" w:type="pct"/>
                  <w:tcBorders>
                    <w:right w:val="single" w:color="auto" w:sz="4" w:space="0"/>
                  </w:tcBorders>
                  <w:shd w:val="clear" w:color="auto" w:fill="auto"/>
                  <w:vAlign w:val="center"/>
                </w:tcPr>
                <w:p w14:paraId="14BC0539">
                  <w:pPr>
                    <w:rPr>
                      <w:bCs/>
                      <w:szCs w:val="21"/>
                    </w:rPr>
                  </w:pPr>
                  <w:r>
                    <w:rPr>
                      <w:rFonts w:hint="eastAsia"/>
                      <w:bCs/>
                      <w:szCs w:val="21"/>
                    </w:rPr>
                    <w:t>在厂房西南角面积1</w:t>
                  </w:r>
                  <w:r>
                    <w:rPr>
                      <w:bCs/>
                      <w:szCs w:val="21"/>
                    </w:rPr>
                    <w:t>78m</w:t>
                  </w:r>
                  <w:r>
                    <w:rPr>
                      <w:bCs/>
                      <w:szCs w:val="21"/>
                      <w:vertAlign w:val="superscript"/>
                    </w:rPr>
                    <w:t>2</w:t>
                  </w:r>
                  <w:r>
                    <w:rPr>
                      <w:rFonts w:hint="eastAsia"/>
                      <w:bCs/>
                      <w:szCs w:val="21"/>
                    </w:rPr>
                    <w:t>的区域已建成3台抛丸机；</w:t>
                  </w:r>
                </w:p>
              </w:tc>
            </w:tr>
            <w:tr w14:paraId="398A3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0C502C8">
                  <w:pPr>
                    <w:spacing w:line="280" w:lineRule="exact"/>
                    <w:jc w:val="center"/>
                    <w:rPr>
                      <w:szCs w:val="21"/>
                    </w:rPr>
                  </w:pPr>
                </w:p>
              </w:tc>
              <w:tc>
                <w:tcPr>
                  <w:tcW w:w="772" w:type="pct"/>
                  <w:shd w:val="clear" w:color="auto" w:fill="auto"/>
                  <w:vAlign w:val="center"/>
                </w:tcPr>
                <w:p w14:paraId="5F7A6CBD">
                  <w:pPr>
                    <w:jc w:val="center"/>
                    <w:rPr>
                      <w:bCs/>
                      <w:szCs w:val="21"/>
                    </w:rPr>
                  </w:pPr>
                  <w:r>
                    <w:rPr>
                      <w:rFonts w:hint="eastAsia"/>
                      <w:bCs/>
                      <w:szCs w:val="21"/>
                    </w:rPr>
                    <w:t>机加工工序</w:t>
                  </w:r>
                </w:p>
              </w:tc>
              <w:tc>
                <w:tcPr>
                  <w:tcW w:w="3654" w:type="pct"/>
                  <w:tcBorders>
                    <w:right w:val="single" w:color="auto" w:sz="4" w:space="0"/>
                  </w:tcBorders>
                  <w:shd w:val="clear" w:color="auto" w:fill="auto"/>
                  <w:vAlign w:val="center"/>
                </w:tcPr>
                <w:p w14:paraId="18CAE454">
                  <w:pPr>
                    <w:rPr>
                      <w:bCs/>
                      <w:szCs w:val="21"/>
                    </w:rPr>
                  </w:pPr>
                  <w:r>
                    <w:rPr>
                      <w:rFonts w:hint="eastAsia"/>
                      <w:bCs/>
                      <w:szCs w:val="21"/>
                    </w:rPr>
                    <w:t>在厂房中部南侧，面积3</w:t>
                  </w:r>
                  <w:r>
                    <w:rPr>
                      <w:bCs/>
                      <w:szCs w:val="21"/>
                    </w:rPr>
                    <w:t>43m</w:t>
                  </w:r>
                  <w:r>
                    <w:rPr>
                      <w:bCs/>
                      <w:szCs w:val="21"/>
                      <w:vertAlign w:val="superscript"/>
                    </w:rPr>
                    <w:t>2</w:t>
                  </w:r>
                  <w:r>
                    <w:rPr>
                      <w:rFonts w:hint="eastAsia"/>
                      <w:bCs/>
                      <w:szCs w:val="21"/>
                    </w:rPr>
                    <w:t>的区域已建成加工中心、钻工中心、立车、数控车床等机加设备；</w:t>
                  </w:r>
                </w:p>
              </w:tc>
            </w:tr>
            <w:tr w14:paraId="07A7A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136A6216">
                  <w:pPr>
                    <w:spacing w:line="280" w:lineRule="exact"/>
                    <w:jc w:val="center"/>
                    <w:rPr>
                      <w:szCs w:val="21"/>
                    </w:rPr>
                  </w:pPr>
                </w:p>
              </w:tc>
              <w:tc>
                <w:tcPr>
                  <w:tcW w:w="772" w:type="pct"/>
                  <w:shd w:val="clear" w:color="auto" w:fill="auto"/>
                  <w:vAlign w:val="center"/>
                </w:tcPr>
                <w:p w14:paraId="7808A584">
                  <w:pPr>
                    <w:jc w:val="center"/>
                    <w:rPr>
                      <w:bCs/>
                      <w:szCs w:val="21"/>
                    </w:rPr>
                  </w:pPr>
                  <w:r>
                    <w:rPr>
                      <w:rFonts w:hint="eastAsia"/>
                      <w:bCs/>
                      <w:szCs w:val="21"/>
                    </w:rPr>
                    <w:t>浸渗工序</w:t>
                  </w:r>
                </w:p>
              </w:tc>
              <w:tc>
                <w:tcPr>
                  <w:tcW w:w="3654" w:type="pct"/>
                  <w:tcBorders>
                    <w:right w:val="single" w:color="auto" w:sz="4" w:space="0"/>
                  </w:tcBorders>
                  <w:shd w:val="clear" w:color="auto" w:fill="auto"/>
                  <w:vAlign w:val="center"/>
                </w:tcPr>
                <w:p w14:paraId="52CCA4B1">
                  <w:pPr>
                    <w:rPr>
                      <w:bCs/>
                      <w:szCs w:val="21"/>
                    </w:rPr>
                  </w:pPr>
                  <w:r>
                    <w:rPr>
                      <w:rFonts w:hint="eastAsia"/>
                      <w:bCs/>
                      <w:szCs w:val="21"/>
                    </w:rPr>
                    <w:t>在厂东部面积7</w:t>
                  </w:r>
                  <w:r>
                    <w:rPr>
                      <w:bCs/>
                      <w:szCs w:val="21"/>
                    </w:rPr>
                    <w:t>0m</w:t>
                  </w:r>
                  <w:r>
                    <w:rPr>
                      <w:bCs/>
                      <w:szCs w:val="21"/>
                      <w:vertAlign w:val="superscript"/>
                    </w:rPr>
                    <w:t>2</w:t>
                  </w:r>
                  <w:r>
                    <w:rPr>
                      <w:rFonts w:hint="eastAsia"/>
                      <w:bCs/>
                      <w:szCs w:val="21"/>
                    </w:rPr>
                    <w:t>的区域已建成1条浸渗生产线；</w:t>
                  </w:r>
                </w:p>
              </w:tc>
            </w:tr>
            <w:tr w14:paraId="6BCB2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FBC9ACA">
                  <w:pPr>
                    <w:spacing w:line="280" w:lineRule="exact"/>
                    <w:jc w:val="center"/>
                    <w:rPr>
                      <w:szCs w:val="21"/>
                    </w:rPr>
                  </w:pPr>
                </w:p>
              </w:tc>
              <w:tc>
                <w:tcPr>
                  <w:tcW w:w="772" w:type="pct"/>
                  <w:shd w:val="clear" w:color="auto" w:fill="auto"/>
                  <w:vAlign w:val="center"/>
                </w:tcPr>
                <w:p w14:paraId="0647D227">
                  <w:pPr>
                    <w:jc w:val="center"/>
                    <w:rPr>
                      <w:bCs/>
                      <w:szCs w:val="21"/>
                    </w:rPr>
                  </w:pPr>
                  <w:r>
                    <w:rPr>
                      <w:rFonts w:hint="eastAsia"/>
                      <w:bCs/>
                      <w:szCs w:val="21"/>
                    </w:rPr>
                    <w:t>检验工序</w:t>
                  </w:r>
                </w:p>
              </w:tc>
              <w:tc>
                <w:tcPr>
                  <w:tcW w:w="3654" w:type="pct"/>
                  <w:tcBorders>
                    <w:right w:val="single" w:color="auto" w:sz="4" w:space="0"/>
                  </w:tcBorders>
                  <w:shd w:val="clear" w:color="auto" w:fill="auto"/>
                  <w:vAlign w:val="center"/>
                </w:tcPr>
                <w:p w14:paraId="5A987E61">
                  <w:pPr>
                    <w:rPr>
                      <w:bCs/>
                      <w:szCs w:val="21"/>
                    </w:rPr>
                  </w:pPr>
                  <w:r>
                    <w:rPr>
                      <w:rFonts w:hint="eastAsia"/>
                      <w:bCs/>
                      <w:szCs w:val="21"/>
                    </w:rPr>
                    <w:t>在厂房东部面积1</w:t>
                  </w:r>
                  <w:r>
                    <w:rPr>
                      <w:bCs/>
                      <w:szCs w:val="21"/>
                    </w:rPr>
                    <w:t>83m</w:t>
                  </w:r>
                  <w:r>
                    <w:rPr>
                      <w:bCs/>
                      <w:szCs w:val="21"/>
                      <w:vertAlign w:val="superscript"/>
                    </w:rPr>
                    <w:t>2</w:t>
                  </w:r>
                  <w:r>
                    <w:rPr>
                      <w:rFonts w:hint="eastAsia"/>
                      <w:bCs/>
                      <w:szCs w:val="21"/>
                    </w:rPr>
                    <w:t>的区域已建成水检机等检测设备；</w:t>
                  </w:r>
                </w:p>
              </w:tc>
            </w:tr>
            <w:tr w14:paraId="32822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18FCF59E">
                  <w:pPr>
                    <w:spacing w:line="280" w:lineRule="exact"/>
                    <w:jc w:val="center"/>
                    <w:rPr>
                      <w:szCs w:val="21"/>
                    </w:rPr>
                  </w:pPr>
                </w:p>
              </w:tc>
              <w:tc>
                <w:tcPr>
                  <w:tcW w:w="772" w:type="pct"/>
                  <w:shd w:val="clear" w:color="auto" w:fill="auto"/>
                  <w:vAlign w:val="center"/>
                </w:tcPr>
                <w:p w14:paraId="594F7D73">
                  <w:pPr>
                    <w:jc w:val="center"/>
                    <w:rPr>
                      <w:bCs/>
                      <w:szCs w:val="21"/>
                    </w:rPr>
                  </w:pPr>
                  <w:r>
                    <w:rPr>
                      <w:rFonts w:hint="eastAsia"/>
                      <w:bCs/>
                      <w:szCs w:val="21"/>
                    </w:rPr>
                    <w:t>包装工序</w:t>
                  </w:r>
                </w:p>
              </w:tc>
              <w:tc>
                <w:tcPr>
                  <w:tcW w:w="3654" w:type="pct"/>
                  <w:tcBorders>
                    <w:right w:val="single" w:color="auto" w:sz="4" w:space="0"/>
                  </w:tcBorders>
                  <w:shd w:val="clear" w:color="auto" w:fill="auto"/>
                  <w:vAlign w:val="center"/>
                </w:tcPr>
                <w:p w14:paraId="78A260D4">
                  <w:pPr>
                    <w:rPr>
                      <w:bCs/>
                      <w:szCs w:val="21"/>
                    </w:rPr>
                  </w:pPr>
                  <w:r>
                    <w:rPr>
                      <w:rFonts w:hint="eastAsia"/>
                      <w:bCs/>
                      <w:szCs w:val="21"/>
                    </w:rPr>
                    <w:t>在厂房东部面积1</w:t>
                  </w:r>
                  <w:r>
                    <w:rPr>
                      <w:bCs/>
                      <w:szCs w:val="21"/>
                    </w:rPr>
                    <w:t>30m</w:t>
                  </w:r>
                  <w:r>
                    <w:rPr>
                      <w:bCs/>
                      <w:szCs w:val="21"/>
                      <w:vertAlign w:val="superscript"/>
                    </w:rPr>
                    <w:t>2</w:t>
                  </w:r>
                  <w:r>
                    <w:rPr>
                      <w:rFonts w:hint="eastAsia"/>
                      <w:bCs/>
                      <w:szCs w:val="21"/>
                    </w:rPr>
                    <w:t>的区域已建成产品包装区；</w:t>
                  </w:r>
                </w:p>
              </w:tc>
            </w:tr>
            <w:tr w14:paraId="38DB5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restart"/>
                  <w:shd w:val="clear" w:color="auto" w:fill="auto"/>
                  <w:vAlign w:val="center"/>
                </w:tcPr>
                <w:p w14:paraId="409A95E0">
                  <w:pPr>
                    <w:spacing w:line="280" w:lineRule="exact"/>
                    <w:jc w:val="center"/>
                    <w:rPr>
                      <w:szCs w:val="21"/>
                    </w:rPr>
                  </w:pPr>
                  <w:r>
                    <w:rPr>
                      <w:szCs w:val="21"/>
                    </w:rPr>
                    <w:t>辅助及配套</w:t>
                  </w:r>
                </w:p>
              </w:tc>
              <w:tc>
                <w:tcPr>
                  <w:tcW w:w="772" w:type="pct"/>
                  <w:tcBorders>
                    <w:bottom w:val="single" w:color="auto" w:sz="4" w:space="0"/>
                  </w:tcBorders>
                  <w:shd w:val="clear" w:color="auto" w:fill="auto"/>
                  <w:vAlign w:val="center"/>
                </w:tcPr>
                <w:p w14:paraId="5915EF40">
                  <w:pPr>
                    <w:jc w:val="center"/>
                    <w:rPr>
                      <w:bCs/>
                      <w:szCs w:val="21"/>
                    </w:rPr>
                  </w:pPr>
                  <w:r>
                    <w:rPr>
                      <w:rFonts w:hint="eastAsia"/>
                      <w:bCs/>
                      <w:szCs w:val="21"/>
                    </w:rPr>
                    <w:t>办公区</w:t>
                  </w:r>
                </w:p>
              </w:tc>
              <w:tc>
                <w:tcPr>
                  <w:tcW w:w="3654" w:type="pct"/>
                  <w:tcBorders>
                    <w:right w:val="single" w:color="auto" w:sz="4" w:space="0"/>
                  </w:tcBorders>
                  <w:shd w:val="clear" w:color="auto" w:fill="auto"/>
                  <w:vAlign w:val="center"/>
                </w:tcPr>
                <w:p w14:paraId="3E99617D">
                  <w:pPr>
                    <w:rPr>
                      <w:bCs/>
                      <w:szCs w:val="21"/>
                    </w:rPr>
                  </w:pPr>
                  <w:r>
                    <w:rPr>
                      <w:rFonts w:hint="eastAsia"/>
                      <w:bCs/>
                      <w:szCs w:val="21"/>
                    </w:rPr>
                    <w:t>位于厂房东南角，面积7</w:t>
                  </w:r>
                  <w:r>
                    <w:rPr>
                      <w:bCs/>
                      <w:szCs w:val="21"/>
                    </w:rPr>
                    <w:t>2m</w:t>
                  </w:r>
                  <w:r>
                    <w:rPr>
                      <w:bCs/>
                      <w:szCs w:val="21"/>
                      <w:vertAlign w:val="superscript"/>
                    </w:rPr>
                    <w:t>2</w:t>
                  </w:r>
                  <w:r>
                    <w:rPr>
                      <w:rFonts w:hint="eastAsia"/>
                      <w:bCs/>
                      <w:szCs w:val="21"/>
                    </w:rPr>
                    <w:t>，</w:t>
                  </w:r>
                  <w:r>
                    <w:rPr>
                      <w:bCs/>
                      <w:szCs w:val="21"/>
                    </w:rPr>
                    <w:t>2F</w:t>
                  </w:r>
                  <w:r>
                    <w:rPr>
                      <w:rFonts w:hint="eastAsia"/>
                      <w:bCs/>
                      <w:szCs w:val="21"/>
                    </w:rPr>
                    <w:t>钢架结构，主要用于职工办公；</w:t>
                  </w:r>
                </w:p>
              </w:tc>
            </w:tr>
            <w:tr w14:paraId="1B409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D21CCC3">
                  <w:pPr>
                    <w:spacing w:line="280" w:lineRule="exact"/>
                    <w:jc w:val="center"/>
                    <w:rPr>
                      <w:szCs w:val="21"/>
                    </w:rPr>
                  </w:pPr>
                </w:p>
              </w:tc>
              <w:tc>
                <w:tcPr>
                  <w:tcW w:w="772" w:type="pct"/>
                  <w:tcBorders>
                    <w:bottom w:val="single" w:color="auto" w:sz="4" w:space="0"/>
                  </w:tcBorders>
                  <w:shd w:val="clear" w:color="auto" w:fill="auto"/>
                  <w:vAlign w:val="center"/>
                </w:tcPr>
                <w:p w14:paraId="194E91D1">
                  <w:pPr>
                    <w:jc w:val="center"/>
                    <w:rPr>
                      <w:bCs/>
                      <w:szCs w:val="21"/>
                    </w:rPr>
                  </w:pPr>
                  <w:r>
                    <w:rPr>
                      <w:rFonts w:hint="eastAsia"/>
                      <w:bCs/>
                      <w:szCs w:val="21"/>
                    </w:rPr>
                    <w:t>检测实验室</w:t>
                  </w:r>
                </w:p>
              </w:tc>
              <w:tc>
                <w:tcPr>
                  <w:tcW w:w="3654" w:type="pct"/>
                  <w:tcBorders>
                    <w:right w:val="single" w:color="auto" w:sz="4" w:space="0"/>
                  </w:tcBorders>
                  <w:shd w:val="clear" w:color="auto" w:fill="auto"/>
                  <w:vAlign w:val="center"/>
                </w:tcPr>
                <w:p w14:paraId="3CF59155">
                  <w:pPr>
                    <w:rPr>
                      <w:bCs/>
                      <w:szCs w:val="21"/>
                    </w:rPr>
                  </w:pPr>
                  <w:r>
                    <w:rPr>
                      <w:rFonts w:hint="eastAsia"/>
                      <w:bCs/>
                      <w:szCs w:val="21"/>
                    </w:rPr>
                    <w:t>位于厂房东南角，面积8</w:t>
                  </w:r>
                  <w:r>
                    <w:rPr>
                      <w:bCs/>
                      <w:szCs w:val="21"/>
                    </w:rPr>
                    <w:t>5m</w:t>
                  </w:r>
                  <w:r>
                    <w:rPr>
                      <w:bCs/>
                      <w:szCs w:val="21"/>
                      <w:vertAlign w:val="superscript"/>
                    </w:rPr>
                    <w:t>2</w:t>
                  </w:r>
                  <w:r>
                    <w:rPr>
                      <w:rFonts w:hint="eastAsia"/>
                      <w:bCs/>
                      <w:szCs w:val="21"/>
                    </w:rPr>
                    <w:t>，主要布置硬度仪、粗糙度仪、轮廓度仪等物理检验设备；</w:t>
                  </w:r>
                </w:p>
              </w:tc>
            </w:tr>
            <w:tr w14:paraId="2A753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6BBC7432">
                  <w:pPr>
                    <w:spacing w:line="280" w:lineRule="exact"/>
                    <w:jc w:val="center"/>
                    <w:rPr>
                      <w:szCs w:val="21"/>
                    </w:rPr>
                  </w:pPr>
                </w:p>
              </w:tc>
              <w:tc>
                <w:tcPr>
                  <w:tcW w:w="772" w:type="pct"/>
                  <w:tcBorders>
                    <w:bottom w:val="single" w:color="auto" w:sz="4" w:space="0"/>
                  </w:tcBorders>
                  <w:shd w:val="clear" w:color="auto" w:fill="auto"/>
                  <w:vAlign w:val="center"/>
                </w:tcPr>
                <w:p w14:paraId="7C4D36C2">
                  <w:pPr>
                    <w:jc w:val="center"/>
                    <w:rPr>
                      <w:bCs/>
                      <w:szCs w:val="21"/>
                    </w:rPr>
                  </w:pPr>
                  <w:r>
                    <w:rPr>
                      <w:rFonts w:hint="eastAsia"/>
                      <w:bCs/>
                      <w:szCs w:val="21"/>
                    </w:rPr>
                    <w:t>职工倒班休息区</w:t>
                  </w:r>
                </w:p>
              </w:tc>
              <w:tc>
                <w:tcPr>
                  <w:tcW w:w="3654" w:type="pct"/>
                  <w:tcBorders>
                    <w:right w:val="single" w:color="auto" w:sz="4" w:space="0"/>
                  </w:tcBorders>
                  <w:shd w:val="clear" w:color="auto" w:fill="auto"/>
                  <w:vAlign w:val="center"/>
                </w:tcPr>
                <w:p w14:paraId="4562E79E">
                  <w:pPr>
                    <w:rPr>
                      <w:bCs/>
                      <w:szCs w:val="21"/>
                    </w:rPr>
                  </w:pPr>
                  <w:r>
                    <w:rPr>
                      <w:rFonts w:hint="eastAsia"/>
                      <w:bCs/>
                      <w:szCs w:val="21"/>
                    </w:rPr>
                    <w:t>位于厂房南侧，面积9</w:t>
                  </w:r>
                  <w:r>
                    <w:rPr>
                      <w:bCs/>
                      <w:szCs w:val="21"/>
                    </w:rPr>
                    <w:t>0m</w:t>
                  </w:r>
                  <w:r>
                    <w:rPr>
                      <w:bCs/>
                      <w:szCs w:val="21"/>
                      <w:vertAlign w:val="superscript"/>
                    </w:rPr>
                    <w:t>2</w:t>
                  </w:r>
                  <w:r>
                    <w:rPr>
                      <w:rFonts w:hint="eastAsia"/>
                      <w:bCs/>
                      <w:szCs w:val="21"/>
                    </w:rPr>
                    <w:t>，主要用于职工倒班休息，厂区未设食堂和住宿；</w:t>
                  </w:r>
                </w:p>
              </w:tc>
            </w:tr>
            <w:tr w14:paraId="2C9D2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restart"/>
                  <w:tcBorders>
                    <w:top w:val="single" w:color="auto" w:sz="4" w:space="0"/>
                  </w:tcBorders>
                  <w:shd w:val="clear" w:color="auto" w:fill="auto"/>
                  <w:vAlign w:val="center"/>
                </w:tcPr>
                <w:p w14:paraId="275E6D2D">
                  <w:pPr>
                    <w:spacing w:line="280" w:lineRule="exact"/>
                    <w:jc w:val="center"/>
                    <w:rPr>
                      <w:szCs w:val="21"/>
                    </w:rPr>
                  </w:pPr>
                  <w:r>
                    <w:rPr>
                      <w:szCs w:val="21"/>
                    </w:rPr>
                    <w:t>储运工程</w:t>
                  </w:r>
                </w:p>
              </w:tc>
              <w:tc>
                <w:tcPr>
                  <w:tcW w:w="772" w:type="pct"/>
                  <w:tcBorders>
                    <w:top w:val="single" w:color="auto" w:sz="4" w:space="0"/>
                    <w:bottom w:val="single" w:color="auto" w:sz="4" w:space="0"/>
                  </w:tcBorders>
                  <w:shd w:val="clear" w:color="auto" w:fill="auto"/>
                  <w:vAlign w:val="center"/>
                </w:tcPr>
                <w:p w14:paraId="644480A7">
                  <w:pPr>
                    <w:jc w:val="center"/>
                    <w:rPr>
                      <w:bCs/>
                      <w:szCs w:val="21"/>
                    </w:rPr>
                  </w:pPr>
                  <w:r>
                    <w:rPr>
                      <w:bCs/>
                      <w:szCs w:val="21"/>
                    </w:rPr>
                    <w:t>辅料仓库</w:t>
                  </w:r>
                </w:p>
              </w:tc>
              <w:tc>
                <w:tcPr>
                  <w:tcW w:w="3654" w:type="pct"/>
                  <w:tcBorders>
                    <w:right w:val="single" w:color="auto" w:sz="4" w:space="0"/>
                  </w:tcBorders>
                  <w:shd w:val="clear" w:color="auto" w:fill="auto"/>
                  <w:vAlign w:val="center"/>
                </w:tcPr>
                <w:p w14:paraId="71984B2B">
                  <w:pPr>
                    <w:rPr>
                      <w:bCs/>
                      <w:szCs w:val="21"/>
                    </w:rPr>
                  </w:pPr>
                  <w:r>
                    <w:rPr>
                      <w:rFonts w:hint="eastAsia"/>
                      <w:bCs/>
                      <w:szCs w:val="21"/>
                    </w:rPr>
                    <w:t>在厂房</w:t>
                  </w:r>
                  <w:r>
                    <w:rPr>
                      <w:bCs/>
                      <w:szCs w:val="21"/>
                    </w:rPr>
                    <w:t>中部面积约</w:t>
                  </w:r>
                  <w:r>
                    <w:rPr>
                      <w:rFonts w:hint="eastAsia"/>
                      <w:bCs/>
                      <w:szCs w:val="21"/>
                    </w:rPr>
                    <w:t>75m</w:t>
                  </w:r>
                  <w:r>
                    <w:rPr>
                      <w:rFonts w:hint="eastAsia"/>
                      <w:bCs/>
                      <w:szCs w:val="21"/>
                      <w:vertAlign w:val="superscript"/>
                    </w:rPr>
                    <w:t>2</w:t>
                  </w:r>
                  <w:r>
                    <w:rPr>
                      <w:rFonts w:hint="eastAsia"/>
                      <w:bCs/>
                      <w:szCs w:val="21"/>
                    </w:rPr>
                    <w:t>的区域已建成辅料仓库；</w:t>
                  </w:r>
                </w:p>
              </w:tc>
            </w:tr>
            <w:tr w14:paraId="4576A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tcBorders>
                    <w:top w:val="single" w:color="auto" w:sz="4" w:space="0"/>
                  </w:tcBorders>
                  <w:shd w:val="clear" w:color="auto" w:fill="auto"/>
                  <w:vAlign w:val="center"/>
                </w:tcPr>
                <w:p w14:paraId="67A4653B">
                  <w:pPr>
                    <w:spacing w:line="280" w:lineRule="exact"/>
                    <w:jc w:val="center"/>
                    <w:rPr>
                      <w:szCs w:val="21"/>
                    </w:rPr>
                  </w:pPr>
                </w:p>
              </w:tc>
              <w:tc>
                <w:tcPr>
                  <w:tcW w:w="772" w:type="pct"/>
                  <w:tcBorders>
                    <w:top w:val="single" w:color="auto" w:sz="4" w:space="0"/>
                    <w:bottom w:val="single" w:color="auto" w:sz="4" w:space="0"/>
                  </w:tcBorders>
                  <w:shd w:val="clear" w:color="auto" w:fill="auto"/>
                  <w:vAlign w:val="center"/>
                </w:tcPr>
                <w:p w14:paraId="566EB6AB">
                  <w:pPr>
                    <w:jc w:val="center"/>
                    <w:rPr>
                      <w:bCs/>
                      <w:szCs w:val="21"/>
                    </w:rPr>
                  </w:pPr>
                  <w:r>
                    <w:rPr>
                      <w:bCs/>
                      <w:szCs w:val="21"/>
                    </w:rPr>
                    <w:t>成品仓库</w:t>
                  </w:r>
                </w:p>
              </w:tc>
              <w:tc>
                <w:tcPr>
                  <w:tcW w:w="3654" w:type="pct"/>
                  <w:tcBorders>
                    <w:right w:val="single" w:color="auto" w:sz="4" w:space="0"/>
                  </w:tcBorders>
                  <w:shd w:val="clear" w:color="auto" w:fill="auto"/>
                  <w:vAlign w:val="center"/>
                </w:tcPr>
                <w:p w14:paraId="3E8839E4">
                  <w:pPr>
                    <w:rPr>
                      <w:bCs/>
                      <w:szCs w:val="21"/>
                    </w:rPr>
                  </w:pPr>
                  <w:r>
                    <w:rPr>
                      <w:rFonts w:hint="eastAsia"/>
                      <w:bCs/>
                      <w:szCs w:val="21"/>
                    </w:rPr>
                    <w:t>在厂房</w:t>
                  </w:r>
                  <w:r>
                    <w:rPr>
                      <w:bCs/>
                      <w:szCs w:val="21"/>
                    </w:rPr>
                    <w:t>北侧面积约</w:t>
                  </w:r>
                  <w:r>
                    <w:rPr>
                      <w:rFonts w:hint="eastAsia"/>
                      <w:bCs/>
                      <w:szCs w:val="21"/>
                    </w:rPr>
                    <w:t>450m</w:t>
                  </w:r>
                  <w:r>
                    <w:rPr>
                      <w:rFonts w:hint="eastAsia"/>
                      <w:bCs/>
                      <w:szCs w:val="21"/>
                      <w:vertAlign w:val="superscript"/>
                    </w:rPr>
                    <w:t>2</w:t>
                  </w:r>
                  <w:r>
                    <w:rPr>
                      <w:rFonts w:hint="eastAsia"/>
                      <w:bCs/>
                      <w:szCs w:val="21"/>
                    </w:rPr>
                    <w:t>的区域已建成立体货架储存成品；</w:t>
                  </w:r>
                </w:p>
              </w:tc>
            </w:tr>
            <w:tr w14:paraId="5B6AD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tcBorders>
                    <w:top w:val="single" w:color="auto" w:sz="4" w:space="0"/>
                  </w:tcBorders>
                  <w:shd w:val="clear" w:color="auto" w:fill="auto"/>
                  <w:vAlign w:val="center"/>
                </w:tcPr>
                <w:p w14:paraId="74E3B8F0">
                  <w:pPr>
                    <w:spacing w:line="280" w:lineRule="exact"/>
                    <w:jc w:val="center"/>
                    <w:rPr>
                      <w:szCs w:val="21"/>
                    </w:rPr>
                  </w:pPr>
                </w:p>
              </w:tc>
              <w:tc>
                <w:tcPr>
                  <w:tcW w:w="772" w:type="pct"/>
                  <w:tcBorders>
                    <w:top w:val="single" w:color="auto" w:sz="4" w:space="0"/>
                    <w:bottom w:val="single" w:color="auto" w:sz="4" w:space="0"/>
                  </w:tcBorders>
                  <w:shd w:val="clear" w:color="auto" w:fill="auto"/>
                  <w:vAlign w:val="center"/>
                </w:tcPr>
                <w:p w14:paraId="451DCAD4">
                  <w:pPr>
                    <w:jc w:val="center"/>
                    <w:rPr>
                      <w:bCs/>
                      <w:szCs w:val="21"/>
                    </w:rPr>
                  </w:pPr>
                  <w:r>
                    <w:rPr>
                      <w:bCs/>
                      <w:szCs w:val="21"/>
                    </w:rPr>
                    <w:t>包材仓库</w:t>
                  </w:r>
                </w:p>
              </w:tc>
              <w:tc>
                <w:tcPr>
                  <w:tcW w:w="3654" w:type="pct"/>
                  <w:tcBorders>
                    <w:right w:val="single" w:color="auto" w:sz="4" w:space="0"/>
                  </w:tcBorders>
                  <w:shd w:val="clear" w:color="auto" w:fill="auto"/>
                  <w:vAlign w:val="center"/>
                </w:tcPr>
                <w:p w14:paraId="3E4AFDAC">
                  <w:pPr>
                    <w:rPr>
                      <w:bCs/>
                      <w:szCs w:val="21"/>
                    </w:rPr>
                  </w:pPr>
                  <w:r>
                    <w:rPr>
                      <w:rFonts w:hint="eastAsia"/>
                      <w:bCs/>
                      <w:szCs w:val="21"/>
                    </w:rPr>
                    <w:t>在</w:t>
                  </w:r>
                  <w:r>
                    <w:rPr>
                      <w:bCs/>
                      <w:szCs w:val="21"/>
                    </w:rPr>
                    <w:t>成品仓库南侧面积约</w:t>
                  </w:r>
                  <w:r>
                    <w:rPr>
                      <w:rFonts w:hint="eastAsia"/>
                      <w:bCs/>
                      <w:szCs w:val="21"/>
                    </w:rPr>
                    <w:t>60m</w:t>
                  </w:r>
                  <w:r>
                    <w:rPr>
                      <w:rFonts w:hint="eastAsia"/>
                      <w:bCs/>
                      <w:szCs w:val="21"/>
                      <w:vertAlign w:val="superscript"/>
                    </w:rPr>
                    <w:t>2</w:t>
                  </w:r>
                  <w:r>
                    <w:rPr>
                      <w:rFonts w:hint="eastAsia"/>
                      <w:bCs/>
                      <w:szCs w:val="21"/>
                    </w:rPr>
                    <w:t>的区域已建成包材仓库；</w:t>
                  </w:r>
                  <w:r>
                    <w:rPr>
                      <w:bCs/>
                      <w:szCs w:val="21"/>
                    </w:rPr>
                    <w:t xml:space="preserve"> </w:t>
                  </w:r>
                </w:p>
              </w:tc>
            </w:tr>
            <w:tr w14:paraId="723A9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tcBorders>
                    <w:top w:val="single" w:color="auto" w:sz="4" w:space="0"/>
                  </w:tcBorders>
                  <w:shd w:val="clear" w:color="auto" w:fill="auto"/>
                  <w:vAlign w:val="center"/>
                </w:tcPr>
                <w:p w14:paraId="3224BE5B">
                  <w:pPr>
                    <w:spacing w:line="280" w:lineRule="exact"/>
                    <w:jc w:val="center"/>
                    <w:rPr>
                      <w:szCs w:val="21"/>
                    </w:rPr>
                  </w:pPr>
                </w:p>
              </w:tc>
              <w:tc>
                <w:tcPr>
                  <w:tcW w:w="772" w:type="pct"/>
                  <w:tcBorders>
                    <w:top w:val="single" w:color="auto" w:sz="4" w:space="0"/>
                    <w:bottom w:val="single" w:color="auto" w:sz="4" w:space="0"/>
                  </w:tcBorders>
                  <w:shd w:val="clear" w:color="auto" w:fill="auto"/>
                  <w:vAlign w:val="center"/>
                </w:tcPr>
                <w:p w14:paraId="41EC781D">
                  <w:pPr>
                    <w:jc w:val="center"/>
                    <w:rPr>
                      <w:bCs/>
                      <w:szCs w:val="21"/>
                    </w:rPr>
                  </w:pPr>
                  <w:r>
                    <w:rPr>
                      <w:bCs/>
                      <w:szCs w:val="21"/>
                    </w:rPr>
                    <w:t>模具堆放区</w:t>
                  </w:r>
                </w:p>
              </w:tc>
              <w:tc>
                <w:tcPr>
                  <w:tcW w:w="3654" w:type="pct"/>
                  <w:tcBorders>
                    <w:right w:val="single" w:color="auto" w:sz="4" w:space="0"/>
                  </w:tcBorders>
                  <w:shd w:val="clear" w:color="auto" w:fill="auto"/>
                  <w:vAlign w:val="center"/>
                </w:tcPr>
                <w:p w14:paraId="69B401AF">
                  <w:pPr>
                    <w:rPr>
                      <w:bCs/>
                      <w:szCs w:val="21"/>
                    </w:rPr>
                  </w:pPr>
                  <w:r>
                    <w:rPr>
                      <w:rFonts w:hint="eastAsia"/>
                      <w:bCs/>
                      <w:szCs w:val="21"/>
                    </w:rPr>
                    <w:t>在厂房</w:t>
                  </w:r>
                  <w:r>
                    <w:rPr>
                      <w:bCs/>
                      <w:szCs w:val="21"/>
                    </w:rPr>
                    <w:t>中部</w:t>
                  </w:r>
                  <w:r>
                    <w:rPr>
                      <w:rFonts w:hint="eastAsia"/>
                      <w:bCs/>
                      <w:szCs w:val="21"/>
                    </w:rPr>
                    <w:t>面积约350m</w:t>
                  </w:r>
                  <w:r>
                    <w:rPr>
                      <w:rFonts w:hint="eastAsia"/>
                      <w:bCs/>
                      <w:szCs w:val="21"/>
                      <w:vertAlign w:val="superscript"/>
                    </w:rPr>
                    <w:t>2</w:t>
                  </w:r>
                  <w:r>
                    <w:rPr>
                      <w:rFonts w:hint="eastAsia"/>
                      <w:bCs/>
                      <w:szCs w:val="21"/>
                    </w:rPr>
                    <w:t>的区域已建成</w:t>
                  </w:r>
                  <w:r>
                    <w:rPr>
                      <w:bCs/>
                      <w:szCs w:val="21"/>
                    </w:rPr>
                    <w:t>模具堆放区</w:t>
                  </w:r>
                  <w:r>
                    <w:rPr>
                      <w:rFonts w:hint="eastAsia"/>
                      <w:bCs/>
                      <w:szCs w:val="21"/>
                    </w:rPr>
                    <w:t>；</w:t>
                  </w:r>
                </w:p>
              </w:tc>
            </w:tr>
            <w:tr w14:paraId="138F4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restart"/>
                  <w:shd w:val="clear" w:color="auto" w:fill="auto"/>
                  <w:vAlign w:val="center"/>
                </w:tcPr>
                <w:p w14:paraId="471BB8F7">
                  <w:pPr>
                    <w:spacing w:line="280" w:lineRule="exact"/>
                    <w:jc w:val="center"/>
                    <w:rPr>
                      <w:szCs w:val="21"/>
                    </w:rPr>
                  </w:pPr>
                  <w:r>
                    <w:rPr>
                      <w:szCs w:val="21"/>
                    </w:rPr>
                    <w:t>公用</w:t>
                  </w:r>
                </w:p>
                <w:p w14:paraId="64743151">
                  <w:pPr>
                    <w:spacing w:line="280" w:lineRule="exact"/>
                    <w:jc w:val="center"/>
                    <w:rPr>
                      <w:szCs w:val="21"/>
                    </w:rPr>
                  </w:pPr>
                  <w:r>
                    <w:rPr>
                      <w:szCs w:val="21"/>
                    </w:rPr>
                    <w:t>工程</w:t>
                  </w:r>
                </w:p>
              </w:tc>
              <w:tc>
                <w:tcPr>
                  <w:tcW w:w="772" w:type="pct"/>
                  <w:shd w:val="clear" w:color="auto" w:fill="auto"/>
                  <w:vAlign w:val="center"/>
                </w:tcPr>
                <w:p w14:paraId="2C684F27">
                  <w:pPr>
                    <w:jc w:val="center"/>
                    <w:rPr>
                      <w:bCs/>
                      <w:szCs w:val="21"/>
                    </w:rPr>
                  </w:pPr>
                  <w:r>
                    <w:rPr>
                      <w:bCs/>
                      <w:szCs w:val="21"/>
                    </w:rPr>
                    <w:t>给水</w:t>
                  </w:r>
                </w:p>
              </w:tc>
              <w:tc>
                <w:tcPr>
                  <w:tcW w:w="3654" w:type="pct"/>
                  <w:tcBorders>
                    <w:right w:val="single" w:color="auto" w:sz="4" w:space="0"/>
                  </w:tcBorders>
                  <w:shd w:val="clear" w:color="auto" w:fill="auto"/>
                  <w:vAlign w:val="center"/>
                </w:tcPr>
                <w:p w14:paraId="14D957D0">
                  <w:pPr>
                    <w:rPr>
                      <w:bCs/>
                      <w:szCs w:val="21"/>
                    </w:rPr>
                  </w:pPr>
                  <w:r>
                    <w:rPr>
                      <w:rFonts w:hint="eastAsia"/>
                      <w:bCs/>
                      <w:szCs w:val="21"/>
                    </w:rPr>
                    <w:t>厂区供水管网已建成</w:t>
                  </w:r>
                </w:p>
              </w:tc>
            </w:tr>
            <w:tr w14:paraId="75C5D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012B0177">
                  <w:pPr>
                    <w:spacing w:line="280" w:lineRule="exact"/>
                    <w:jc w:val="center"/>
                    <w:rPr>
                      <w:szCs w:val="21"/>
                    </w:rPr>
                  </w:pPr>
                </w:p>
              </w:tc>
              <w:tc>
                <w:tcPr>
                  <w:tcW w:w="772" w:type="pct"/>
                  <w:shd w:val="clear" w:color="auto" w:fill="auto"/>
                  <w:vAlign w:val="center"/>
                </w:tcPr>
                <w:p w14:paraId="2C0BE7B7">
                  <w:pPr>
                    <w:jc w:val="center"/>
                    <w:rPr>
                      <w:bCs/>
                      <w:szCs w:val="21"/>
                    </w:rPr>
                  </w:pPr>
                  <w:r>
                    <w:rPr>
                      <w:bCs/>
                      <w:szCs w:val="21"/>
                    </w:rPr>
                    <w:t>排水</w:t>
                  </w:r>
                </w:p>
              </w:tc>
              <w:tc>
                <w:tcPr>
                  <w:tcW w:w="3654" w:type="pct"/>
                  <w:tcBorders>
                    <w:bottom w:val="single" w:color="auto" w:sz="2" w:space="0"/>
                    <w:right w:val="single" w:color="auto" w:sz="4" w:space="0"/>
                  </w:tcBorders>
                  <w:shd w:val="clear" w:color="auto" w:fill="auto"/>
                  <w:vAlign w:val="center"/>
                </w:tcPr>
                <w:p w14:paraId="693E71F1">
                  <w:pPr>
                    <w:rPr>
                      <w:bCs/>
                      <w:szCs w:val="21"/>
                    </w:rPr>
                  </w:pPr>
                  <w:r>
                    <w:rPr>
                      <w:rFonts w:hint="eastAsia"/>
                      <w:bCs/>
                      <w:szCs w:val="21"/>
                    </w:rPr>
                    <w:t>厂区已建成雨污分流系统，污水收集管网；</w:t>
                  </w:r>
                </w:p>
              </w:tc>
            </w:tr>
            <w:tr w14:paraId="4EBE8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3D088FB6">
                  <w:pPr>
                    <w:spacing w:line="280" w:lineRule="exact"/>
                    <w:jc w:val="center"/>
                    <w:rPr>
                      <w:szCs w:val="21"/>
                    </w:rPr>
                  </w:pPr>
                </w:p>
              </w:tc>
              <w:tc>
                <w:tcPr>
                  <w:tcW w:w="772" w:type="pct"/>
                  <w:shd w:val="clear" w:color="auto" w:fill="auto"/>
                  <w:vAlign w:val="center"/>
                </w:tcPr>
                <w:p w14:paraId="7AD9934D">
                  <w:pPr>
                    <w:jc w:val="center"/>
                    <w:rPr>
                      <w:bCs/>
                      <w:szCs w:val="21"/>
                    </w:rPr>
                  </w:pPr>
                  <w:r>
                    <w:rPr>
                      <w:bCs/>
                      <w:szCs w:val="21"/>
                    </w:rPr>
                    <w:t>供电</w:t>
                  </w:r>
                </w:p>
              </w:tc>
              <w:tc>
                <w:tcPr>
                  <w:tcW w:w="3654" w:type="pct"/>
                  <w:tcBorders>
                    <w:bottom w:val="nil"/>
                    <w:right w:val="single" w:color="auto" w:sz="4" w:space="0"/>
                  </w:tcBorders>
                  <w:shd w:val="clear" w:color="auto" w:fill="auto"/>
                  <w:vAlign w:val="center"/>
                </w:tcPr>
                <w:p w14:paraId="1909387E">
                  <w:pPr>
                    <w:rPr>
                      <w:bCs/>
                      <w:szCs w:val="21"/>
                    </w:rPr>
                  </w:pPr>
                  <w:r>
                    <w:rPr>
                      <w:rFonts w:hint="eastAsia"/>
                      <w:bCs/>
                      <w:szCs w:val="21"/>
                    </w:rPr>
                    <w:t>厂房东侧外已建成1座</w:t>
                  </w:r>
                  <w:r>
                    <w:rPr>
                      <w:bCs/>
                      <w:szCs w:val="21"/>
                    </w:rPr>
                    <w:t>1</w:t>
                  </w:r>
                  <w:r>
                    <w:rPr>
                      <w:rFonts w:hint="eastAsia"/>
                      <w:bCs/>
                      <w:szCs w:val="21"/>
                    </w:rPr>
                    <w:t>000</w:t>
                  </w:r>
                  <w:r>
                    <w:rPr>
                      <w:bCs/>
                      <w:szCs w:val="21"/>
                    </w:rPr>
                    <w:t>kVA变压器</w:t>
                  </w:r>
                  <w:r>
                    <w:rPr>
                      <w:rFonts w:hint="eastAsia"/>
                      <w:bCs/>
                      <w:szCs w:val="21"/>
                    </w:rPr>
                    <w:t>；</w:t>
                  </w:r>
                </w:p>
              </w:tc>
            </w:tr>
            <w:tr w14:paraId="41638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A91919F">
                  <w:pPr>
                    <w:spacing w:line="280" w:lineRule="exact"/>
                    <w:jc w:val="center"/>
                    <w:rPr>
                      <w:szCs w:val="21"/>
                    </w:rPr>
                  </w:pPr>
                </w:p>
              </w:tc>
              <w:tc>
                <w:tcPr>
                  <w:tcW w:w="772" w:type="pct"/>
                  <w:shd w:val="clear" w:color="auto" w:fill="auto"/>
                  <w:vAlign w:val="center"/>
                </w:tcPr>
                <w:p w14:paraId="2E7E2516">
                  <w:pPr>
                    <w:jc w:val="center"/>
                    <w:rPr>
                      <w:bCs/>
                      <w:szCs w:val="21"/>
                    </w:rPr>
                  </w:pPr>
                  <w:r>
                    <w:rPr>
                      <w:rFonts w:hint="eastAsia"/>
                      <w:bCs/>
                      <w:szCs w:val="21"/>
                    </w:rPr>
                    <w:t>压缩</w:t>
                  </w:r>
                  <w:r>
                    <w:rPr>
                      <w:bCs/>
                      <w:szCs w:val="21"/>
                    </w:rPr>
                    <w:t>空气</w:t>
                  </w:r>
                </w:p>
              </w:tc>
              <w:tc>
                <w:tcPr>
                  <w:tcW w:w="3654" w:type="pct"/>
                  <w:tcBorders>
                    <w:right w:val="single" w:color="auto" w:sz="4" w:space="0"/>
                  </w:tcBorders>
                  <w:shd w:val="clear" w:color="auto" w:fill="auto"/>
                  <w:vAlign w:val="center"/>
                </w:tcPr>
                <w:p w14:paraId="358827E8">
                  <w:pPr>
                    <w:rPr>
                      <w:bCs/>
                      <w:szCs w:val="21"/>
                    </w:rPr>
                  </w:pPr>
                  <w:r>
                    <w:rPr>
                      <w:rFonts w:hint="eastAsia"/>
                      <w:bCs/>
                      <w:szCs w:val="21"/>
                    </w:rPr>
                    <w:t>厂房东侧外，面积约35m</w:t>
                  </w:r>
                  <w:r>
                    <w:rPr>
                      <w:rFonts w:hint="eastAsia"/>
                      <w:bCs/>
                      <w:szCs w:val="21"/>
                      <w:vertAlign w:val="superscript"/>
                    </w:rPr>
                    <w:t>2</w:t>
                  </w:r>
                  <w:r>
                    <w:rPr>
                      <w:rFonts w:hint="eastAsia"/>
                      <w:bCs/>
                      <w:szCs w:val="21"/>
                    </w:rPr>
                    <w:t>的区域已建成1座空压机房1座，内设6.6m</w:t>
                  </w:r>
                  <w:r>
                    <w:rPr>
                      <w:rFonts w:hint="eastAsia"/>
                      <w:bCs/>
                      <w:szCs w:val="21"/>
                      <w:vertAlign w:val="superscript"/>
                    </w:rPr>
                    <w:t>3</w:t>
                  </w:r>
                  <w:r>
                    <w:rPr>
                      <w:rFonts w:hint="eastAsia"/>
                      <w:bCs/>
                      <w:szCs w:val="21"/>
                    </w:rPr>
                    <w:t>/min、10.0m</w:t>
                  </w:r>
                  <w:r>
                    <w:rPr>
                      <w:rFonts w:hint="eastAsia"/>
                      <w:bCs/>
                      <w:szCs w:val="21"/>
                      <w:vertAlign w:val="superscript"/>
                    </w:rPr>
                    <w:t>3</w:t>
                  </w:r>
                  <w:r>
                    <w:rPr>
                      <w:rFonts w:hint="eastAsia"/>
                      <w:bCs/>
                      <w:szCs w:val="21"/>
                    </w:rPr>
                    <w:t>/min螺杆式空压机各1台；</w:t>
                  </w:r>
                </w:p>
              </w:tc>
            </w:tr>
            <w:tr w14:paraId="08E2F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532A5103">
                  <w:pPr>
                    <w:spacing w:line="280" w:lineRule="exact"/>
                    <w:jc w:val="center"/>
                    <w:rPr>
                      <w:szCs w:val="21"/>
                    </w:rPr>
                  </w:pPr>
                </w:p>
              </w:tc>
              <w:tc>
                <w:tcPr>
                  <w:tcW w:w="772" w:type="pct"/>
                  <w:shd w:val="clear" w:color="auto" w:fill="auto"/>
                  <w:vAlign w:val="center"/>
                </w:tcPr>
                <w:p w14:paraId="62AF1D17">
                  <w:pPr>
                    <w:jc w:val="center"/>
                    <w:rPr>
                      <w:bCs/>
                      <w:szCs w:val="21"/>
                    </w:rPr>
                  </w:pPr>
                  <w:r>
                    <w:rPr>
                      <w:rFonts w:hint="eastAsia"/>
                      <w:bCs/>
                      <w:szCs w:val="21"/>
                    </w:rPr>
                    <w:t>循环冷却水系统</w:t>
                  </w:r>
                </w:p>
              </w:tc>
              <w:tc>
                <w:tcPr>
                  <w:tcW w:w="3654" w:type="pct"/>
                  <w:tcBorders>
                    <w:right w:val="single" w:color="auto" w:sz="4" w:space="0"/>
                  </w:tcBorders>
                  <w:shd w:val="clear" w:color="auto" w:fill="auto"/>
                  <w:vAlign w:val="center"/>
                </w:tcPr>
                <w:p w14:paraId="673B3299">
                  <w:pPr>
                    <w:rPr>
                      <w:bCs/>
                      <w:szCs w:val="21"/>
                    </w:rPr>
                  </w:pPr>
                  <w:r>
                    <w:rPr>
                      <w:rFonts w:hint="eastAsia"/>
                      <w:bCs/>
                      <w:szCs w:val="21"/>
                    </w:rPr>
                    <w:t>厂房东侧外，已建成循环冷却系统1套，采用WL-80冷水机组，循环水量40m</w:t>
                  </w:r>
                  <w:r>
                    <w:rPr>
                      <w:rFonts w:hint="eastAsia"/>
                      <w:bCs/>
                      <w:szCs w:val="21"/>
                      <w:vertAlign w:val="superscript"/>
                    </w:rPr>
                    <w:t>3</w:t>
                  </w:r>
                  <w:r>
                    <w:rPr>
                      <w:rFonts w:hint="eastAsia"/>
                      <w:bCs/>
                      <w:szCs w:val="21"/>
                    </w:rPr>
                    <w:t>/h，配套冷却水池72m</w:t>
                  </w:r>
                  <w:r>
                    <w:rPr>
                      <w:rFonts w:hint="eastAsia"/>
                      <w:bCs/>
                      <w:szCs w:val="21"/>
                      <w:vertAlign w:val="superscript"/>
                    </w:rPr>
                    <w:t>3</w:t>
                  </w:r>
                  <w:r>
                    <w:rPr>
                      <w:rFonts w:hint="eastAsia"/>
                      <w:bCs/>
                      <w:szCs w:val="21"/>
                    </w:rPr>
                    <w:t>；</w:t>
                  </w:r>
                </w:p>
              </w:tc>
            </w:tr>
            <w:tr w14:paraId="15585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restart"/>
                  <w:shd w:val="clear" w:color="auto" w:fill="auto"/>
                  <w:vAlign w:val="center"/>
                </w:tcPr>
                <w:p w14:paraId="1FFD8D3D">
                  <w:pPr>
                    <w:spacing w:line="280" w:lineRule="exact"/>
                    <w:jc w:val="center"/>
                    <w:rPr>
                      <w:szCs w:val="21"/>
                    </w:rPr>
                  </w:pPr>
                  <w:r>
                    <w:rPr>
                      <w:szCs w:val="21"/>
                    </w:rPr>
                    <w:t>环保</w:t>
                  </w:r>
                </w:p>
                <w:p w14:paraId="7D28B3CB">
                  <w:pPr>
                    <w:spacing w:line="280" w:lineRule="exact"/>
                    <w:jc w:val="center"/>
                    <w:rPr>
                      <w:szCs w:val="21"/>
                    </w:rPr>
                  </w:pPr>
                  <w:r>
                    <w:rPr>
                      <w:szCs w:val="21"/>
                    </w:rPr>
                    <w:t>工程</w:t>
                  </w:r>
                </w:p>
              </w:tc>
              <w:tc>
                <w:tcPr>
                  <w:tcW w:w="772" w:type="pct"/>
                  <w:shd w:val="clear" w:color="auto" w:fill="auto"/>
                  <w:vAlign w:val="center"/>
                </w:tcPr>
                <w:p w14:paraId="21F364A1">
                  <w:pPr>
                    <w:adjustRightInd w:val="0"/>
                    <w:snapToGrid w:val="0"/>
                    <w:spacing w:line="280" w:lineRule="exact"/>
                    <w:ind w:left="-91" w:leftChars="-52" w:right="-88" w:rightChars="-42" w:hanging="18" w:hangingChars="9"/>
                    <w:jc w:val="center"/>
                    <w:rPr>
                      <w:kern w:val="0"/>
                      <w:szCs w:val="21"/>
                    </w:rPr>
                  </w:pPr>
                  <w:r>
                    <w:rPr>
                      <w:rFonts w:hint="eastAsia"/>
                      <w:kern w:val="0"/>
                      <w:szCs w:val="21"/>
                    </w:rPr>
                    <w:t>废水治理</w:t>
                  </w:r>
                </w:p>
                <w:p w14:paraId="2A3BCE1D">
                  <w:pPr>
                    <w:adjustRightInd w:val="0"/>
                    <w:snapToGrid w:val="0"/>
                    <w:spacing w:line="280" w:lineRule="exact"/>
                    <w:ind w:left="-91" w:leftChars="-52" w:right="-88" w:rightChars="-42" w:hanging="18" w:hangingChars="9"/>
                    <w:jc w:val="center"/>
                    <w:rPr>
                      <w:szCs w:val="21"/>
                    </w:rPr>
                  </w:pPr>
                  <w:r>
                    <w:rPr>
                      <w:rFonts w:hint="eastAsia"/>
                      <w:kern w:val="0"/>
                      <w:szCs w:val="21"/>
                    </w:rPr>
                    <w:t>工程</w:t>
                  </w:r>
                </w:p>
              </w:tc>
              <w:tc>
                <w:tcPr>
                  <w:tcW w:w="3654" w:type="pct"/>
                  <w:tcBorders>
                    <w:right w:val="single" w:color="auto" w:sz="4" w:space="0"/>
                  </w:tcBorders>
                  <w:shd w:val="clear" w:color="auto" w:fill="auto"/>
                  <w:vAlign w:val="center"/>
                </w:tcPr>
                <w:p w14:paraId="29EF1AA7">
                  <w:pPr>
                    <w:adjustRightInd w:val="0"/>
                    <w:snapToGrid w:val="0"/>
                    <w:spacing w:line="280" w:lineRule="exact"/>
                    <w:rPr>
                      <w:szCs w:val="21"/>
                    </w:rPr>
                  </w:pPr>
                  <w:r>
                    <w:rPr>
                      <w:rFonts w:hint="eastAsia"/>
                      <w:szCs w:val="21"/>
                    </w:rPr>
                    <w:t>厂区东部绿化带已建成1套处理能力为20m</w:t>
                  </w:r>
                  <w:r>
                    <w:rPr>
                      <w:rFonts w:hint="eastAsia"/>
                      <w:szCs w:val="21"/>
                      <w:vertAlign w:val="superscript"/>
                    </w:rPr>
                    <w:t>3</w:t>
                  </w:r>
                  <w:r>
                    <w:rPr>
                      <w:rFonts w:hint="eastAsia"/>
                      <w:szCs w:val="21"/>
                    </w:rPr>
                    <w:t>/d的废水处理站，采用“隔油+调节池+混凝气浮+混凝沉淀+水解酸化+生物接触氧化”处理工艺，废水经处理达《污水综合排放标准》（GB8978-1996）三级标准后排入园区市政污水管网，经李渡大耍坝污水处理厂进一步处理达标后，最终排放到长江；</w:t>
                  </w:r>
                </w:p>
              </w:tc>
            </w:tr>
            <w:tr w14:paraId="2C56E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575818C2">
                  <w:pPr>
                    <w:spacing w:line="280" w:lineRule="exact"/>
                    <w:jc w:val="center"/>
                    <w:rPr>
                      <w:szCs w:val="21"/>
                    </w:rPr>
                  </w:pPr>
                </w:p>
              </w:tc>
              <w:tc>
                <w:tcPr>
                  <w:tcW w:w="772" w:type="pct"/>
                  <w:vMerge w:val="restart"/>
                  <w:shd w:val="clear" w:color="auto" w:fill="auto"/>
                  <w:vAlign w:val="center"/>
                </w:tcPr>
                <w:p w14:paraId="3DD11479">
                  <w:pPr>
                    <w:adjustRightInd w:val="0"/>
                    <w:snapToGrid w:val="0"/>
                    <w:spacing w:line="280" w:lineRule="exact"/>
                    <w:ind w:left="-91" w:leftChars="-52" w:right="-88" w:rightChars="-42" w:hanging="18" w:hangingChars="9"/>
                    <w:jc w:val="center"/>
                    <w:rPr>
                      <w:kern w:val="0"/>
                      <w:szCs w:val="21"/>
                    </w:rPr>
                  </w:pPr>
                  <w:r>
                    <w:rPr>
                      <w:rFonts w:hint="eastAsia"/>
                      <w:kern w:val="0"/>
                      <w:szCs w:val="21"/>
                    </w:rPr>
                    <w:t>废气治理</w:t>
                  </w:r>
                </w:p>
                <w:p w14:paraId="4B741517">
                  <w:pPr>
                    <w:adjustRightInd w:val="0"/>
                    <w:snapToGrid w:val="0"/>
                    <w:spacing w:line="280" w:lineRule="exact"/>
                    <w:ind w:left="-91" w:leftChars="-52" w:right="-88" w:rightChars="-42" w:hanging="18" w:hangingChars="9"/>
                    <w:jc w:val="center"/>
                    <w:rPr>
                      <w:kern w:val="0"/>
                      <w:szCs w:val="21"/>
                    </w:rPr>
                  </w:pPr>
                  <w:r>
                    <w:rPr>
                      <w:rFonts w:hint="eastAsia"/>
                      <w:kern w:val="0"/>
                      <w:szCs w:val="21"/>
                    </w:rPr>
                    <w:t>工程</w:t>
                  </w:r>
                </w:p>
              </w:tc>
              <w:tc>
                <w:tcPr>
                  <w:tcW w:w="3654" w:type="pct"/>
                  <w:tcBorders>
                    <w:right w:val="single" w:color="auto" w:sz="4" w:space="0"/>
                  </w:tcBorders>
                  <w:shd w:val="clear" w:color="auto" w:fill="auto"/>
                  <w:vAlign w:val="center"/>
                </w:tcPr>
                <w:p w14:paraId="3D70DA53">
                  <w:pPr>
                    <w:rPr>
                      <w:bCs/>
                      <w:szCs w:val="21"/>
                    </w:rPr>
                  </w:pPr>
                  <w:r>
                    <w:rPr>
                      <w:rFonts w:hint="eastAsia"/>
                      <w:bCs/>
                      <w:szCs w:val="21"/>
                    </w:rPr>
                    <w:t>压铸保温炉烟气设置集气系统，废气经收集后经1套袋式除尘系统处理，处理后废气由1根15m高排气筒排放，配套除尘风量为25000m</w:t>
                  </w:r>
                  <w:r>
                    <w:rPr>
                      <w:rFonts w:hint="eastAsia"/>
                      <w:bCs/>
                      <w:szCs w:val="21"/>
                      <w:vertAlign w:val="superscript"/>
                    </w:rPr>
                    <w:t>3</w:t>
                  </w:r>
                  <w:r>
                    <w:rPr>
                      <w:rFonts w:hint="eastAsia"/>
                      <w:bCs/>
                      <w:szCs w:val="21"/>
                    </w:rPr>
                    <w:t>/h；</w:t>
                  </w:r>
                </w:p>
              </w:tc>
            </w:tr>
            <w:tr w14:paraId="0F526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67EA59BE">
                  <w:pPr>
                    <w:spacing w:line="280" w:lineRule="exact"/>
                    <w:jc w:val="center"/>
                    <w:rPr>
                      <w:szCs w:val="21"/>
                    </w:rPr>
                  </w:pPr>
                </w:p>
              </w:tc>
              <w:tc>
                <w:tcPr>
                  <w:tcW w:w="772" w:type="pct"/>
                  <w:vMerge w:val="continue"/>
                  <w:shd w:val="clear" w:color="auto" w:fill="auto"/>
                  <w:vAlign w:val="center"/>
                </w:tcPr>
                <w:p w14:paraId="0893DE96">
                  <w:pPr>
                    <w:adjustRightInd w:val="0"/>
                    <w:snapToGrid w:val="0"/>
                    <w:spacing w:line="280" w:lineRule="exact"/>
                    <w:ind w:left="-91" w:leftChars="-52" w:right="-88" w:rightChars="-42" w:hanging="18" w:hangingChars="9"/>
                    <w:jc w:val="center"/>
                    <w:rPr>
                      <w:kern w:val="0"/>
                      <w:szCs w:val="21"/>
                    </w:rPr>
                  </w:pPr>
                </w:p>
              </w:tc>
              <w:tc>
                <w:tcPr>
                  <w:tcW w:w="3654" w:type="pct"/>
                  <w:tcBorders>
                    <w:right w:val="single" w:color="auto" w:sz="4" w:space="0"/>
                  </w:tcBorders>
                  <w:shd w:val="clear" w:color="auto" w:fill="auto"/>
                  <w:vAlign w:val="center"/>
                </w:tcPr>
                <w:p w14:paraId="36093B4D">
                  <w:pPr>
                    <w:rPr>
                      <w:bCs/>
                      <w:szCs w:val="21"/>
                    </w:rPr>
                  </w:pPr>
                  <w:r>
                    <w:rPr>
                      <w:rFonts w:hint="eastAsia"/>
                      <w:bCs/>
                      <w:szCs w:val="21"/>
                    </w:rPr>
                    <w:t>3台抛丸机废气经自带滤筒除尘器处理后，再一并接入1台布袋除尘器处理后，由1根15m高排气筒排放，配套除尘风量为</w:t>
                  </w:r>
                  <w:r>
                    <w:rPr>
                      <w:bCs/>
                      <w:szCs w:val="21"/>
                    </w:rPr>
                    <w:t>12</w:t>
                  </w:r>
                  <w:r>
                    <w:rPr>
                      <w:rFonts w:hint="eastAsia"/>
                      <w:bCs/>
                      <w:szCs w:val="21"/>
                    </w:rPr>
                    <w:t>000m</w:t>
                  </w:r>
                  <w:r>
                    <w:rPr>
                      <w:rFonts w:hint="eastAsia"/>
                      <w:bCs/>
                      <w:szCs w:val="21"/>
                      <w:vertAlign w:val="superscript"/>
                    </w:rPr>
                    <w:t>3</w:t>
                  </w:r>
                  <w:r>
                    <w:rPr>
                      <w:rFonts w:hint="eastAsia"/>
                      <w:bCs/>
                      <w:szCs w:val="21"/>
                    </w:rPr>
                    <w:t>/h；</w:t>
                  </w:r>
                </w:p>
              </w:tc>
            </w:tr>
            <w:tr w14:paraId="499F9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F91B227">
                  <w:pPr>
                    <w:spacing w:line="280" w:lineRule="exact"/>
                    <w:jc w:val="center"/>
                    <w:rPr>
                      <w:szCs w:val="21"/>
                    </w:rPr>
                  </w:pPr>
                </w:p>
              </w:tc>
              <w:tc>
                <w:tcPr>
                  <w:tcW w:w="772" w:type="pct"/>
                  <w:vMerge w:val="restart"/>
                  <w:shd w:val="clear" w:color="auto" w:fill="auto"/>
                  <w:vAlign w:val="center"/>
                </w:tcPr>
                <w:p w14:paraId="3C92BA54">
                  <w:pPr>
                    <w:adjustRightInd w:val="0"/>
                    <w:snapToGrid w:val="0"/>
                    <w:spacing w:line="280" w:lineRule="exact"/>
                    <w:jc w:val="center"/>
                    <w:rPr>
                      <w:szCs w:val="21"/>
                    </w:rPr>
                  </w:pPr>
                  <w:r>
                    <w:rPr>
                      <w:rFonts w:hint="eastAsia"/>
                      <w:szCs w:val="21"/>
                    </w:rPr>
                    <w:t>固废治理</w:t>
                  </w:r>
                </w:p>
                <w:p w14:paraId="53EB3F27">
                  <w:pPr>
                    <w:adjustRightInd w:val="0"/>
                    <w:snapToGrid w:val="0"/>
                    <w:spacing w:line="280" w:lineRule="exact"/>
                    <w:jc w:val="center"/>
                    <w:rPr>
                      <w:szCs w:val="21"/>
                    </w:rPr>
                  </w:pPr>
                  <w:r>
                    <w:rPr>
                      <w:rFonts w:hint="eastAsia"/>
                      <w:szCs w:val="21"/>
                    </w:rPr>
                    <w:t>工程</w:t>
                  </w:r>
                </w:p>
              </w:tc>
              <w:tc>
                <w:tcPr>
                  <w:tcW w:w="3654" w:type="pct"/>
                  <w:tcBorders>
                    <w:right w:val="single" w:color="auto" w:sz="4" w:space="0"/>
                  </w:tcBorders>
                  <w:shd w:val="clear" w:color="auto" w:fill="auto"/>
                  <w:vAlign w:val="center"/>
                </w:tcPr>
                <w:p w14:paraId="6274B9C4">
                  <w:pPr>
                    <w:adjustRightInd w:val="0"/>
                    <w:snapToGrid w:val="0"/>
                    <w:spacing w:line="280" w:lineRule="exact"/>
                    <w:rPr>
                      <w:szCs w:val="21"/>
                    </w:rPr>
                  </w:pPr>
                  <w:r>
                    <w:rPr>
                      <w:rFonts w:hint="eastAsia"/>
                      <w:szCs w:val="21"/>
                    </w:rPr>
                    <w:t>厂房东侧外已建成一般工业固体废物暂存间，面积约25m</w:t>
                  </w:r>
                  <w:r>
                    <w:rPr>
                      <w:rFonts w:hint="eastAsia"/>
                      <w:szCs w:val="21"/>
                      <w:vertAlign w:val="superscript"/>
                    </w:rPr>
                    <w:t>2</w:t>
                  </w:r>
                  <w:r>
                    <w:rPr>
                      <w:rFonts w:hint="eastAsia"/>
                      <w:szCs w:val="21"/>
                    </w:rPr>
                    <w:t>，主要储存一般工业固体废物；</w:t>
                  </w:r>
                </w:p>
              </w:tc>
            </w:tr>
            <w:tr w14:paraId="63534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0EFB457B">
                  <w:pPr>
                    <w:spacing w:line="280" w:lineRule="exact"/>
                    <w:jc w:val="center"/>
                    <w:rPr>
                      <w:szCs w:val="21"/>
                    </w:rPr>
                  </w:pPr>
                </w:p>
              </w:tc>
              <w:tc>
                <w:tcPr>
                  <w:tcW w:w="772" w:type="pct"/>
                  <w:vMerge w:val="continue"/>
                  <w:shd w:val="clear" w:color="auto" w:fill="auto"/>
                  <w:vAlign w:val="center"/>
                </w:tcPr>
                <w:p w14:paraId="0D0FB5B7">
                  <w:pPr>
                    <w:adjustRightInd w:val="0"/>
                    <w:snapToGrid w:val="0"/>
                    <w:spacing w:line="280" w:lineRule="exact"/>
                    <w:jc w:val="center"/>
                    <w:rPr>
                      <w:szCs w:val="21"/>
                    </w:rPr>
                  </w:pPr>
                </w:p>
              </w:tc>
              <w:tc>
                <w:tcPr>
                  <w:tcW w:w="3654" w:type="pct"/>
                  <w:tcBorders>
                    <w:right w:val="single" w:color="auto" w:sz="4" w:space="0"/>
                  </w:tcBorders>
                  <w:shd w:val="clear" w:color="auto" w:fill="auto"/>
                  <w:vAlign w:val="center"/>
                </w:tcPr>
                <w:p w14:paraId="31601384">
                  <w:pPr>
                    <w:adjustRightInd w:val="0"/>
                    <w:snapToGrid w:val="0"/>
                    <w:spacing w:line="280" w:lineRule="exact"/>
                    <w:rPr>
                      <w:szCs w:val="21"/>
                    </w:rPr>
                  </w:pPr>
                  <w:r>
                    <w:rPr>
                      <w:rFonts w:hint="eastAsia"/>
                      <w:szCs w:val="21"/>
                    </w:rPr>
                    <w:t>在厂房东侧外已建成危险废物暂存间，面积约25m</w:t>
                  </w:r>
                  <w:r>
                    <w:rPr>
                      <w:rFonts w:hint="eastAsia"/>
                      <w:szCs w:val="21"/>
                      <w:vertAlign w:val="superscript"/>
                    </w:rPr>
                    <w:t>2</w:t>
                  </w:r>
                  <w:r>
                    <w:rPr>
                      <w:rFonts w:hint="eastAsia"/>
                      <w:szCs w:val="21"/>
                    </w:rPr>
                    <w:t>，主要储存危险废物等，危险废物分类收集后交由具有危废处理资质的单位处置；</w:t>
                  </w:r>
                </w:p>
              </w:tc>
            </w:tr>
            <w:tr w14:paraId="0D6B6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74" w:type="pct"/>
                  <w:vMerge w:val="continue"/>
                  <w:shd w:val="clear" w:color="auto" w:fill="auto"/>
                  <w:vAlign w:val="center"/>
                </w:tcPr>
                <w:p w14:paraId="2DEDB478">
                  <w:pPr>
                    <w:spacing w:line="280" w:lineRule="exact"/>
                    <w:jc w:val="center"/>
                    <w:rPr>
                      <w:szCs w:val="21"/>
                    </w:rPr>
                  </w:pPr>
                </w:p>
              </w:tc>
              <w:tc>
                <w:tcPr>
                  <w:tcW w:w="772" w:type="pct"/>
                  <w:vMerge w:val="continue"/>
                  <w:shd w:val="clear" w:color="auto" w:fill="auto"/>
                  <w:vAlign w:val="center"/>
                </w:tcPr>
                <w:p w14:paraId="4521F7AA">
                  <w:pPr>
                    <w:adjustRightInd w:val="0"/>
                    <w:snapToGrid w:val="0"/>
                    <w:spacing w:line="280" w:lineRule="exact"/>
                    <w:ind w:left="-100" w:leftChars="-66" w:right="-86" w:rightChars="-41" w:hanging="39" w:hangingChars="19"/>
                    <w:jc w:val="center"/>
                    <w:rPr>
                      <w:szCs w:val="21"/>
                    </w:rPr>
                  </w:pPr>
                </w:p>
              </w:tc>
              <w:tc>
                <w:tcPr>
                  <w:tcW w:w="3654" w:type="pct"/>
                  <w:tcBorders>
                    <w:right w:val="single" w:color="auto" w:sz="4" w:space="0"/>
                  </w:tcBorders>
                  <w:shd w:val="clear" w:color="auto" w:fill="auto"/>
                  <w:vAlign w:val="center"/>
                </w:tcPr>
                <w:p w14:paraId="1B424AD0">
                  <w:pPr>
                    <w:adjustRightInd w:val="0"/>
                    <w:snapToGrid w:val="0"/>
                    <w:spacing w:line="280" w:lineRule="exact"/>
                    <w:rPr>
                      <w:szCs w:val="21"/>
                    </w:rPr>
                  </w:pPr>
                  <w:r>
                    <w:rPr>
                      <w:rFonts w:hint="eastAsia"/>
                      <w:szCs w:val="21"/>
                    </w:rPr>
                    <w:t>厂区内已建成生活垃圾收集箱，生活垃圾经收集后交当地环卫部门处置</w:t>
                  </w:r>
                </w:p>
              </w:tc>
            </w:tr>
          </w:tbl>
          <w:p w14:paraId="5A1D12AA">
            <w:pPr>
              <w:adjustRightInd w:val="0"/>
              <w:snapToGrid w:val="0"/>
              <w:spacing w:line="440" w:lineRule="exact"/>
              <w:ind w:firstLine="720" w:firstLineChars="300"/>
              <w:jc w:val="left"/>
              <w:rPr>
                <w:bCs/>
                <w:sz w:val="24"/>
              </w:rPr>
            </w:pPr>
            <w:r>
              <w:rPr>
                <w:bCs/>
                <w:sz w:val="24"/>
              </w:rPr>
              <w:t>2）现有工程污染物实际排放量</w:t>
            </w:r>
          </w:p>
          <w:p w14:paraId="7CE623D5">
            <w:pPr>
              <w:adjustRightInd w:val="0"/>
              <w:snapToGrid w:val="0"/>
              <w:spacing w:line="440" w:lineRule="exact"/>
              <w:ind w:firstLine="480" w:firstLineChars="200"/>
              <w:rPr>
                <w:bCs/>
                <w:sz w:val="24"/>
              </w:rPr>
            </w:pPr>
            <w:r>
              <w:rPr>
                <w:bCs/>
                <w:sz w:val="24"/>
              </w:rPr>
              <w:t>本评价利用</w:t>
            </w:r>
            <w:r>
              <w:rPr>
                <w:rFonts w:hint="eastAsia"/>
                <w:bCs/>
                <w:sz w:val="24"/>
              </w:rPr>
              <w:t>《重庆渝湘精密机械有限公司年产500万件铝合金汽车压铸件项目（一阶段）竣工环境保护验收监测报告表》及其监测报告</w:t>
            </w:r>
            <w:r>
              <w:rPr>
                <w:bCs/>
                <w:sz w:val="24"/>
              </w:rPr>
              <w:t>“</w:t>
            </w:r>
            <w:r>
              <w:rPr>
                <w:rFonts w:hint="eastAsia"/>
                <w:bCs/>
                <w:sz w:val="24"/>
              </w:rPr>
              <w:t>厦美【2021】第YS98号</w:t>
            </w:r>
            <w:r>
              <w:rPr>
                <w:bCs/>
                <w:sz w:val="24"/>
              </w:rPr>
              <w:t>”进行污染物排放量核算。</w:t>
            </w:r>
          </w:p>
          <w:p w14:paraId="2DFDE9A5">
            <w:pPr>
              <w:adjustRightInd w:val="0"/>
              <w:snapToGrid w:val="0"/>
              <w:spacing w:line="440" w:lineRule="exact"/>
              <w:ind w:firstLine="480" w:firstLineChars="200"/>
              <w:rPr>
                <w:snapToGrid w:val="0"/>
                <w:kern w:val="0"/>
                <w:sz w:val="24"/>
              </w:rPr>
            </w:pPr>
            <w:r>
              <w:rPr>
                <w:bCs/>
                <w:sz w:val="24"/>
              </w:rPr>
              <w:t>现有工程</w:t>
            </w:r>
            <w:r>
              <w:rPr>
                <w:rFonts w:hint="eastAsia"/>
                <w:bCs/>
                <w:sz w:val="24"/>
              </w:rPr>
              <w:t>各排气筒有组织废气执行《铸造工业大气污染物排放标准》（GB39726-2020）表1标准，厂界无组织排放监控点的非甲烷总烃、颗粒物执行《大气污染物综合排放标准》（DB50/418-2016）。</w:t>
            </w:r>
          </w:p>
          <w:p w14:paraId="7E98739F">
            <w:pPr>
              <w:adjustRightInd w:val="0"/>
              <w:snapToGrid w:val="0"/>
              <w:spacing w:line="440" w:lineRule="exact"/>
              <w:ind w:firstLine="480" w:firstLineChars="200"/>
              <w:rPr>
                <w:bCs/>
                <w:sz w:val="24"/>
              </w:rPr>
            </w:pPr>
            <w:r>
              <w:rPr>
                <w:rFonts w:hint="eastAsia"/>
                <w:snapToGrid w:val="0"/>
                <w:kern w:val="0"/>
                <w:sz w:val="24"/>
              </w:rPr>
              <w:t>根据现有工程环保验收监测报告，</w:t>
            </w:r>
            <w:r>
              <w:rPr>
                <w:rFonts w:hint="eastAsia"/>
                <w:bCs/>
                <w:sz w:val="24"/>
              </w:rPr>
              <w:t>现有</w:t>
            </w:r>
            <w:r>
              <w:rPr>
                <w:bCs/>
                <w:sz w:val="24"/>
              </w:rPr>
              <w:t>工程</w:t>
            </w:r>
            <w:r>
              <w:rPr>
                <w:rFonts w:hint="eastAsia"/>
                <w:bCs/>
                <w:sz w:val="24"/>
              </w:rPr>
              <w:t>保温炉排气筒污染物满足《铸造工业大气污染物排放标准》（GB39726-2020）表1标准，清理及抛丸废气排气筒污染物满足《铸造工业大气污染物排放标准》（GB39726-2020）表1标准，厂界无组织无组织排放的颗粒物和非甲烷总烃排放浓度均满足《大气污染物综合排放标准》DB 50/418-2016 表1标准限值要求；厂区污水处理站出口水质满足</w:t>
            </w:r>
            <w:r>
              <w:rPr>
                <w:rFonts w:hint="eastAsia"/>
                <w:sz w:val="24"/>
              </w:rPr>
              <w:t>《污水综合排放标准》（GB8978-1996）表4中三级排放标准；现有</w:t>
            </w:r>
            <w:r>
              <w:rPr>
                <w:sz w:val="24"/>
              </w:rPr>
              <w:t>工程厂界噪声满足《工业企业厂界环境噪声排放标准》（GB12348-2008）3类标准</w:t>
            </w:r>
            <w:r>
              <w:rPr>
                <w:rFonts w:hint="eastAsia"/>
                <w:sz w:val="24"/>
              </w:rPr>
              <w:t>。</w:t>
            </w:r>
          </w:p>
          <w:p w14:paraId="440D48CD">
            <w:pPr>
              <w:adjustRightInd w:val="0"/>
              <w:snapToGrid w:val="0"/>
              <w:spacing w:line="360" w:lineRule="auto"/>
              <w:ind w:firstLine="480" w:firstLineChars="200"/>
              <w:rPr>
                <w:bCs/>
                <w:sz w:val="24"/>
              </w:rPr>
            </w:pPr>
            <w:r>
              <w:rPr>
                <w:bCs/>
                <w:sz w:val="24"/>
              </w:rPr>
              <w:t>现有工程污染物实际排放量核算结果见表2-9~表2-11</w:t>
            </w:r>
            <w:r>
              <w:rPr>
                <w:rFonts w:hint="eastAsia"/>
                <w:bCs/>
                <w:sz w:val="24"/>
              </w:rPr>
              <w:t>。</w:t>
            </w:r>
          </w:p>
          <w:p w14:paraId="78F01101">
            <w:pPr>
              <w:spacing w:line="360" w:lineRule="auto"/>
              <w:jc w:val="center"/>
              <w:rPr>
                <w:sz w:val="24"/>
              </w:rPr>
            </w:pPr>
            <w:r>
              <w:rPr>
                <w:sz w:val="24"/>
              </w:rPr>
              <w:t>表2-9  现有项目废气排放情况统计一览表</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592"/>
              <w:gridCol w:w="585"/>
              <w:gridCol w:w="597"/>
              <w:gridCol w:w="1221"/>
              <w:gridCol w:w="651"/>
              <w:gridCol w:w="523"/>
              <w:gridCol w:w="913"/>
              <w:gridCol w:w="1183"/>
              <w:gridCol w:w="670"/>
              <w:gridCol w:w="668"/>
            </w:tblGrid>
            <w:tr w14:paraId="5A14C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480" w:type="pct"/>
                  <w:vMerge w:val="restart"/>
                  <w:tcBorders>
                    <w:left w:val="single" w:color="auto" w:sz="4" w:space="0"/>
                  </w:tcBorders>
                  <w:vAlign w:val="center"/>
                </w:tcPr>
                <w:p w14:paraId="07704143">
                  <w:pPr>
                    <w:spacing w:line="280" w:lineRule="exact"/>
                    <w:ind w:left="-63" w:leftChars="-30" w:right="-63" w:rightChars="-30"/>
                    <w:jc w:val="center"/>
                    <w:rPr>
                      <w:szCs w:val="21"/>
                    </w:rPr>
                  </w:pPr>
                  <w:r>
                    <w:rPr>
                      <w:szCs w:val="21"/>
                    </w:rPr>
                    <w:t>排污口编号</w:t>
                  </w:r>
                </w:p>
              </w:tc>
              <w:tc>
                <w:tcPr>
                  <w:tcW w:w="352" w:type="pct"/>
                  <w:vMerge w:val="restart"/>
                  <w:tcBorders>
                    <w:right w:val="single" w:color="auto" w:sz="4" w:space="0"/>
                  </w:tcBorders>
                  <w:vAlign w:val="center"/>
                </w:tcPr>
                <w:p w14:paraId="088AA6E4">
                  <w:pPr>
                    <w:spacing w:line="280" w:lineRule="exact"/>
                    <w:ind w:left="-63" w:leftChars="-30" w:right="-63" w:rightChars="-30"/>
                    <w:jc w:val="center"/>
                    <w:rPr>
                      <w:szCs w:val="21"/>
                    </w:rPr>
                  </w:pPr>
                  <w:r>
                    <w:rPr>
                      <w:szCs w:val="21"/>
                    </w:rPr>
                    <w:t>排放口名称</w:t>
                  </w:r>
                </w:p>
              </w:tc>
              <w:tc>
                <w:tcPr>
                  <w:tcW w:w="348" w:type="pct"/>
                  <w:vMerge w:val="restart"/>
                  <w:tcBorders>
                    <w:left w:val="single" w:color="auto" w:sz="4" w:space="0"/>
                  </w:tcBorders>
                  <w:vAlign w:val="center"/>
                </w:tcPr>
                <w:p w14:paraId="6403CE7B">
                  <w:pPr>
                    <w:spacing w:line="280" w:lineRule="exact"/>
                    <w:ind w:left="-63" w:leftChars="-30" w:right="-63" w:rightChars="-30"/>
                    <w:jc w:val="center"/>
                    <w:rPr>
                      <w:szCs w:val="21"/>
                    </w:rPr>
                  </w:pPr>
                  <w:r>
                    <w:rPr>
                      <w:szCs w:val="21"/>
                    </w:rPr>
                    <w:t>污染源</w:t>
                  </w:r>
                </w:p>
              </w:tc>
              <w:tc>
                <w:tcPr>
                  <w:tcW w:w="355" w:type="pct"/>
                  <w:vMerge w:val="restart"/>
                  <w:tcBorders>
                    <w:right w:val="single" w:color="auto" w:sz="4" w:space="0"/>
                  </w:tcBorders>
                  <w:vAlign w:val="center"/>
                </w:tcPr>
                <w:p w14:paraId="45DA1BD9">
                  <w:pPr>
                    <w:spacing w:line="280" w:lineRule="exact"/>
                    <w:ind w:left="-63" w:leftChars="-30" w:right="-63" w:rightChars="-30"/>
                    <w:jc w:val="center"/>
                    <w:rPr>
                      <w:szCs w:val="21"/>
                    </w:rPr>
                  </w:pPr>
                  <w:r>
                    <w:rPr>
                      <w:szCs w:val="21"/>
                    </w:rPr>
                    <w:t>污染物</w:t>
                  </w:r>
                </w:p>
              </w:tc>
              <w:tc>
                <w:tcPr>
                  <w:tcW w:w="1424" w:type="pct"/>
                  <w:gridSpan w:val="3"/>
                  <w:tcBorders>
                    <w:left w:val="single" w:color="auto" w:sz="4" w:space="0"/>
                    <w:bottom w:val="single" w:color="auto" w:sz="4" w:space="0"/>
                    <w:right w:val="single" w:color="auto" w:sz="4" w:space="0"/>
                  </w:tcBorders>
                  <w:vAlign w:val="center"/>
                </w:tcPr>
                <w:p w14:paraId="279FBAFA">
                  <w:pPr>
                    <w:spacing w:line="280" w:lineRule="exact"/>
                    <w:ind w:left="-63" w:leftChars="-30" w:right="-63" w:rightChars="-30"/>
                    <w:jc w:val="center"/>
                    <w:rPr>
                      <w:szCs w:val="21"/>
                    </w:rPr>
                  </w:pPr>
                  <w:r>
                    <w:rPr>
                      <w:szCs w:val="21"/>
                    </w:rPr>
                    <w:t>排放限值</w:t>
                  </w:r>
                </w:p>
              </w:tc>
              <w:tc>
                <w:tcPr>
                  <w:tcW w:w="2041" w:type="pct"/>
                  <w:gridSpan w:val="4"/>
                  <w:tcBorders>
                    <w:left w:val="single" w:color="auto" w:sz="4" w:space="0"/>
                    <w:bottom w:val="single" w:color="auto" w:sz="4" w:space="0"/>
                  </w:tcBorders>
                </w:tcPr>
                <w:p w14:paraId="115F727D">
                  <w:pPr>
                    <w:spacing w:line="280" w:lineRule="exact"/>
                    <w:ind w:left="-63" w:leftChars="-30" w:right="-63" w:rightChars="-30"/>
                    <w:jc w:val="center"/>
                    <w:rPr>
                      <w:szCs w:val="21"/>
                    </w:rPr>
                  </w:pPr>
                  <w:r>
                    <w:rPr>
                      <w:szCs w:val="21"/>
                    </w:rPr>
                    <w:t>核算排放量t/a</w:t>
                  </w:r>
                </w:p>
              </w:tc>
            </w:tr>
            <w:tr w14:paraId="4B5B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0" w:type="pct"/>
                  <w:vMerge w:val="continue"/>
                  <w:tcBorders>
                    <w:left w:val="single" w:color="auto" w:sz="4" w:space="0"/>
                  </w:tcBorders>
                  <w:vAlign w:val="center"/>
                </w:tcPr>
                <w:p w14:paraId="4A1A2193">
                  <w:pPr>
                    <w:spacing w:line="280" w:lineRule="exact"/>
                    <w:ind w:left="-63" w:leftChars="-30" w:right="-63" w:rightChars="-30"/>
                    <w:jc w:val="center"/>
                    <w:rPr>
                      <w:szCs w:val="21"/>
                    </w:rPr>
                  </w:pPr>
                </w:p>
              </w:tc>
              <w:tc>
                <w:tcPr>
                  <w:tcW w:w="352" w:type="pct"/>
                  <w:vMerge w:val="continue"/>
                  <w:tcBorders>
                    <w:right w:val="single" w:color="auto" w:sz="4" w:space="0"/>
                  </w:tcBorders>
                  <w:vAlign w:val="center"/>
                </w:tcPr>
                <w:p w14:paraId="6E91FA22">
                  <w:pPr>
                    <w:spacing w:line="280" w:lineRule="exact"/>
                    <w:ind w:left="-63" w:leftChars="-30" w:right="-63" w:rightChars="-30"/>
                    <w:jc w:val="center"/>
                    <w:rPr>
                      <w:szCs w:val="21"/>
                    </w:rPr>
                  </w:pPr>
                </w:p>
              </w:tc>
              <w:tc>
                <w:tcPr>
                  <w:tcW w:w="348" w:type="pct"/>
                  <w:vMerge w:val="continue"/>
                  <w:tcBorders>
                    <w:left w:val="single" w:color="auto" w:sz="4" w:space="0"/>
                  </w:tcBorders>
                  <w:vAlign w:val="center"/>
                </w:tcPr>
                <w:p w14:paraId="0955632A">
                  <w:pPr>
                    <w:spacing w:line="280" w:lineRule="exact"/>
                    <w:ind w:left="-63" w:leftChars="-30" w:right="-63" w:rightChars="-30"/>
                    <w:jc w:val="center"/>
                    <w:rPr>
                      <w:szCs w:val="21"/>
                    </w:rPr>
                  </w:pPr>
                </w:p>
              </w:tc>
              <w:tc>
                <w:tcPr>
                  <w:tcW w:w="355" w:type="pct"/>
                  <w:vMerge w:val="continue"/>
                  <w:tcBorders>
                    <w:right w:val="single" w:color="auto" w:sz="4" w:space="0"/>
                  </w:tcBorders>
                  <w:vAlign w:val="center"/>
                </w:tcPr>
                <w:p w14:paraId="2AF5E849">
                  <w:pPr>
                    <w:spacing w:line="280" w:lineRule="exact"/>
                    <w:ind w:left="-63" w:leftChars="-30" w:right="-63" w:rightChars="-30"/>
                    <w:jc w:val="center"/>
                    <w:rPr>
                      <w:szCs w:val="21"/>
                    </w:rPr>
                  </w:pPr>
                </w:p>
              </w:tc>
              <w:tc>
                <w:tcPr>
                  <w:tcW w:w="726" w:type="pct"/>
                  <w:tcBorders>
                    <w:top w:val="single" w:color="auto" w:sz="4" w:space="0"/>
                    <w:left w:val="single" w:color="auto" w:sz="4" w:space="0"/>
                    <w:right w:val="single" w:color="auto" w:sz="4" w:space="0"/>
                  </w:tcBorders>
                  <w:vAlign w:val="center"/>
                </w:tcPr>
                <w:p w14:paraId="45CC99C4">
                  <w:pPr>
                    <w:spacing w:line="280" w:lineRule="exact"/>
                    <w:ind w:left="-63" w:leftChars="-30" w:right="-63" w:rightChars="-30"/>
                    <w:jc w:val="center"/>
                    <w:rPr>
                      <w:szCs w:val="21"/>
                      <w:vertAlign w:val="superscript"/>
                    </w:rPr>
                  </w:pPr>
                  <w:r>
                    <w:rPr>
                      <w:szCs w:val="21"/>
                    </w:rPr>
                    <w:t>标准名称</w:t>
                  </w:r>
                </w:p>
              </w:tc>
              <w:tc>
                <w:tcPr>
                  <w:tcW w:w="387" w:type="pct"/>
                  <w:tcBorders>
                    <w:top w:val="single" w:color="auto" w:sz="4" w:space="0"/>
                    <w:left w:val="single" w:color="auto" w:sz="4" w:space="0"/>
                    <w:right w:val="single" w:color="auto" w:sz="4" w:space="0"/>
                  </w:tcBorders>
                  <w:vAlign w:val="center"/>
                </w:tcPr>
                <w:p w14:paraId="6D2A26F8">
                  <w:pPr>
                    <w:spacing w:line="280" w:lineRule="exact"/>
                    <w:ind w:left="-63" w:leftChars="-30" w:right="-63" w:rightChars="-30"/>
                    <w:jc w:val="center"/>
                    <w:rPr>
                      <w:szCs w:val="21"/>
                    </w:rPr>
                  </w:pPr>
                  <w:r>
                    <w:rPr>
                      <w:szCs w:val="21"/>
                    </w:rPr>
                    <w:t>浓度</w:t>
                  </w:r>
                </w:p>
                <w:p w14:paraId="0B7D84BF">
                  <w:pPr>
                    <w:spacing w:line="280" w:lineRule="exact"/>
                    <w:ind w:left="-63" w:leftChars="-30" w:right="-63" w:rightChars="-30"/>
                    <w:jc w:val="center"/>
                    <w:rPr>
                      <w:szCs w:val="21"/>
                      <w:vertAlign w:val="superscript"/>
                    </w:rPr>
                  </w:pPr>
                  <w:r>
                    <w:rPr>
                      <w:szCs w:val="21"/>
                    </w:rPr>
                    <w:t>mg/m</w:t>
                  </w:r>
                  <w:r>
                    <w:rPr>
                      <w:szCs w:val="21"/>
                      <w:vertAlign w:val="superscript"/>
                    </w:rPr>
                    <w:t>3</w:t>
                  </w:r>
                </w:p>
              </w:tc>
              <w:tc>
                <w:tcPr>
                  <w:tcW w:w="311" w:type="pct"/>
                  <w:tcBorders>
                    <w:top w:val="single" w:color="auto" w:sz="4" w:space="0"/>
                    <w:left w:val="single" w:color="auto" w:sz="4" w:space="0"/>
                    <w:right w:val="single" w:color="auto" w:sz="4" w:space="0"/>
                  </w:tcBorders>
                  <w:vAlign w:val="center"/>
                </w:tcPr>
                <w:p w14:paraId="42B09482">
                  <w:pPr>
                    <w:spacing w:line="280" w:lineRule="exact"/>
                    <w:ind w:left="-63" w:leftChars="-30" w:right="-63" w:rightChars="-30"/>
                    <w:jc w:val="center"/>
                    <w:rPr>
                      <w:szCs w:val="21"/>
                    </w:rPr>
                  </w:pPr>
                  <w:r>
                    <w:rPr>
                      <w:szCs w:val="21"/>
                    </w:rPr>
                    <w:t>速率kg/h</w:t>
                  </w:r>
                </w:p>
              </w:tc>
              <w:tc>
                <w:tcPr>
                  <w:tcW w:w="543" w:type="pct"/>
                  <w:tcBorders>
                    <w:top w:val="single" w:color="auto" w:sz="4" w:space="0"/>
                    <w:left w:val="single" w:color="auto" w:sz="4" w:space="0"/>
                    <w:right w:val="single" w:color="auto" w:sz="4" w:space="0"/>
                  </w:tcBorders>
                  <w:vAlign w:val="center"/>
                </w:tcPr>
                <w:p w14:paraId="261150F5">
                  <w:pPr>
                    <w:spacing w:line="280" w:lineRule="exact"/>
                    <w:ind w:left="-63" w:leftChars="-30" w:right="-63" w:rightChars="-30"/>
                    <w:jc w:val="center"/>
                    <w:rPr>
                      <w:szCs w:val="21"/>
                    </w:rPr>
                  </w:pPr>
                  <w:r>
                    <w:rPr>
                      <w:szCs w:val="21"/>
                    </w:rPr>
                    <w:t>排放浓度</w:t>
                  </w:r>
                </w:p>
              </w:tc>
              <w:tc>
                <w:tcPr>
                  <w:tcW w:w="703" w:type="pct"/>
                  <w:tcBorders>
                    <w:top w:val="single" w:color="auto" w:sz="4" w:space="0"/>
                    <w:left w:val="single" w:color="auto" w:sz="4" w:space="0"/>
                    <w:right w:val="single" w:color="auto" w:sz="4" w:space="0"/>
                  </w:tcBorders>
                  <w:vAlign w:val="center"/>
                </w:tcPr>
                <w:p w14:paraId="2CC7E469">
                  <w:pPr>
                    <w:spacing w:line="280" w:lineRule="exact"/>
                    <w:ind w:left="-63" w:leftChars="-30" w:right="-63" w:rightChars="-30"/>
                    <w:jc w:val="center"/>
                    <w:rPr>
                      <w:szCs w:val="21"/>
                    </w:rPr>
                  </w:pPr>
                  <w:r>
                    <w:rPr>
                      <w:szCs w:val="21"/>
                    </w:rPr>
                    <w:t>排放速率</w:t>
                  </w:r>
                  <w:r>
                    <w:rPr>
                      <w:rFonts w:hint="eastAsia"/>
                      <w:szCs w:val="21"/>
                    </w:rPr>
                    <w:t>kg/h</w:t>
                  </w:r>
                </w:p>
              </w:tc>
              <w:tc>
                <w:tcPr>
                  <w:tcW w:w="398" w:type="pct"/>
                  <w:tcBorders>
                    <w:top w:val="single" w:color="auto" w:sz="4" w:space="0"/>
                    <w:left w:val="single" w:color="auto" w:sz="4" w:space="0"/>
                    <w:right w:val="single" w:color="auto" w:sz="4" w:space="0"/>
                  </w:tcBorders>
                </w:tcPr>
                <w:p w14:paraId="4C24F8A2">
                  <w:pPr>
                    <w:spacing w:line="280" w:lineRule="exact"/>
                    <w:ind w:left="-63" w:leftChars="-30" w:right="-63" w:rightChars="-30"/>
                    <w:jc w:val="center"/>
                    <w:rPr>
                      <w:szCs w:val="21"/>
                    </w:rPr>
                  </w:pPr>
                  <w:r>
                    <w:rPr>
                      <w:rFonts w:hint="eastAsia"/>
                      <w:szCs w:val="21"/>
                    </w:rPr>
                    <w:t>排放时长h</w:t>
                  </w:r>
                </w:p>
              </w:tc>
              <w:tc>
                <w:tcPr>
                  <w:tcW w:w="397" w:type="pct"/>
                  <w:tcBorders>
                    <w:top w:val="single" w:color="auto" w:sz="4" w:space="0"/>
                    <w:left w:val="single" w:color="auto" w:sz="4" w:space="0"/>
                  </w:tcBorders>
                  <w:vAlign w:val="center"/>
                </w:tcPr>
                <w:p w14:paraId="7E12A8C4">
                  <w:pPr>
                    <w:spacing w:line="280" w:lineRule="exact"/>
                    <w:ind w:left="-63" w:leftChars="-30" w:right="-63" w:rightChars="-30"/>
                    <w:jc w:val="center"/>
                    <w:rPr>
                      <w:szCs w:val="21"/>
                    </w:rPr>
                  </w:pPr>
                  <w:r>
                    <w:rPr>
                      <w:szCs w:val="21"/>
                    </w:rPr>
                    <w:t>排放量</w:t>
                  </w:r>
                </w:p>
              </w:tc>
            </w:tr>
            <w:tr w14:paraId="450E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480" w:type="pct"/>
                  <w:vMerge w:val="restart"/>
                  <w:tcBorders>
                    <w:left w:val="single" w:color="auto" w:sz="4" w:space="0"/>
                  </w:tcBorders>
                  <w:vAlign w:val="center"/>
                </w:tcPr>
                <w:p w14:paraId="068A9306">
                  <w:pPr>
                    <w:widowControl/>
                    <w:jc w:val="center"/>
                    <w:rPr>
                      <w:szCs w:val="21"/>
                    </w:rPr>
                  </w:pPr>
                  <w:r>
                    <w:rPr>
                      <w:rStyle w:val="164"/>
                      <w:rFonts w:hint="default"/>
                      <w:color w:val="auto"/>
                      <w:sz w:val="21"/>
                      <w:szCs w:val="21"/>
                    </w:rPr>
                    <w:t>DA001</w:t>
                  </w:r>
                </w:p>
              </w:tc>
              <w:tc>
                <w:tcPr>
                  <w:tcW w:w="352" w:type="pct"/>
                  <w:vMerge w:val="restart"/>
                  <w:tcBorders>
                    <w:right w:val="single" w:color="auto" w:sz="4" w:space="0"/>
                  </w:tcBorders>
                  <w:vAlign w:val="center"/>
                </w:tcPr>
                <w:p w14:paraId="54514B5D">
                  <w:pPr>
                    <w:spacing w:line="280" w:lineRule="exact"/>
                    <w:ind w:left="-63" w:leftChars="-30" w:right="-63" w:rightChars="-30"/>
                    <w:jc w:val="center"/>
                    <w:rPr>
                      <w:szCs w:val="21"/>
                    </w:rPr>
                  </w:pPr>
                  <w:r>
                    <w:rPr>
                      <w:rFonts w:hint="eastAsia"/>
                      <w:szCs w:val="21"/>
                    </w:rPr>
                    <w:t>铸造</w:t>
                  </w:r>
                </w:p>
                <w:p w14:paraId="5A27704C">
                  <w:pPr>
                    <w:spacing w:line="280" w:lineRule="exact"/>
                    <w:ind w:left="-63" w:leftChars="-30" w:right="-63" w:rightChars="-30"/>
                    <w:jc w:val="center"/>
                    <w:rPr>
                      <w:szCs w:val="21"/>
                    </w:rPr>
                  </w:pPr>
                  <w:r>
                    <w:rPr>
                      <w:rFonts w:hint="eastAsia"/>
                      <w:szCs w:val="21"/>
                    </w:rPr>
                    <w:t>废气</w:t>
                  </w:r>
                </w:p>
                <w:p w14:paraId="5917B4C9">
                  <w:pPr>
                    <w:spacing w:line="280" w:lineRule="exact"/>
                    <w:ind w:left="-63" w:leftChars="-30" w:right="-63" w:rightChars="-30"/>
                    <w:jc w:val="center"/>
                    <w:rPr>
                      <w:szCs w:val="21"/>
                    </w:rPr>
                  </w:pPr>
                  <w:r>
                    <w:rPr>
                      <w:rFonts w:hint="eastAsia"/>
                      <w:szCs w:val="21"/>
                    </w:rPr>
                    <w:t>排放</w:t>
                  </w:r>
                </w:p>
                <w:p w14:paraId="7CFB16A9">
                  <w:pPr>
                    <w:spacing w:line="280" w:lineRule="exact"/>
                    <w:ind w:left="-63" w:leftChars="-30" w:right="-63" w:rightChars="-30"/>
                    <w:jc w:val="center"/>
                    <w:rPr>
                      <w:szCs w:val="21"/>
                    </w:rPr>
                  </w:pPr>
                  <w:r>
                    <w:rPr>
                      <w:rFonts w:hint="eastAsia"/>
                      <w:szCs w:val="21"/>
                    </w:rPr>
                    <w:t>口</w:t>
                  </w:r>
                </w:p>
              </w:tc>
              <w:tc>
                <w:tcPr>
                  <w:tcW w:w="348" w:type="pct"/>
                  <w:vMerge w:val="restart"/>
                  <w:tcBorders>
                    <w:left w:val="single" w:color="auto" w:sz="4" w:space="0"/>
                  </w:tcBorders>
                  <w:vAlign w:val="center"/>
                </w:tcPr>
                <w:p w14:paraId="76920481">
                  <w:pPr>
                    <w:spacing w:line="280" w:lineRule="exact"/>
                    <w:ind w:left="-63" w:leftChars="-30" w:right="-63" w:rightChars="-30"/>
                    <w:jc w:val="center"/>
                    <w:rPr>
                      <w:szCs w:val="21"/>
                    </w:rPr>
                  </w:pPr>
                  <w:r>
                    <w:rPr>
                      <w:rFonts w:hint="eastAsia"/>
                      <w:szCs w:val="21"/>
                    </w:rPr>
                    <w:t>保温炉</w:t>
                  </w:r>
                </w:p>
              </w:tc>
              <w:tc>
                <w:tcPr>
                  <w:tcW w:w="355" w:type="pct"/>
                  <w:tcBorders>
                    <w:bottom w:val="single" w:color="auto" w:sz="4" w:space="0"/>
                    <w:right w:val="single" w:color="auto" w:sz="4" w:space="0"/>
                  </w:tcBorders>
                  <w:vAlign w:val="center"/>
                </w:tcPr>
                <w:p w14:paraId="004D2407">
                  <w:pPr>
                    <w:spacing w:line="280" w:lineRule="exact"/>
                    <w:ind w:left="-63" w:leftChars="-30" w:right="-63" w:rightChars="-30"/>
                    <w:jc w:val="center"/>
                    <w:rPr>
                      <w:szCs w:val="21"/>
                    </w:rPr>
                  </w:pPr>
                  <w:r>
                    <w:rPr>
                      <w:rFonts w:hint="eastAsia"/>
                      <w:szCs w:val="21"/>
                    </w:rPr>
                    <w:t>颗粒物</w:t>
                  </w:r>
                </w:p>
              </w:tc>
              <w:tc>
                <w:tcPr>
                  <w:tcW w:w="726" w:type="pct"/>
                  <w:vMerge w:val="restart"/>
                  <w:tcBorders>
                    <w:left w:val="single" w:color="auto" w:sz="4" w:space="0"/>
                    <w:right w:val="single" w:color="auto" w:sz="4" w:space="0"/>
                  </w:tcBorders>
                  <w:vAlign w:val="center"/>
                </w:tcPr>
                <w:p w14:paraId="1F2D64DC">
                  <w:pPr>
                    <w:spacing w:line="280" w:lineRule="exact"/>
                    <w:ind w:left="-63" w:leftChars="-30" w:right="-63" w:rightChars="-30"/>
                    <w:jc w:val="center"/>
                    <w:rPr>
                      <w:szCs w:val="21"/>
                    </w:rPr>
                  </w:pPr>
                  <w:r>
                    <w:rPr>
                      <w:rFonts w:hint="eastAsia"/>
                      <w:bCs/>
                      <w:szCs w:val="21"/>
                    </w:rPr>
                    <w:t>《铸造工业大气污染物排放标准》（GB39726-2020）</w:t>
                  </w:r>
                </w:p>
              </w:tc>
              <w:tc>
                <w:tcPr>
                  <w:tcW w:w="387" w:type="pct"/>
                  <w:tcBorders>
                    <w:left w:val="single" w:color="auto" w:sz="4" w:space="0"/>
                    <w:right w:val="single" w:color="auto" w:sz="4" w:space="0"/>
                  </w:tcBorders>
                  <w:vAlign w:val="center"/>
                </w:tcPr>
                <w:p w14:paraId="6DD58F25">
                  <w:pPr>
                    <w:spacing w:line="280" w:lineRule="exact"/>
                    <w:ind w:left="-63" w:leftChars="-30" w:right="-63" w:rightChars="-30"/>
                    <w:jc w:val="center"/>
                    <w:rPr>
                      <w:szCs w:val="21"/>
                    </w:rPr>
                  </w:pPr>
                  <w:r>
                    <w:rPr>
                      <w:szCs w:val="21"/>
                    </w:rPr>
                    <w:t>30</w:t>
                  </w:r>
                </w:p>
              </w:tc>
              <w:tc>
                <w:tcPr>
                  <w:tcW w:w="311" w:type="pct"/>
                  <w:tcBorders>
                    <w:left w:val="single" w:color="auto" w:sz="4" w:space="0"/>
                    <w:right w:val="single" w:color="auto" w:sz="4" w:space="0"/>
                  </w:tcBorders>
                  <w:vAlign w:val="center"/>
                </w:tcPr>
                <w:p w14:paraId="16706466">
                  <w:pPr>
                    <w:spacing w:line="280" w:lineRule="exact"/>
                    <w:ind w:left="-63" w:leftChars="-30" w:right="-63" w:rightChars="-30"/>
                    <w:jc w:val="center"/>
                    <w:rPr>
                      <w:szCs w:val="21"/>
                    </w:rPr>
                  </w:pPr>
                  <w:r>
                    <w:rPr>
                      <w:szCs w:val="21"/>
                    </w:rPr>
                    <w:t>/</w:t>
                  </w:r>
                </w:p>
              </w:tc>
              <w:tc>
                <w:tcPr>
                  <w:tcW w:w="543" w:type="pct"/>
                  <w:tcBorders>
                    <w:left w:val="single" w:color="auto" w:sz="4" w:space="0"/>
                    <w:right w:val="single" w:color="auto" w:sz="4" w:space="0"/>
                  </w:tcBorders>
                  <w:vAlign w:val="center"/>
                </w:tcPr>
                <w:p w14:paraId="215285D5">
                  <w:pPr>
                    <w:spacing w:line="280" w:lineRule="exact"/>
                    <w:ind w:left="-63" w:leftChars="-30" w:right="-63" w:rightChars="-30"/>
                    <w:jc w:val="center"/>
                    <w:rPr>
                      <w:szCs w:val="21"/>
                    </w:rPr>
                  </w:pPr>
                  <w:r>
                    <w:rPr>
                      <w:rFonts w:hint="eastAsia"/>
                      <w:szCs w:val="21"/>
                    </w:rPr>
                    <w:t>1</w:t>
                  </w:r>
                  <w:r>
                    <w:rPr>
                      <w:szCs w:val="21"/>
                    </w:rPr>
                    <w:t>3.06</w:t>
                  </w:r>
                </w:p>
              </w:tc>
              <w:tc>
                <w:tcPr>
                  <w:tcW w:w="703" w:type="pct"/>
                  <w:tcBorders>
                    <w:left w:val="single" w:color="auto" w:sz="4" w:space="0"/>
                    <w:right w:val="single" w:color="auto" w:sz="4" w:space="0"/>
                  </w:tcBorders>
                  <w:vAlign w:val="center"/>
                </w:tcPr>
                <w:p w14:paraId="17F06F47">
                  <w:pPr>
                    <w:spacing w:line="320" w:lineRule="exact"/>
                    <w:jc w:val="center"/>
                    <w:rPr>
                      <w:bCs/>
                    </w:rPr>
                  </w:pPr>
                  <w:r>
                    <w:rPr>
                      <w:bCs/>
                    </w:rPr>
                    <w:t>0.16</w:t>
                  </w:r>
                </w:p>
              </w:tc>
              <w:tc>
                <w:tcPr>
                  <w:tcW w:w="398" w:type="pct"/>
                  <w:tcBorders>
                    <w:left w:val="single" w:color="auto" w:sz="4" w:space="0"/>
                    <w:right w:val="single" w:color="auto" w:sz="4" w:space="0"/>
                  </w:tcBorders>
                  <w:vAlign w:val="center"/>
                </w:tcPr>
                <w:p w14:paraId="6AE8C100">
                  <w:pPr>
                    <w:spacing w:line="320" w:lineRule="exact"/>
                    <w:jc w:val="center"/>
                    <w:rPr>
                      <w:bCs/>
                    </w:rPr>
                  </w:pPr>
                  <w:r>
                    <w:rPr>
                      <w:bCs/>
                    </w:rPr>
                    <w:t>36</w:t>
                  </w:r>
                  <w:r>
                    <w:rPr>
                      <w:rFonts w:hint="eastAsia"/>
                      <w:bCs/>
                    </w:rPr>
                    <w:t>00</w:t>
                  </w:r>
                </w:p>
              </w:tc>
              <w:tc>
                <w:tcPr>
                  <w:tcW w:w="397" w:type="pct"/>
                  <w:tcBorders>
                    <w:left w:val="single" w:color="auto" w:sz="4" w:space="0"/>
                  </w:tcBorders>
                  <w:vAlign w:val="center"/>
                </w:tcPr>
                <w:p w14:paraId="74490C23">
                  <w:pPr>
                    <w:spacing w:line="320" w:lineRule="exact"/>
                    <w:jc w:val="center"/>
                    <w:rPr>
                      <w:bCs/>
                    </w:rPr>
                  </w:pPr>
                  <w:r>
                    <w:rPr>
                      <w:bCs/>
                    </w:rPr>
                    <w:t>0.59</w:t>
                  </w:r>
                </w:p>
              </w:tc>
            </w:tr>
            <w:tr w14:paraId="54B3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480" w:type="pct"/>
                  <w:vMerge w:val="continue"/>
                  <w:tcBorders>
                    <w:left w:val="single" w:color="auto" w:sz="4" w:space="0"/>
                  </w:tcBorders>
                  <w:vAlign w:val="center"/>
                </w:tcPr>
                <w:p w14:paraId="2250290E">
                  <w:pPr>
                    <w:widowControl/>
                    <w:jc w:val="center"/>
                    <w:rPr>
                      <w:rStyle w:val="164"/>
                      <w:rFonts w:hint="default"/>
                      <w:color w:val="auto"/>
                      <w:sz w:val="21"/>
                      <w:szCs w:val="21"/>
                    </w:rPr>
                  </w:pPr>
                </w:p>
              </w:tc>
              <w:tc>
                <w:tcPr>
                  <w:tcW w:w="352" w:type="pct"/>
                  <w:vMerge w:val="continue"/>
                  <w:tcBorders>
                    <w:right w:val="single" w:color="auto" w:sz="4" w:space="0"/>
                  </w:tcBorders>
                  <w:vAlign w:val="center"/>
                </w:tcPr>
                <w:p w14:paraId="1CB675D7">
                  <w:pPr>
                    <w:spacing w:line="280" w:lineRule="exact"/>
                    <w:ind w:left="-63" w:leftChars="-30" w:right="-63" w:rightChars="-30"/>
                    <w:jc w:val="center"/>
                    <w:rPr>
                      <w:szCs w:val="21"/>
                    </w:rPr>
                  </w:pPr>
                </w:p>
              </w:tc>
              <w:tc>
                <w:tcPr>
                  <w:tcW w:w="348" w:type="pct"/>
                  <w:vMerge w:val="continue"/>
                  <w:tcBorders>
                    <w:left w:val="single" w:color="auto" w:sz="4" w:space="0"/>
                  </w:tcBorders>
                  <w:vAlign w:val="center"/>
                </w:tcPr>
                <w:p w14:paraId="02BD133B">
                  <w:pPr>
                    <w:spacing w:line="280" w:lineRule="exact"/>
                    <w:ind w:left="-63" w:leftChars="-30" w:right="-63" w:rightChars="-30"/>
                    <w:jc w:val="center"/>
                    <w:rPr>
                      <w:szCs w:val="21"/>
                    </w:rPr>
                  </w:pPr>
                </w:p>
              </w:tc>
              <w:tc>
                <w:tcPr>
                  <w:tcW w:w="355" w:type="pct"/>
                  <w:tcBorders>
                    <w:bottom w:val="single" w:color="auto" w:sz="4" w:space="0"/>
                    <w:right w:val="single" w:color="auto" w:sz="4" w:space="0"/>
                  </w:tcBorders>
                  <w:vAlign w:val="center"/>
                </w:tcPr>
                <w:p w14:paraId="7A35FD6C">
                  <w:pPr>
                    <w:spacing w:line="280" w:lineRule="exact"/>
                    <w:ind w:left="-63" w:leftChars="-30" w:right="-63" w:rightChars="-30"/>
                    <w:jc w:val="center"/>
                    <w:rPr>
                      <w:szCs w:val="21"/>
                    </w:rPr>
                  </w:pPr>
                  <w:r>
                    <w:rPr>
                      <w:rFonts w:hint="eastAsia"/>
                      <w:szCs w:val="21"/>
                    </w:rPr>
                    <w:t>S</w:t>
                  </w:r>
                  <w:r>
                    <w:rPr>
                      <w:szCs w:val="21"/>
                    </w:rPr>
                    <w:t>O</w:t>
                  </w:r>
                  <w:r>
                    <w:rPr>
                      <w:szCs w:val="21"/>
                      <w:vertAlign w:val="subscript"/>
                    </w:rPr>
                    <w:t>2</w:t>
                  </w:r>
                </w:p>
              </w:tc>
              <w:tc>
                <w:tcPr>
                  <w:tcW w:w="726" w:type="pct"/>
                  <w:vMerge w:val="continue"/>
                  <w:tcBorders>
                    <w:left w:val="single" w:color="auto" w:sz="4" w:space="0"/>
                    <w:right w:val="single" w:color="auto" w:sz="4" w:space="0"/>
                  </w:tcBorders>
                  <w:vAlign w:val="center"/>
                </w:tcPr>
                <w:p w14:paraId="052711ED">
                  <w:pPr>
                    <w:spacing w:line="280" w:lineRule="exact"/>
                    <w:ind w:left="-63" w:leftChars="-30" w:right="-63" w:rightChars="-30"/>
                    <w:jc w:val="center"/>
                    <w:rPr>
                      <w:bCs/>
                      <w:szCs w:val="21"/>
                    </w:rPr>
                  </w:pPr>
                </w:p>
              </w:tc>
              <w:tc>
                <w:tcPr>
                  <w:tcW w:w="387" w:type="pct"/>
                  <w:tcBorders>
                    <w:left w:val="single" w:color="auto" w:sz="4" w:space="0"/>
                    <w:right w:val="single" w:color="auto" w:sz="4" w:space="0"/>
                  </w:tcBorders>
                  <w:vAlign w:val="center"/>
                </w:tcPr>
                <w:p w14:paraId="56AC2804">
                  <w:pPr>
                    <w:spacing w:line="320" w:lineRule="exact"/>
                    <w:jc w:val="center"/>
                    <w:rPr>
                      <w:bCs/>
                    </w:rPr>
                  </w:pPr>
                  <w:r>
                    <w:rPr>
                      <w:bCs/>
                    </w:rPr>
                    <w:t>100</w:t>
                  </w:r>
                </w:p>
              </w:tc>
              <w:tc>
                <w:tcPr>
                  <w:tcW w:w="311" w:type="pct"/>
                  <w:tcBorders>
                    <w:left w:val="single" w:color="auto" w:sz="4" w:space="0"/>
                    <w:right w:val="single" w:color="auto" w:sz="4" w:space="0"/>
                  </w:tcBorders>
                  <w:vAlign w:val="center"/>
                </w:tcPr>
                <w:p w14:paraId="41726C5B">
                  <w:pPr>
                    <w:spacing w:line="280" w:lineRule="exact"/>
                    <w:ind w:left="-63" w:leftChars="-30" w:right="-63" w:rightChars="-30"/>
                    <w:jc w:val="center"/>
                    <w:rPr>
                      <w:szCs w:val="21"/>
                    </w:rPr>
                  </w:pPr>
                  <w:r>
                    <w:rPr>
                      <w:szCs w:val="21"/>
                    </w:rPr>
                    <w:t>/</w:t>
                  </w:r>
                </w:p>
              </w:tc>
              <w:tc>
                <w:tcPr>
                  <w:tcW w:w="543" w:type="pct"/>
                  <w:tcBorders>
                    <w:left w:val="single" w:color="auto" w:sz="4" w:space="0"/>
                    <w:right w:val="single" w:color="auto" w:sz="4" w:space="0"/>
                  </w:tcBorders>
                  <w:vAlign w:val="center"/>
                </w:tcPr>
                <w:p w14:paraId="4E9B6A1E">
                  <w:pPr>
                    <w:spacing w:line="280" w:lineRule="exact"/>
                    <w:ind w:left="-63" w:leftChars="-30" w:right="-63" w:rightChars="-30"/>
                    <w:jc w:val="center"/>
                    <w:rPr>
                      <w:szCs w:val="21"/>
                    </w:rPr>
                  </w:pPr>
                  <w:r>
                    <w:rPr>
                      <w:rFonts w:hint="eastAsia"/>
                      <w:szCs w:val="21"/>
                    </w:rPr>
                    <w:t>9</w:t>
                  </w:r>
                  <w:r>
                    <w:rPr>
                      <w:szCs w:val="21"/>
                    </w:rPr>
                    <w:t>.83</w:t>
                  </w:r>
                </w:p>
              </w:tc>
              <w:tc>
                <w:tcPr>
                  <w:tcW w:w="703" w:type="pct"/>
                  <w:tcBorders>
                    <w:left w:val="single" w:color="auto" w:sz="4" w:space="0"/>
                    <w:right w:val="single" w:color="auto" w:sz="4" w:space="0"/>
                  </w:tcBorders>
                  <w:vAlign w:val="center"/>
                </w:tcPr>
                <w:p w14:paraId="4F9255ED">
                  <w:pPr>
                    <w:spacing w:line="320" w:lineRule="exact"/>
                    <w:jc w:val="center"/>
                    <w:rPr>
                      <w:bCs/>
                    </w:rPr>
                  </w:pPr>
                  <w:r>
                    <w:rPr>
                      <w:rFonts w:hint="eastAsia"/>
                      <w:bCs/>
                    </w:rPr>
                    <w:t>0</w:t>
                  </w:r>
                  <w:r>
                    <w:rPr>
                      <w:bCs/>
                    </w:rPr>
                    <w:t>.124</w:t>
                  </w:r>
                </w:p>
              </w:tc>
              <w:tc>
                <w:tcPr>
                  <w:tcW w:w="398" w:type="pct"/>
                  <w:tcBorders>
                    <w:left w:val="single" w:color="auto" w:sz="4" w:space="0"/>
                    <w:right w:val="single" w:color="auto" w:sz="4" w:space="0"/>
                  </w:tcBorders>
                  <w:vAlign w:val="center"/>
                </w:tcPr>
                <w:p w14:paraId="371414C6">
                  <w:pPr>
                    <w:spacing w:line="320" w:lineRule="exact"/>
                    <w:jc w:val="center"/>
                    <w:rPr>
                      <w:bCs/>
                    </w:rPr>
                  </w:pPr>
                  <w:r>
                    <w:rPr>
                      <w:bCs/>
                    </w:rPr>
                    <w:t>36</w:t>
                  </w:r>
                  <w:r>
                    <w:rPr>
                      <w:rFonts w:hint="eastAsia"/>
                      <w:bCs/>
                    </w:rPr>
                    <w:t>00</w:t>
                  </w:r>
                </w:p>
              </w:tc>
              <w:tc>
                <w:tcPr>
                  <w:tcW w:w="397" w:type="pct"/>
                  <w:tcBorders>
                    <w:left w:val="single" w:color="auto" w:sz="4" w:space="0"/>
                  </w:tcBorders>
                  <w:vAlign w:val="center"/>
                </w:tcPr>
                <w:p w14:paraId="16D4DBD6">
                  <w:pPr>
                    <w:spacing w:line="320" w:lineRule="exact"/>
                    <w:jc w:val="center"/>
                    <w:rPr>
                      <w:bCs/>
                    </w:rPr>
                  </w:pPr>
                  <w:r>
                    <w:rPr>
                      <w:bCs/>
                    </w:rPr>
                    <w:t>0.45</w:t>
                  </w:r>
                </w:p>
              </w:tc>
            </w:tr>
            <w:tr w14:paraId="1DF5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480" w:type="pct"/>
                  <w:vMerge w:val="continue"/>
                  <w:tcBorders>
                    <w:left w:val="single" w:color="auto" w:sz="4" w:space="0"/>
                  </w:tcBorders>
                  <w:vAlign w:val="center"/>
                </w:tcPr>
                <w:p w14:paraId="2DB4D440">
                  <w:pPr>
                    <w:widowControl/>
                    <w:jc w:val="center"/>
                    <w:rPr>
                      <w:rStyle w:val="164"/>
                      <w:rFonts w:hint="default"/>
                      <w:color w:val="auto"/>
                      <w:sz w:val="21"/>
                      <w:szCs w:val="21"/>
                    </w:rPr>
                  </w:pPr>
                </w:p>
              </w:tc>
              <w:tc>
                <w:tcPr>
                  <w:tcW w:w="352" w:type="pct"/>
                  <w:vMerge w:val="continue"/>
                  <w:tcBorders>
                    <w:right w:val="single" w:color="auto" w:sz="4" w:space="0"/>
                  </w:tcBorders>
                  <w:vAlign w:val="center"/>
                </w:tcPr>
                <w:p w14:paraId="5A58E11B">
                  <w:pPr>
                    <w:spacing w:line="280" w:lineRule="exact"/>
                    <w:ind w:left="-63" w:leftChars="-30" w:right="-63" w:rightChars="-30"/>
                    <w:jc w:val="center"/>
                    <w:rPr>
                      <w:szCs w:val="21"/>
                    </w:rPr>
                  </w:pPr>
                </w:p>
              </w:tc>
              <w:tc>
                <w:tcPr>
                  <w:tcW w:w="348" w:type="pct"/>
                  <w:vMerge w:val="continue"/>
                  <w:tcBorders>
                    <w:left w:val="single" w:color="auto" w:sz="4" w:space="0"/>
                  </w:tcBorders>
                  <w:vAlign w:val="center"/>
                </w:tcPr>
                <w:p w14:paraId="383395B6">
                  <w:pPr>
                    <w:spacing w:line="280" w:lineRule="exact"/>
                    <w:ind w:left="-63" w:leftChars="-30" w:right="-63" w:rightChars="-30"/>
                    <w:jc w:val="center"/>
                    <w:rPr>
                      <w:szCs w:val="21"/>
                    </w:rPr>
                  </w:pPr>
                </w:p>
              </w:tc>
              <w:tc>
                <w:tcPr>
                  <w:tcW w:w="355" w:type="pct"/>
                  <w:tcBorders>
                    <w:bottom w:val="single" w:color="auto" w:sz="4" w:space="0"/>
                    <w:right w:val="single" w:color="auto" w:sz="4" w:space="0"/>
                  </w:tcBorders>
                  <w:vAlign w:val="center"/>
                </w:tcPr>
                <w:p w14:paraId="56EFFA7F">
                  <w:pPr>
                    <w:spacing w:line="280" w:lineRule="exact"/>
                    <w:ind w:left="-63" w:leftChars="-30" w:right="-63" w:rightChars="-30"/>
                    <w:jc w:val="center"/>
                    <w:rPr>
                      <w:szCs w:val="21"/>
                    </w:rPr>
                  </w:pPr>
                  <w:r>
                    <w:rPr>
                      <w:rFonts w:hint="eastAsia"/>
                      <w:szCs w:val="21"/>
                    </w:rPr>
                    <w:t>N</w:t>
                  </w:r>
                  <w:r>
                    <w:rPr>
                      <w:szCs w:val="21"/>
                    </w:rPr>
                    <w:t>O</w:t>
                  </w:r>
                  <w:r>
                    <w:rPr>
                      <w:szCs w:val="21"/>
                      <w:vertAlign w:val="subscript"/>
                    </w:rPr>
                    <w:t>X</w:t>
                  </w:r>
                </w:p>
              </w:tc>
              <w:tc>
                <w:tcPr>
                  <w:tcW w:w="726" w:type="pct"/>
                  <w:vMerge w:val="continue"/>
                  <w:tcBorders>
                    <w:left w:val="single" w:color="auto" w:sz="4" w:space="0"/>
                    <w:right w:val="single" w:color="auto" w:sz="4" w:space="0"/>
                  </w:tcBorders>
                  <w:vAlign w:val="center"/>
                </w:tcPr>
                <w:p w14:paraId="2589C57E">
                  <w:pPr>
                    <w:spacing w:line="280" w:lineRule="exact"/>
                    <w:ind w:left="-63" w:leftChars="-30" w:right="-63" w:rightChars="-30"/>
                    <w:jc w:val="center"/>
                    <w:rPr>
                      <w:bCs/>
                      <w:szCs w:val="21"/>
                    </w:rPr>
                  </w:pPr>
                </w:p>
              </w:tc>
              <w:tc>
                <w:tcPr>
                  <w:tcW w:w="387" w:type="pct"/>
                  <w:tcBorders>
                    <w:left w:val="single" w:color="auto" w:sz="4" w:space="0"/>
                    <w:right w:val="single" w:color="auto" w:sz="4" w:space="0"/>
                  </w:tcBorders>
                  <w:vAlign w:val="center"/>
                </w:tcPr>
                <w:p w14:paraId="6A2AD7F0">
                  <w:pPr>
                    <w:spacing w:line="280" w:lineRule="exact"/>
                    <w:ind w:left="-63" w:leftChars="-30" w:right="-63" w:rightChars="-30"/>
                    <w:jc w:val="center"/>
                    <w:rPr>
                      <w:szCs w:val="21"/>
                    </w:rPr>
                  </w:pPr>
                  <w:r>
                    <w:rPr>
                      <w:szCs w:val="21"/>
                    </w:rPr>
                    <w:t>400</w:t>
                  </w:r>
                </w:p>
              </w:tc>
              <w:tc>
                <w:tcPr>
                  <w:tcW w:w="311" w:type="pct"/>
                  <w:tcBorders>
                    <w:left w:val="single" w:color="auto" w:sz="4" w:space="0"/>
                    <w:right w:val="single" w:color="auto" w:sz="4" w:space="0"/>
                  </w:tcBorders>
                  <w:vAlign w:val="center"/>
                </w:tcPr>
                <w:p w14:paraId="4D0E82A3">
                  <w:pPr>
                    <w:spacing w:line="280" w:lineRule="exact"/>
                    <w:ind w:left="-63" w:leftChars="-30" w:right="-63" w:rightChars="-30"/>
                    <w:jc w:val="center"/>
                    <w:rPr>
                      <w:szCs w:val="21"/>
                    </w:rPr>
                  </w:pPr>
                  <w:r>
                    <w:rPr>
                      <w:szCs w:val="21"/>
                    </w:rPr>
                    <w:t>/</w:t>
                  </w:r>
                </w:p>
              </w:tc>
              <w:tc>
                <w:tcPr>
                  <w:tcW w:w="543" w:type="pct"/>
                  <w:tcBorders>
                    <w:left w:val="single" w:color="auto" w:sz="4" w:space="0"/>
                    <w:right w:val="single" w:color="auto" w:sz="4" w:space="0"/>
                  </w:tcBorders>
                  <w:vAlign w:val="center"/>
                </w:tcPr>
                <w:p w14:paraId="66E00865">
                  <w:pPr>
                    <w:spacing w:line="280" w:lineRule="exact"/>
                    <w:ind w:left="-63" w:leftChars="-30" w:right="-63" w:rightChars="-30"/>
                    <w:jc w:val="center"/>
                    <w:rPr>
                      <w:szCs w:val="21"/>
                    </w:rPr>
                  </w:pPr>
                  <w:r>
                    <w:rPr>
                      <w:rFonts w:hint="eastAsia"/>
                      <w:szCs w:val="21"/>
                    </w:rPr>
                    <w:t>1</w:t>
                  </w:r>
                  <w:r>
                    <w:rPr>
                      <w:szCs w:val="21"/>
                    </w:rPr>
                    <w:t>8.50</w:t>
                  </w:r>
                </w:p>
              </w:tc>
              <w:tc>
                <w:tcPr>
                  <w:tcW w:w="703" w:type="pct"/>
                  <w:tcBorders>
                    <w:left w:val="single" w:color="auto" w:sz="4" w:space="0"/>
                    <w:right w:val="single" w:color="auto" w:sz="4" w:space="0"/>
                  </w:tcBorders>
                  <w:vAlign w:val="center"/>
                </w:tcPr>
                <w:p w14:paraId="36685E0D">
                  <w:pPr>
                    <w:spacing w:line="320" w:lineRule="exact"/>
                    <w:jc w:val="center"/>
                    <w:rPr>
                      <w:bCs/>
                    </w:rPr>
                  </w:pPr>
                  <w:r>
                    <w:rPr>
                      <w:rFonts w:hint="eastAsia"/>
                      <w:bCs/>
                    </w:rPr>
                    <w:t>0</w:t>
                  </w:r>
                  <w:r>
                    <w:rPr>
                      <w:bCs/>
                    </w:rPr>
                    <w:t>.236</w:t>
                  </w:r>
                </w:p>
              </w:tc>
              <w:tc>
                <w:tcPr>
                  <w:tcW w:w="398" w:type="pct"/>
                  <w:tcBorders>
                    <w:left w:val="single" w:color="auto" w:sz="4" w:space="0"/>
                    <w:right w:val="single" w:color="auto" w:sz="4" w:space="0"/>
                  </w:tcBorders>
                  <w:vAlign w:val="center"/>
                </w:tcPr>
                <w:p w14:paraId="2A573F8C">
                  <w:pPr>
                    <w:spacing w:line="320" w:lineRule="exact"/>
                    <w:jc w:val="center"/>
                    <w:rPr>
                      <w:bCs/>
                    </w:rPr>
                  </w:pPr>
                  <w:r>
                    <w:rPr>
                      <w:bCs/>
                    </w:rPr>
                    <w:t>36</w:t>
                  </w:r>
                  <w:r>
                    <w:rPr>
                      <w:rFonts w:hint="eastAsia"/>
                      <w:bCs/>
                    </w:rPr>
                    <w:t>00</w:t>
                  </w:r>
                </w:p>
              </w:tc>
              <w:tc>
                <w:tcPr>
                  <w:tcW w:w="397" w:type="pct"/>
                  <w:tcBorders>
                    <w:left w:val="single" w:color="auto" w:sz="4" w:space="0"/>
                  </w:tcBorders>
                  <w:vAlign w:val="center"/>
                </w:tcPr>
                <w:p w14:paraId="36F5B8B9">
                  <w:pPr>
                    <w:spacing w:line="320" w:lineRule="exact"/>
                    <w:jc w:val="center"/>
                    <w:rPr>
                      <w:bCs/>
                    </w:rPr>
                  </w:pPr>
                  <w:r>
                    <w:rPr>
                      <w:bCs/>
                    </w:rPr>
                    <w:t>0.85</w:t>
                  </w:r>
                </w:p>
              </w:tc>
            </w:tr>
            <w:tr w14:paraId="5AE78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0" w:type="pct"/>
                  <w:vAlign w:val="center"/>
                </w:tcPr>
                <w:p w14:paraId="6DC7E2F7">
                  <w:pPr>
                    <w:spacing w:line="280" w:lineRule="exact"/>
                    <w:ind w:left="-63" w:leftChars="-30" w:right="-63" w:rightChars="-30"/>
                    <w:jc w:val="center"/>
                    <w:rPr>
                      <w:szCs w:val="21"/>
                    </w:rPr>
                  </w:pPr>
                  <w:r>
                    <w:rPr>
                      <w:szCs w:val="21"/>
                    </w:rPr>
                    <w:t>DA002</w:t>
                  </w:r>
                </w:p>
              </w:tc>
              <w:tc>
                <w:tcPr>
                  <w:tcW w:w="352" w:type="pct"/>
                  <w:tcBorders>
                    <w:right w:val="single" w:color="auto" w:sz="4" w:space="0"/>
                  </w:tcBorders>
                  <w:vAlign w:val="center"/>
                </w:tcPr>
                <w:p w14:paraId="79950126">
                  <w:pPr>
                    <w:spacing w:line="280" w:lineRule="exact"/>
                    <w:ind w:left="-63" w:leftChars="-30" w:right="-63" w:rightChars="-30"/>
                    <w:jc w:val="center"/>
                    <w:rPr>
                      <w:szCs w:val="21"/>
                    </w:rPr>
                  </w:pPr>
                  <w:r>
                    <w:rPr>
                      <w:rFonts w:hint="eastAsia"/>
                      <w:szCs w:val="21"/>
                    </w:rPr>
                    <w:t>打磨</w:t>
                  </w:r>
                </w:p>
                <w:p w14:paraId="13378F81">
                  <w:pPr>
                    <w:spacing w:line="280" w:lineRule="exact"/>
                    <w:ind w:left="-63" w:leftChars="-30" w:right="-63" w:rightChars="-30"/>
                    <w:jc w:val="center"/>
                    <w:rPr>
                      <w:szCs w:val="21"/>
                    </w:rPr>
                  </w:pPr>
                  <w:r>
                    <w:rPr>
                      <w:rFonts w:hint="eastAsia"/>
                      <w:szCs w:val="21"/>
                    </w:rPr>
                    <w:t>抛丸</w:t>
                  </w:r>
                </w:p>
                <w:p w14:paraId="27BCDBEB">
                  <w:pPr>
                    <w:spacing w:line="280" w:lineRule="exact"/>
                    <w:ind w:left="-63" w:leftChars="-30" w:right="-63" w:rightChars="-30"/>
                    <w:jc w:val="center"/>
                    <w:rPr>
                      <w:szCs w:val="21"/>
                    </w:rPr>
                  </w:pPr>
                  <w:r>
                    <w:rPr>
                      <w:rFonts w:hint="eastAsia"/>
                      <w:szCs w:val="21"/>
                    </w:rPr>
                    <w:t>废气</w:t>
                  </w:r>
                </w:p>
                <w:p w14:paraId="29EEB676">
                  <w:pPr>
                    <w:spacing w:line="280" w:lineRule="exact"/>
                    <w:ind w:left="-63" w:leftChars="-30" w:right="-63" w:rightChars="-30"/>
                    <w:jc w:val="center"/>
                    <w:rPr>
                      <w:szCs w:val="21"/>
                    </w:rPr>
                  </w:pPr>
                  <w:r>
                    <w:rPr>
                      <w:rFonts w:hint="eastAsia"/>
                      <w:szCs w:val="21"/>
                    </w:rPr>
                    <w:t>排放</w:t>
                  </w:r>
                </w:p>
                <w:p w14:paraId="0DE0A023">
                  <w:pPr>
                    <w:spacing w:line="280" w:lineRule="exact"/>
                    <w:ind w:left="-63" w:leftChars="-30" w:right="-63" w:rightChars="-30"/>
                    <w:jc w:val="center"/>
                    <w:rPr>
                      <w:szCs w:val="21"/>
                    </w:rPr>
                  </w:pPr>
                  <w:r>
                    <w:rPr>
                      <w:rFonts w:hint="eastAsia"/>
                      <w:szCs w:val="21"/>
                    </w:rPr>
                    <w:t>口</w:t>
                  </w:r>
                </w:p>
              </w:tc>
              <w:tc>
                <w:tcPr>
                  <w:tcW w:w="348" w:type="pct"/>
                  <w:tcBorders>
                    <w:left w:val="single" w:color="auto" w:sz="4" w:space="0"/>
                  </w:tcBorders>
                  <w:vAlign w:val="center"/>
                </w:tcPr>
                <w:p w14:paraId="45B175B6">
                  <w:pPr>
                    <w:spacing w:line="280" w:lineRule="exact"/>
                    <w:ind w:left="-63" w:leftChars="-30" w:right="-63" w:rightChars="-30"/>
                    <w:jc w:val="center"/>
                    <w:rPr>
                      <w:szCs w:val="21"/>
                    </w:rPr>
                  </w:pPr>
                  <w:r>
                    <w:rPr>
                      <w:rFonts w:hint="eastAsia"/>
                      <w:szCs w:val="21"/>
                    </w:rPr>
                    <w:t>表面清理、抛丸</w:t>
                  </w:r>
                </w:p>
              </w:tc>
              <w:tc>
                <w:tcPr>
                  <w:tcW w:w="355" w:type="pct"/>
                  <w:tcBorders>
                    <w:top w:val="single" w:color="auto" w:sz="4" w:space="0"/>
                    <w:right w:val="single" w:color="auto" w:sz="4" w:space="0"/>
                  </w:tcBorders>
                  <w:vAlign w:val="center"/>
                </w:tcPr>
                <w:p w14:paraId="04B4B0B9">
                  <w:pPr>
                    <w:spacing w:line="280" w:lineRule="exact"/>
                    <w:ind w:left="-63" w:leftChars="-30" w:right="-63" w:rightChars="-30"/>
                    <w:jc w:val="center"/>
                    <w:rPr>
                      <w:szCs w:val="21"/>
                    </w:rPr>
                  </w:pPr>
                  <w:r>
                    <w:rPr>
                      <w:szCs w:val="21"/>
                    </w:rPr>
                    <w:t>颗粒物</w:t>
                  </w:r>
                </w:p>
              </w:tc>
              <w:tc>
                <w:tcPr>
                  <w:tcW w:w="726" w:type="pct"/>
                  <w:vMerge w:val="continue"/>
                  <w:tcBorders>
                    <w:left w:val="single" w:color="auto" w:sz="4" w:space="0"/>
                    <w:right w:val="single" w:color="auto" w:sz="4" w:space="0"/>
                  </w:tcBorders>
                  <w:vAlign w:val="center"/>
                </w:tcPr>
                <w:p w14:paraId="482DFD22">
                  <w:pPr>
                    <w:spacing w:line="280" w:lineRule="exact"/>
                    <w:ind w:left="-63" w:leftChars="-30" w:right="-63" w:rightChars="-30"/>
                    <w:jc w:val="center"/>
                    <w:rPr>
                      <w:szCs w:val="21"/>
                    </w:rPr>
                  </w:pPr>
                </w:p>
              </w:tc>
              <w:tc>
                <w:tcPr>
                  <w:tcW w:w="387" w:type="pct"/>
                  <w:tcBorders>
                    <w:left w:val="single" w:color="auto" w:sz="4" w:space="0"/>
                    <w:right w:val="single" w:color="auto" w:sz="4" w:space="0"/>
                  </w:tcBorders>
                  <w:vAlign w:val="center"/>
                </w:tcPr>
                <w:p w14:paraId="701B72F7">
                  <w:pPr>
                    <w:spacing w:line="280" w:lineRule="exact"/>
                    <w:ind w:left="-63" w:leftChars="-30" w:right="-63" w:rightChars="-30"/>
                    <w:jc w:val="center"/>
                    <w:rPr>
                      <w:szCs w:val="21"/>
                    </w:rPr>
                  </w:pPr>
                  <w:r>
                    <w:rPr>
                      <w:szCs w:val="21"/>
                    </w:rPr>
                    <w:t>30</w:t>
                  </w:r>
                </w:p>
              </w:tc>
              <w:tc>
                <w:tcPr>
                  <w:tcW w:w="311" w:type="pct"/>
                  <w:tcBorders>
                    <w:left w:val="single" w:color="auto" w:sz="4" w:space="0"/>
                    <w:right w:val="single" w:color="auto" w:sz="4" w:space="0"/>
                  </w:tcBorders>
                  <w:vAlign w:val="center"/>
                </w:tcPr>
                <w:p w14:paraId="6007F746">
                  <w:pPr>
                    <w:spacing w:line="280" w:lineRule="exact"/>
                    <w:ind w:left="-63" w:leftChars="-30" w:right="-63" w:rightChars="-30"/>
                    <w:jc w:val="center"/>
                    <w:rPr>
                      <w:szCs w:val="21"/>
                    </w:rPr>
                  </w:pPr>
                  <w:r>
                    <w:rPr>
                      <w:szCs w:val="21"/>
                    </w:rPr>
                    <w:t>/</w:t>
                  </w:r>
                </w:p>
              </w:tc>
              <w:tc>
                <w:tcPr>
                  <w:tcW w:w="543" w:type="pct"/>
                  <w:tcBorders>
                    <w:left w:val="single" w:color="auto" w:sz="4" w:space="0"/>
                    <w:right w:val="single" w:color="auto" w:sz="4" w:space="0"/>
                  </w:tcBorders>
                  <w:vAlign w:val="center"/>
                </w:tcPr>
                <w:p w14:paraId="4D0007B0">
                  <w:pPr>
                    <w:spacing w:line="280" w:lineRule="exact"/>
                    <w:ind w:left="-63" w:leftChars="-30" w:right="-63" w:rightChars="-30"/>
                    <w:jc w:val="center"/>
                    <w:rPr>
                      <w:szCs w:val="21"/>
                    </w:rPr>
                  </w:pPr>
                  <w:r>
                    <w:rPr>
                      <w:rFonts w:hint="eastAsia"/>
                      <w:szCs w:val="21"/>
                    </w:rPr>
                    <w:t>1</w:t>
                  </w:r>
                  <w:r>
                    <w:rPr>
                      <w:szCs w:val="21"/>
                    </w:rPr>
                    <w:t>1.42</w:t>
                  </w:r>
                </w:p>
              </w:tc>
              <w:tc>
                <w:tcPr>
                  <w:tcW w:w="703" w:type="pct"/>
                  <w:tcBorders>
                    <w:left w:val="single" w:color="auto" w:sz="4" w:space="0"/>
                    <w:right w:val="single" w:color="auto" w:sz="4" w:space="0"/>
                  </w:tcBorders>
                  <w:vAlign w:val="center"/>
                </w:tcPr>
                <w:p w14:paraId="7B41B459">
                  <w:pPr>
                    <w:spacing w:line="280" w:lineRule="exact"/>
                    <w:ind w:left="-63" w:leftChars="-30" w:right="-63" w:rightChars="-30"/>
                    <w:jc w:val="center"/>
                    <w:rPr>
                      <w:szCs w:val="21"/>
                    </w:rPr>
                  </w:pPr>
                  <w:r>
                    <w:rPr>
                      <w:szCs w:val="21"/>
                    </w:rPr>
                    <w:t>0.097</w:t>
                  </w:r>
                </w:p>
              </w:tc>
              <w:tc>
                <w:tcPr>
                  <w:tcW w:w="398" w:type="pct"/>
                  <w:tcBorders>
                    <w:left w:val="single" w:color="auto" w:sz="4" w:space="0"/>
                    <w:right w:val="single" w:color="auto" w:sz="4" w:space="0"/>
                  </w:tcBorders>
                  <w:vAlign w:val="center"/>
                </w:tcPr>
                <w:p w14:paraId="2CE57982">
                  <w:pPr>
                    <w:spacing w:line="280" w:lineRule="exact"/>
                    <w:ind w:left="-63" w:leftChars="-30" w:right="-63" w:rightChars="-30"/>
                    <w:jc w:val="center"/>
                    <w:rPr>
                      <w:szCs w:val="21"/>
                    </w:rPr>
                  </w:pPr>
                  <w:r>
                    <w:rPr>
                      <w:szCs w:val="21"/>
                    </w:rPr>
                    <w:t>2400</w:t>
                  </w:r>
                </w:p>
              </w:tc>
              <w:tc>
                <w:tcPr>
                  <w:tcW w:w="397" w:type="pct"/>
                  <w:tcBorders>
                    <w:left w:val="single" w:color="auto" w:sz="4" w:space="0"/>
                  </w:tcBorders>
                  <w:vAlign w:val="center"/>
                </w:tcPr>
                <w:p w14:paraId="56F19E05">
                  <w:pPr>
                    <w:spacing w:line="280" w:lineRule="exact"/>
                    <w:ind w:left="-63" w:leftChars="-30" w:right="-63" w:rightChars="-30"/>
                    <w:jc w:val="center"/>
                    <w:rPr>
                      <w:szCs w:val="21"/>
                    </w:rPr>
                  </w:pPr>
                  <w:r>
                    <w:rPr>
                      <w:szCs w:val="21"/>
                    </w:rPr>
                    <w:t>0.23</w:t>
                  </w:r>
                </w:p>
              </w:tc>
            </w:tr>
            <w:tr w14:paraId="6D1E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pct"/>
                  <w:gridSpan w:val="3"/>
                  <w:vMerge w:val="restart"/>
                  <w:tcBorders>
                    <w:top w:val="single" w:color="auto" w:sz="4" w:space="0"/>
                  </w:tcBorders>
                  <w:vAlign w:val="center"/>
                </w:tcPr>
                <w:p w14:paraId="73C441E5">
                  <w:pPr>
                    <w:spacing w:line="280" w:lineRule="exact"/>
                    <w:ind w:left="-63" w:leftChars="-30" w:right="-63" w:rightChars="-30"/>
                    <w:jc w:val="center"/>
                    <w:rPr>
                      <w:szCs w:val="21"/>
                    </w:rPr>
                  </w:pPr>
                  <w:r>
                    <w:rPr>
                      <w:szCs w:val="21"/>
                    </w:rPr>
                    <w:t>全厂总计</w:t>
                  </w:r>
                </w:p>
              </w:tc>
              <w:tc>
                <w:tcPr>
                  <w:tcW w:w="355" w:type="pct"/>
                  <w:tcBorders>
                    <w:top w:val="single" w:color="auto" w:sz="4" w:space="0"/>
                    <w:bottom w:val="single" w:color="auto" w:sz="4" w:space="0"/>
                    <w:right w:val="single" w:color="auto" w:sz="4" w:space="0"/>
                  </w:tcBorders>
                  <w:vAlign w:val="center"/>
                </w:tcPr>
                <w:p w14:paraId="468C79B4">
                  <w:pPr>
                    <w:spacing w:line="280" w:lineRule="exact"/>
                    <w:ind w:left="-63" w:leftChars="-30" w:right="-63" w:rightChars="-30"/>
                    <w:jc w:val="center"/>
                    <w:rPr>
                      <w:szCs w:val="21"/>
                    </w:rPr>
                  </w:pPr>
                  <w:r>
                    <w:rPr>
                      <w:rFonts w:hint="eastAsia"/>
                      <w:szCs w:val="21"/>
                    </w:rPr>
                    <w:t>颗粒物</w:t>
                  </w:r>
                </w:p>
              </w:tc>
              <w:tc>
                <w:tcPr>
                  <w:tcW w:w="726" w:type="pct"/>
                  <w:vMerge w:val="restart"/>
                  <w:tcBorders>
                    <w:top w:val="single" w:color="auto" w:sz="4" w:space="0"/>
                    <w:left w:val="single" w:color="auto" w:sz="4" w:space="0"/>
                    <w:right w:val="single" w:color="auto" w:sz="4" w:space="0"/>
                  </w:tcBorders>
                  <w:vAlign w:val="center"/>
                </w:tcPr>
                <w:p w14:paraId="57BE6079">
                  <w:pPr>
                    <w:spacing w:line="280" w:lineRule="exact"/>
                    <w:ind w:left="-63" w:leftChars="-30" w:right="-63" w:rightChars="-30"/>
                    <w:jc w:val="center"/>
                    <w:rPr>
                      <w:szCs w:val="21"/>
                    </w:rPr>
                  </w:pPr>
                  <w:r>
                    <w:rPr>
                      <w:szCs w:val="21"/>
                    </w:rPr>
                    <w:t>/</w:t>
                  </w:r>
                </w:p>
              </w:tc>
              <w:tc>
                <w:tcPr>
                  <w:tcW w:w="387" w:type="pct"/>
                  <w:vMerge w:val="restart"/>
                  <w:tcBorders>
                    <w:left w:val="single" w:color="auto" w:sz="4" w:space="0"/>
                    <w:right w:val="single" w:color="auto" w:sz="4" w:space="0"/>
                  </w:tcBorders>
                  <w:vAlign w:val="center"/>
                </w:tcPr>
                <w:p w14:paraId="2EF1E3A6">
                  <w:pPr>
                    <w:spacing w:line="280" w:lineRule="exact"/>
                    <w:ind w:left="-63" w:leftChars="-30" w:right="-63" w:rightChars="-30"/>
                    <w:jc w:val="center"/>
                    <w:rPr>
                      <w:szCs w:val="21"/>
                    </w:rPr>
                  </w:pPr>
                  <w:r>
                    <w:rPr>
                      <w:szCs w:val="21"/>
                    </w:rPr>
                    <w:t>/</w:t>
                  </w:r>
                </w:p>
              </w:tc>
              <w:tc>
                <w:tcPr>
                  <w:tcW w:w="311" w:type="pct"/>
                  <w:vMerge w:val="restart"/>
                  <w:tcBorders>
                    <w:left w:val="single" w:color="auto" w:sz="4" w:space="0"/>
                    <w:right w:val="single" w:color="auto" w:sz="4" w:space="0"/>
                  </w:tcBorders>
                  <w:vAlign w:val="center"/>
                </w:tcPr>
                <w:p w14:paraId="5D48EF25">
                  <w:pPr>
                    <w:spacing w:line="280" w:lineRule="exact"/>
                    <w:ind w:left="-63" w:leftChars="-30" w:right="-63" w:rightChars="-30"/>
                    <w:jc w:val="center"/>
                    <w:rPr>
                      <w:szCs w:val="21"/>
                    </w:rPr>
                  </w:pPr>
                  <w:r>
                    <w:rPr>
                      <w:rFonts w:hint="eastAsia"/>
                      <w:szCs w:val="21"/>
                    </w:rPr>
                    <w:t>/</w:t>
                  </w:r>
                </w:p>
              </w:tc>
              <w:tc>
                <w:tcPr>
                  <w:tcW w:w="543" w:type="pct"/>
                  <w:vMerge w:val="restart"/>
                  <w:tcBorders>
                    <w:left w:val="single" w:color="auto" w:sz="4" w:space="0"/>
                    <w:right w:val="single" w:color="auto" w:sz="4" w:space="0"/>
                  </w:tcBorders>
                  <w:vAlign w:val="center"/>
                </w:tcPr>
                <w:p w14:paraId="35CCED67">
                  <w:pPr>
                    <w:spacing w:line="280" w:lineRule="exact"/>
                    <w:ind w:left="-63" w:leftChars="-30" w:right="-63" w:rightChars="-30"/>
                    <w:jc w:val="center"/>
                    <w:rPr>
                      <w:szCs w:val="21"/>
                    </w:rPr>
                  </w:pPr>
                  <w:r>
                    <w:rPr>
                      <w:szCs w:val="21"/>
                    </w:rPr>
                    <w:t>/</w:t>
                  </w:r>
                </w:p>
              </w:tc>
              <w:tc>
                <w:tcPr>
                  <w:tcW w:w="703" w:type="pct"/>
                  <w:vMerge w:val="restart"/>
                  <w:tcBorders>
                    <w:left w:val="single" w:color="auto" w:sz="4" w:space="0"/>
                    <w:right w:val="single" w:color="auto" w:sz="4" w:space="0"/>
                  </w:tcBorders>
                  <w:vAlign w:val="center"/>
                </w:tcPr>
                <w:p w14:paraId="2D2EAD18">
                  <w:pPr>
                    <w:spacing w:line="280" w:lineRule="exact"/>
                    <w:ind w:left="-63" w:leftChars="-30" w:right="-63" w:rightChars="-30"/>
                    <w:jc w:val="center"/>
                    <w:rPr>
                      <w:szCs w:val="21"/>
                    </w:rPr>
                  </w:pPr>
                  <w:r>
                    <w:rPr>
                      <w:szCs w:val="21"/>
                    </w:rPr>
                    <w:t>/</w:t>
                  </w:r>
                </w:p>
              </w:tc>
              <w:tc>
                <w:tcPr>
                  <w:tcW w:w="398" w:type="pct"/>
                  <w:vMerge w:val="restart"/>
                  <w:tcBorders>
                    <w:left w:val="single" w:color="auto" w:sz="4" w:space="0"/>
                    <w:right w:val="single" w:color="auto" w:sz="4" w:space="0"/>
                  </w:tcBorders>
                  <w:vAlign w:val="center"/>
                </w:tcPr>
                <w:p w14:paraId="040845B7">
                  <w:pPr>
                    <w:spacing w:line="280" w:lineRule="exact"/>
                    <w:ind w:left="-63" w:leftChars="-30" w:right="-63" w:rightChars="-30"/>
                    <w:jc w:val="center"/>
                    <w:rPr>
                      <w:szCs w:val="21"/>
                    </w:rPr>
                  </w:pPr>
                  <w:r>
                    <w:rPr>
                      <w:rFonts w:hint="eastAsia"/>
                      <w:szCs w:val="21"/>
                    </w:rPr>
                    <w:t>/</w:t>
                  </w:r>
                </w:p>
              </w:tc>
              <w:tc>
                <w:tcPr>
                  <w:tcW w:w="397" w:type="pct"/>
                  <w:tcBorders>
                    <w:left w:val="single" w:color="auto" w:sz="4" w:space="0"/>
                  </w:tcBorders>
                  <w:vAlign w:val="center"/>
                </w:tcPr>
                <w:p w14:paraId="79B3E2FB">
                  <w:pPr>
                    <w:spacing w:line="280" w:lineRule="exact"/>
                    <w:ind w:left="-63" w:leftChars="-30" w:right="-63" w:rightChars="-30"/>
                    <w:jc w:val="center"/>
                    <w:rPr>
                      <w:szCs w:val="21"/>
                    </w:rPr>
                  </w:pPr>
                  <w:r>
                    <w:rPr>
                      <w:szCs w:val="21"/>
                    </w:rPr>
                    <w:t>0.82</w:t>
                  </w:r>
                </w:p>
              </w:tc>
            </w:tr>
            <w:tr w14:paraId="1C52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pct"/>
                  <w:gridSpan w:val="3"/>
                  <w:vMerge w:val="continue"/>
                  <w:vAlign w:val="center"/>
                </w:tcPr>
                <w:p w14:paraId="595E0785">
                  <w:pPr>
                    <w:spacing w:line="280" w:lineRule="exact"/>
                    <w:ind w:left="-63" w:leftChars="-30" w:right="-63" w:rightChars="-30"/>
                    <w:jc w:val="center"/>
                    <w:rPr>
                      <w:szCs w:val="21"/>
                    </w:rPr>
                  </w:pPr>
                </w:p>
              </w:tc>
              <w:tc>
                <w:tcPr>
                  <w:tcW w:w="355" w:type="pct"/>
                  <w:tcBorders>
                    <w:top w:val="single" w:color="auto" w:sz="4" w:space="0"/>
                    <w:bottom w:val="single" w:color="auto" w:sz="4" w:space="0"/>
                    <w:right w:val="single" w:color="auto" w:sz="4" w:space="0"/>
                  </w:tcBorders>
                  <w:vAlign w:val="center"/>
                </w:tcPr>
                <w:p w14:paraId="50525E88">
                  <w:pPr>
                    <w:spacing w:line="280" w:lineRule="exact"/>
                    <w:ind w:left="-63" w:leftChars="-30" w:right="-63" w:rightChars="-30"/>
                    <w:jc w:val="center"/>
                    <w:rPr>
                      <w:szCs w:val="21"/>
                    </w:rPr>
                  </w:pPr>
                  <w:r>
                    <w:rPr>
                      <w:rFonts w:hint="eastAsia"/>
                      <w:szCs w:val="21"/>
                    </w:rPr>
                    <w:t>S</w:t>
                  </w:r>
                  <w:r>
                    <w:rPr>
                      <w:szCs w:val="21"/>
                    </w:rPr>
                    <w:t>O</w:t>
                  </w:r>
                  <w:r>
                    <w:rPr>
                      <w:szCs w:val="21"/>
                      <w:vertAlign w:val="subscript"/>
                    </w:rPr>
                    <w:t>2</w:t>
                  </w:r>
                </w:p>
              </w:tc>
              <w:tc>
                <w:tcPr>
                  <w:tcW w:w="726" w:type="pct"/>
                  <w:vMerge w:val="continue"/>
                  <w:tcBorders>
                    <w:left w:val="single" w:color="auto" w:sz="4" w:space="0"/>
                    <w:right w:val="single" w:color="auto" w:sz="4" w:space="0"/>
                  </w:tcBorders>
                  <w:vAlign w:val="center"/>
                </w:tcPr>
                <w:p w14:paraId="24AD3F09">
                  <w:pPr>
                    <w:spacing w:line="280" w:lineRule="exact"/>
                    <w:ind w:left="-63" w:leftChars="-30" w:right="-63" w:rightChars="-30"/>
                    <w:jc w:val="center"/>
                    <w:rPr>
                      <w:szCs w:val="21"/>
                    </w:rPr>
                  </w:pPr>
                </w:p>
              </w:tc>
              <w:tc>
                <w:tcPr>
                  <w:tcW w:w="387" w:type="pct"/>
                  <w:vMerge w:val="continue"/>
                  <w:tcBorders>
                    <w:left w:val="single" w:color="auto" w:sz="4" w:space="0"/>
                    <w:right w:val="single" w:color="auto" w:sz="4" w:space="0"/>
                  </w:tcBorders>
                  <w:vAlign w:val="center"/>
                </w:tcPr>
                <w:p w14:paraId="32CFFDA4">
                  <w:pPr>
                    <w:spacing w:line="280" w:lineRule="exact"/>
                    <w:ind w:left="-63" w:leftChars="-30" w:right="-63" w:rightChars="-30"/>
                    <w:jc w:val="center"/>
                    <w:rPr>
                      <w:szCs w:val="21"/>
                    </w:rPr>
                  </w:pPr>
                </w:p>
              </w:tc>
              <w:tc>
                <w:tcPr>
                  <w:tcW w:w="311" w:type="pct"/>
                  <w:vMerge w:val="continue"/>
                  <w:tcBorders>
                    <w:left w:val="single" w:color="auto" w:sz="4" w:space="0"/>
                    <w:right w:val="single" w:color="auto" w:sz="4" w:space="0"/>
                  </w:tcBorders>
                  <w:vAlign w:val="center"/>
                </w:tcPr>
                <w:p w14:paraId="3467D00F">
                  <w:pPr>
                    <w:spacing w:line="280" w:lineRule="exact"/>
                    <w:ind w:left="-63" w:leftChars="-30" w:right="-63" w:rightChars="-30"/>
                    <w:jc w:val="center"/>
                    <w:rPr>
                      <w:szCs w:val="21"/>
                    </w:rPr>
                  </w:pPr>
                </w:p>
              </w:tc>
              <w:tc>
                <w:tcPr>
                  <w:tcW w:w="543" w:type="pct"/>
                  <w:vMerge w:val="continue"/>
                  <w:tcBorders>
                    <w:left w:val="single" w:color="auto" w:sz="4" w:space="0"/>
                    <w:right w:val="single" w:color="auto" w:sz="4" w:space="0"/>
                  </w:tcBorders>
                  <w:vAlign w:val="center"/>
                </w:tcPr>
                <w:p w14:paraId="7189462C">
                  <w:pPr>
                    <w:spacing w:line="280" w:lineRule="exact"/>
                    <w:ind w:left="-63" w:leftChars="-30" w:right="-63" w:rightChars="-30"/>
                    <w:jc w:val="center"/>
                    <w:rPr>
                      <w:szCs w:val="21"/>
                    </w:rPr>
                  </w:pPr>
                </w:p>
              </w:tc>
              <w:tc>
                <w:tcPr>
                  <w:tcW w:w="703" w:type="pct"/>
                  <w:vMerge w:val="continue"/>
                  <w:tcBorders>
                    <w:left w:val="single" w:color="auto" w:sz="4" w:space="0"/>
                    <w:right w:val="single" w:color="auto" w:sz="4" w:space="0"/>
                  </w:tcBorders>
                  <w:vAlign w:val="center"/>
                </w:tcPr>
                <w:p w14:paraId="113AFE4D">
                  <w:pPr>
                    <w:spacing w:line="280" w:lineRule="exact"/>
                    <w:ind w:left="-63" w:leftChars="-30" w:right="-63" w:rightChars="-30"/>
                    <w:jc w:val="center"/>
                    <w:rPr>
                      <w:szCs w:val="21"/>
                    </w:rPr>
                  </w:pPr>
                </w:p>
              </w:tc>
              <w:tc>
                <w:tcPr>
                  <w:tcW w:w="398" w:type="pct"/>
                  <w:vMerge w:val="continue"/>
                  <w:tcBorders>
                    <w:left w:val="single" w:color="auto" w:sz="4" w:space="0"/>
                    <w:right w:val="single" w:color="auto" w:sz="4" w:space="0"/>
                  </w:tcBorders>
                </w:tcPr>
                <w:p w14:paraId="16209F04">
                  <w:pPr>
                    <w:spacing w:line="280" w:lineRule="exact"/>
                    <w:ind w:left="-63" w:leftChars="-30" w:right="-63" w:rightChars="-30"/>
                    <w:jc w:val="center"/>
                    <w:rPr>
                      <w:szCs w:val="21"/>
                    </w:rPr>
                  </w:pPr>
                </w:p>
              </w:tc>
              <w:tc>
                <w:tcPr>
                  <w:tcW w:w="397" w:type="pct"/>
                  <w:tcBorders>
                    <w:left w:val="single" w:color="auto" w:sz="4" w:space="0"/>
                  </w:tcBorders>
                  <w:vAlign w:val="center"/>
                </w:tcPr>
                <w:p w14:paraId="045E85B5">
                  <w:pPr>
                    <w:spacing w:line="320" w:lineRule="exact"/>
                    <w:jc w:val="center"/>
                    <w:rPr>
                      <w:bCs/>
                    </w:rPr>
                  </w:pPr>
                  <w:r>
                    <w:rPr>
                      <w:bCs/>
                    </w:rPr>
                    <w:t>0.45</w:t>
                  </w:r>
                </w:p>
              </w:tc>
            </w:tr>
            <w:tr w14:paraId="1E0C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0" w:type="pct"/>
                  <w:gridSpan w:val="3"/>
                  <w:vMerge w:val="continue"/>
                  <w:vAlign w:val="center"/>
                </w:tcPr>
                <w:p w14:paraId="6293698F">
                  <w:pPr>
                    <w:spacing w:line="280" w:lineRule="exact"/>
                    <w:ind w:left="-63" w:leftChars="-30" w:right="-63" w:rightChars="-30"/>
                    <w:jc w:val="center"/>
                    <w:rPr>
                      <w:szCs w:val="21"/>
                    </w:rPr>
                  </w:pPr>
                </w:p>
              </w:tc>
              <w:tc>
                <w:tcPr>
                  <w:tcW w:w="355" w:type="pct"/>
                  <w:tcBorders>
                    <w:top w:val="single" w:color="auto" w:sz="4" w:space="0"/>
                    <w:right w:val="single" w:color="auto" w:sz="4" w:space="0"/>
                  </w:tcBorders>
                  <w:vAlign w:val="center"/>
                </w:tcPr>
                <w:p w14:paraId="5E6BAE09">
                  <w:pPr>
                    <w:spacing w:line="280" w:lineRule="exact"/>
                    <w:ind w:left="-63" w:leftChars="-30" w:right="-63" w:rightChars="-30"/>
                    <w:jc w:val="center"/>
                    <w:rPr>
                      <w:szCs w:val="21"/>
                    </w:rPr>
                  </w:pPr>
                  <w:r>
                    <w:rPr>
                      <w:rFonts w:hint="eastAsia"/>
                      <w:szCs w:val="21"/>
                    </w:rPr>
                    <w:t>N</w:t>
                  </w:r>
                  <w:r>
                    <w:rPr>
                      <w:szCs w:val="21"/>
                    </w:rPr>
                    <w:t>O</w:t>
                  </w:r>
                  <w:r>
                    <w:rPr>
                      <w:szCs w:val="21"/>
                      <w:vertAlign w:val="subscript"/>
                    </w:rPr>
                    <w:t>X</w:t>
                  </w:r>
                </w:p>
              </w:tc>
              <w:tc>
                <w:tcPr>
                  <w:tcW w:w="726" w:type="pct"/>
                  <w:vMerge w:val="continue"/>
                  <w:tcBorders>
                    <w:left w:val="single" w:color="auto" w:sz="4" w:space="0"/>
                    <w:right w:val="single" w:color="auto" w:sz="4" w:space="0"/>
                  </w:tcBorders>
                  <w:vAlign w:val="center"/>
                </w:tcPr>
                <w:p w14:paraId="077E580B">
                  <w:pPr>
                    <w:spacing w:line="280" w:lineRule="exact"/>
                    <w:ind w:left="-63" w:leftChars="-30" w:right="-63" w:rightChars="-30"/>
                    <w:jc w:val="center"/>
                    <w:rPr>
                      <w:szCs w:val="21"/>
                    </w:rPr>
                  </w:pPr>
                </w:p>
              </w:tc>
              <w:tc>
                <w:tcPr>
                  <w:tcW w:w="387" w:type="pct"/>
                  <w:vMerge w:val="continue"/>
                  <w:tcBorders>
                    <w:left w:val="single" w:color="auto" w:sz="4" w:space="0"/>
                    <w:right w:val="single" w:color="auto" w:sz="4" w:space="0"/>
                  </w:tcBorders>
                  <w:vAlign w:val="center"/>
                </w:tcPr>
                <w:p w14:paraId="62D77744">
                  <w:pPr>
                    <w:spacing w:line="280" w:lineRule="exact"/>
                    <w:ind w:left="-63" w:leftChars="-30" w:right="-63" w:rightChars="-30"/>
                    <w:jc w:val="center"/>
                    <w:rPr>
                      <w:szCs w:val="21"/>
                    </w:rPr>
                  </w:pPr>
                </w:p>
              </w:tc>
              <w:tc>
                <w:tcPr>
                  <w:tcW w:w="311" w:type="pct"/>
                  <w:vMerge w:val="continue"/>
                  <w:tcBorders>
                    <w:left w:val="single" w:color="auto" w:sz="4" w:space="0"/>
                    <w:right w:val="single" w:color="auto" w:sz="4" w:space="0"/>
                  </w:tcBorders>
                  <w:vAlign w:val="center"/>
                </w:tcPr>
                <w:p w14:paraId="0A08D3ED">
                  <w:pPr>
                    <w:spacing w:line="280" w:lineRule="exact"/>
                    <w:ind w:left="-63" w:leftChars="-30" w:right="-63" w:rightChars="-30"/>
                    <w:jc w:val="center"/>
                    <w:rPr>
                      <w:szCs w:val="21"/>
                    </w:rPr>
                  </w:pPr>
                </w:p>
              </w:tc>
              <w:tc>
                <w:tcPr>
                  <w:tcW w:w="543" w:type="pct"/>
                  <w:vMerge w:val="continue"/>
                  <w:tcBorders>
                    <w:left w:val="single" w:color="auto" w:sz="4" w:space="0"/>
                    <w:right w:val="single" w:color="auto" w:sz="4" w:space="0"/>
                  </w:tcBorders>
                  <w:vAlign w:val="center"/>
                </w:tcPr>
                <w:p w14:paraId="7DA76809">
                  <w:pPr>
                    <w:spacing w:line="280" w:lineRule="exact"/>
                    <w:ind w:left="-63" w:leftChars="-30" w:right="-63" w:rightChars="-30"/>
                    <w:jc w:val="center"/>
                    <w:rPr>
                      <w:szCs w:val="21"/>
                    </w:rPr>
                  </w:pPr>
                </w:p>
              </w:tc>
              <w:tc>
                <w:tcPr>
                  <w:tcW w:w="703" w:type="pct"/>
                  <w:vMerge w:val="continue"/>
                  <w:tcBorders>
                    <w:left w:val="single" w:color="auto" w:sz="4" w:space="0"/>
                    <w:right w:val="single" w:color="auto" w:sz="4" w:space="0"/>
                  </w:tcBorders>
                  <w:vAlign w:val="center"/>
                </w:tcPr>
                <w:p w14:paraId="74AB0A98">
                  <w:pPr>
                    <w:spacing w:line="280" w:lineRule="exact"/>
                    <w:ind w:left="-63" w:leftChars="-30" w:right="-63" w:rightChars="-30"/>
                    <w:jc w:val="center"/>
                    <w:rPr>
                      <w:szCs w:val="21"/>
                    </w:rPr>
                  </w:pPr>
                </w:p>
              </w:tc>
              <w:tc>
                <w:tcPr>
                  <w:tcW w:w="398" w:type="pct"/>
                  <w:vMerge w:val="continue"/>
                  <w:tcBorders>
                    <w:left w:val="single" w:color="auto" w:sz="4" w:space="0"/>
                    <w:right w:val="single" w:color="auto" w:sz="4" w:space="0"/>
                  </w:tcBorders>
                </w:tcPr>
                <w:p w14:paraId="4FF58082">
                  <w:pPr>
                    <w:spacing w:line="280" w:lineRule="exact"/>
                    <w:ind w:left="-63" w:leftChars="-30" w:right="-63" w:rightChars="-30"/>
                    <w:jc w:val="center"/>
                    <w:rPr>
                      <w:szCs w:val="21"/>
                    </w:rPr>
                  </w:pPr>
                </w:p>
              </w:tc>
              <w:tc>
                <w:tcPr>
                  <w:tcW w:w="397" w:type="pct"/>
                  <w:tcBorders>
                    <w:left w:val="single" w:color="auto" w:sz="4" w:space="0"/>
                  </w:tcBorders>
                  <w:vAlign w:val="center"/>
                </w:tcPr>
                <w:p w14:paraId="033FCCFD">
                  <w:pPr>
                    <w:spacing w:line="320" w:lineRule="exact"/>
                    <w:jc w:val="center"/>
                    <w:rPr>
                      <w:bCs/>
                    </w:rPr>
                  </w:pPr>
                  <w:r>
                    <w:rPr>
                      <w:bCs/>
                    </w:rPr>
                    <w:t>0.85</w:t>
                  </w:r>
                </w:p>
              </w:tc>
            </w:tr>
          </w:tbl>
          <w:p w14:paraId="6C1F6B06">
            <w:pPr>
              <w:jc w:val="center"/>
              <w:rPr>
                <w:sz w:val="24"/>
              </w:rPr>
            </w:pPr>
            <w:r>
              <w:rPr>
                <w:sz w:val="24"/>
              </w:rPr>
              <w:t>表2-10  现有项目废水间接排放情况统计一览表</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707"/>
              <w:gridCol w:w="570"/>
              <w:gridCol w:w="850"/>
              <w:gridCol w:w="1135"/>
              <w:gridCol w:w="567"/>
              <w:gridCol w:w="1134"/>
              <w:gridCol w:w="853"/>
              <w:gridCol w:w="1137"/>
              <w:gridCol w:w="732"/>
            </w:tblGrid>
            <w:tr w14:paraId="0B55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jc w:val="center"/>
              </w:trPr>
              <w:tc>
                <w:tcPr>
                  <w:tcW w:w="432" w:type="pct"/>
                  <w:vMerge w:val="restart"/>
                  <w:tcBorders>
                    <w:left w:val="single" w:color="auto" w:sz="4" w:space="0"/>
                  </w:tcBorders>
                  <w:vAlign w:val="center"/>
                </w:tcPr>
                <w:p w14:paraId="1685908D">
                  <w:pPr>
                    <w:spacing w:line="280" w:lineRule="exact"/>
                    <w:jc w:val="center"/>
                    <w:rPr>
                      <w:szCs w:val="21"/>
                    </w:rPr>
                  </w:pPr>
                  <w:r>
                    <w:rPr>
                      <w:szCs w:val="21"/>
                    </w:rPr>
                    <w:t>排污口编号</w:t>
                  </w:r>
                </w:p>
              </w:tc>
              <w:tc>
                <w:tcPr>
                  <w:tcW w:w="420" w:type="pct"/>
                  <w:vMerge w:val="restart"/>
                  <w:tcBorders>
                    <w:right w:val="single" w:color="auto" w:sz="4" w:space="0"/>
                  </w:tcBorders>
                  <w:vAlign w:val="center"/>
                </w:tcPr>
                <w:p w14:paraId="3ECD8375">
                  <w:pPr>
                    <w:spacing w:line="280" w:lineRule="exact"/>
                    <w:jc w:val="center"/>
                    <w:rPr>
                      <w:szCs w:val="21"/>
                    </w:rPr>
                  </w:pPr>
                  <w:r>
                    <w:rPr>
                      <w:szCs w:val="21"/>
                    </w:rPr>
                    <w:t>排放口名称</w:t>
                  </w:r>
                </w:p>
              </w:tc>
              <w:tc>
                <w:tcPr>
                  <w:tcW w:w="339" w:type="pct"/>
                  <w:vMerge w:val="restart"/>
                  <w:tcBorders>
                    <w:left w:val="single" w:color="auto" w:sz="4" w:space="0"/>
                  </w:tcBorders>
                  <w:vAlign w:val="center"/>
                </w:tcPr>
                <w:p w14:paraId="4F901368">
                  <w:pPr>
                    <w:spacing w:line="280" w:lineRule="exact"/>
                    <w:jc w:val="center"/>
                    <w:rPr>
                      <w:szCs w:val="21"/>
                    </w:rPr>
                  </w:pPr>
                  <w:r>
                    <w:rPr>
                      <w:szCs w:val="21"/>
                    </w:rPr>
                    <w:t>排放去向</w:t>
                  </w:r>
                </w:p>
              </w:tc>
              <w:tc>
                <w:tcPr>
                  <w:tcW w:w="505" w:type="pct"/>
                  <w:vMerge w:val="restart"/>
                  <w:tcBorders>
                    <w:right w:val="single" w:color="auto" w:sz="4" w:space="0"/>
                  </w:tcBorders>
                  <w:vAlign w:val="center"/>
                </w:tcPr>
                <w:p w14:paraId="05D8AD7D">
                  <w:pPr>
                    <w:spacing w:line="280" w:lineRule="exact"/>
                    <w:jc w:val="center"/>
                    <w:rPr>
                      <w:szCs w:val="21"/>
                    </w:rPr>
                  </w:pPr>
                  <w:r>
                    <w:rPr>
                      <w:szCs w:val="21"/>
                    </w:rPr>
                    <w:t>污染物</w:t>
                  </w:r>
                </w:p>
              </w:tc>
              <w:tc>
                <w:tcPr>
                  <w:tcW w:w="1012" w:type="pct"/>
                  <w:gridSpan w:val="2"/>
                  <w:vMerge w:val="restart"/>
                  <w:tcBorders>
                    <w:right w:val="single" w:color="auto" w:sz="4" w:space="0"/>
                  </w:tcBorders>
                  <w:vAlign w:val="center"/>
                </w:tcPr>
                <w:p w14:paraId="3F884203">
                  <w:pPr>
                    <w:spacing w:line="280" w:lineRule="exact"/>
                    <w:jc w:val="center"/>
                    <w:rPr>
                      <w:szCs w:val="21"/>
                    </w:rPr>
                  </w:pPr>
                  <w:r>
                    <w:rPr>
                      <w:szCs w:val="21"/>
                    </w:rPr>
                    <w:t>浓度限值mg/L</w:t>
                  </w:r>
                </w:p>
              </w:tc>
              <w:tc>
                <w:tcPr>
                  <w:tcW w:w="2292" w:type="pct"/>
                  <w:gridSpan w:val="4"/>
                  <w:tcBorders>
                    <w:left w:val="single" w:color="auto" w:sz="4" w:space="0"/>
                    <w:bottom w:val="single" w:color="auto" w:sz="4" w:space="0"/>
                  </w:tcBorders>
                  <w:vAlign w:val="center"/>
                </w:tcPr>
                <w:p w14:paraId="4C47733C">
                  <w:pPr>
                    <w:spacing w:line="280" w:lineRule="exact"/>
                    <w:jc w:val="center"/>
                    <w:rPr>
                      <w:szCs w:val="21"/>
                    </w:rPr>
                  </w:pPr>
                  <w:r>
                    <w:rPr>
                      <w:szCs w:val="21"/>
                    </w:rPr>
                    <w:t>实际排放量t/a</w:t>
                  </w:r>
                </w:p>
              </w:tc>
            </w:tr>
            <w:tr w14:paraId="774A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jc w:val="center"/>
              </w:trPr>
              <w:tc>
                <w:tcPr>
                  <w:tcW w:w="432" w:type="pct"/>
                  <w:vMerge w:val="continue"/>
                  <w:tcBorders>
                    <w:left w:val="single" w:color="auto" w:sz="4" w:space="0"/>
                  </w:tcBorders>
                  <w:vAlign w:val="center"/>
                </w:tcPr>
                <w:p w14:paraId="3189EA1E">
                  <w:pPr>
                    <w:spacing w:line="280" w:lineRule="exact"/>
                    <w:jc w:val="center"/>
                    <w:rPr>
                      <w:szCs w:val="21"/>
                    </w:rPr>
                  </w:pPr>
                </w:p>
              </w:tc>
              <w:tc>
                <w:tcPr>
                  <w:tcW w:w="420" w:type="pct"/>
                  <w:vMerge w:val="continue"/>
                  <w:tcBorders>
                    <w:right w:val="single" w:color="auto" w:sz="4" w:space="0"/>
                  </w:tcBorders>
                  <w:vAlign w:val="center"/>
                </w:tcPr>
                <w:p w14:paraId="75E822C5">
                  <w:pPr>
                    <w:spacing w:line="280" w:lineRule="exact"/>
                    <w:jc w:val="center"/>
                    <w:rPr>
                      <w:szCs w:val="21"/>
                    </w:rPr>
                  </w:pPr>
                </w:p>
              </w:tc>
              <w:tc>
                <w:tcPr>
                  <w:tcW w:w="339" w:type="pct"/>
                  <w:vMerge w:val="continue"/>
                  <w:tcBorders>
                    <w:left w:val="single" w:color="auto" w:sz="4" w:space="0"/>
                  </w:tcBorders>
                  <w:vAlign w:val="center"/>
                </w:tcPr>
                <w:p w14:paraId="578EF9DF">
                  <w:pPr>
                    <w:spacing w:line="280" w:lineRule="exact"/>
                    <w:jc w:val="center"/>
                    <w:rPr>
                      <w:szCs w:val="21"/>
                    </w:rPr>
                  </w:pPr>
                </w:p>
              </w:tc>
              <w:tc>
                <w:tcPr>
                  <w:tcW w:w="505" w:type="pct"/>
                  <w:vMerge w:val="continue"/>
                  <w:tcBorders>
                    <w:right w:val="single" w:color="auto" w:sz="4" w:space="0"/>
                  </w:tcBorders>
                  <w:vAlign w:val="center"/>
                </w:tcPr>
                <w:p w14:paraId="7C3E4C31">
                  <w:pPr>
                    <w:spacing w:line="280" w:lineRule="exact"/>
                    <w:jc w:val="center"/>
                    <w:rPr>
                      <w:szCs w:val="21"/>
                    </w:rPr>
                  </w:pPr>
                </w:p>
              </w:tc>
              <w:tc>
                <w:tcPr>
                  <w:tcW w:w="1012" w:type="pct"/>
                  <w:gridSpan w:val="2"/>
                  <w:vMerge w:val="continue"/>
                  <w:tcBorders>
                    <w:right w:val="single" w:color="auto" w:sz="4" w:space="0"/>
                  </w:tcBorders>
                  <w:vAlign w:val="center"/>
                </w:tcPr>
                <w:p w14:paraId="7D31A136">
                  <w:pPr>
                    <w:spacing w:line="280" w:lineRule="exact"/>
                    <w:jc w:val="center"/>
                    <w:rPr>
                      <w:szCs w:val="21"/>
                    </w:rPr>
                  </w:pPr>
                </w:p>
              </w:tc>
              <w:tc>
                <w:tcPr>
                  <w:tcW w:w="1181" w:type="pct"/>
                  <w:gridSpan w:val="2"/>
                  <w:tcBorders>
                    <w:left w:val="single" w:color="auto" w:sz="4" w:space="0"/>
                    <w:bottom w:val="single" w:color="auto" w:sz="4" w:space="0"/>
                  </w:tcBorders>
                  <w:vAlign w:val="center"/>
                </w:tcPr>
                <w:p w14:paraId="59E85C79">
                  <w:pPr>
                    <w:spacing w:line="280" w:lineRule="exact"/>
                    <w:jc w:val="center"/>
                    <w:rPr>
                      <w:szCs w:val="21"/>
                    </w:rPr>
                  </w:pPr>
                  <w:r>
                    <w:rPr>
                      <w:szCs w:val="21"/>
                    </w:rPr>
                    <w:t>排入李渡大耍坝处理厂</w:t>
                  </w:r>
                </w:p>
              </w:tc>
              <w:tc>
                <w:tcPr>
                  <w:tcW w:w="1111" w:type="pct"/>
                  <w:gridSpan w:val="2"/>
                  <w:tcBorders>
                    <w:left w:val="single" w:color="auto" w:sz="4" w:space="0"/>
                    <w:bottom w:val="single" w:color="auto" w:sz="4" w:space="0"/>
                  </w:tcBorders>
                  <w:vAlign w:val="center"/>
                </w:tcPr>
                <w:p w14:paraId="73F0ED06">
                  <w:pPr>
                    <w:spacing w:line="280" w:lineRule="exact"/>
                    <w:jc w:val="center"/>
                    <w:rPr>
                      <w:szCs w:val="21"/>
                    </w:rPr>
                  </w:pPr>
                  <w:r>
                    <w:rPr>
                      <w:szCs w:val="21"/>
                    </w:rPr>
                    <w:t>排入环境</w:t>
                  </w:r>
                </w:p>
              </w:tc>
            </w:tr>
            <w:tr w14:paraId="3F49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32" w:type="pct"/>
                  <w:vMerge w:val="continue"/>
                  <w:tcBorders>
                    <w:left w:val="single" w:color="auto" w:sz="4" w:space="0"/>
                  </w:tcBorders>
                  <w:vAlign w:val="center"/>
                </w:tcPr>
                <w:p w14:paraId="6A90503D">
                  <w:pPr>
                    <w:spacing w:line="280" w:lineRule="exact"/>
                    <w:jc w:val="center"/>
                    <w:rPr>
                      <w:szCs w:val="21"/>
                    </w:rPr>
                  </w:pPr>
                </w:p>
              </w:tc>
              <w:tc>
                <w:tcPr>
                  <w:tcW w:w="420" w:type="pct"/>
                  <w:vMerge w:val="continue"/>
                  <w:tcBorders>
                    <w:right w:val="single" w:color="auto" w:sz="4" w:space="0"/>
                  </w:tcBorders>
                  <w:vAlign w:val="center"/>
                </w:tcPr>
                <w:p w14:paraId="02BC32F2">
                  <w:pPr>
                    <w:spacing w:line="280" w:lineRule="exact"/>
                    <w:jc w:val="center"/>
                    <w:rPr>
                      <w:szCs w:val="21"/>
                    </w:rPr>
                  </w:pPr>
                </w:p>
              </w:tc>
              <w:tc>
                <w:tcPr>
                  <w:tcW w:w="339" w:type="pct"/>
                  <w:vMerge w:val="continue"/>
                  <w:tcBorders>
                    <w:left w:val="single" w:color="auto" w:sz="4" w:space="0"/>
                    <w:bottom w:val="single" w:color="auto" w:sz="4" w:space="0"/>
                  </w:tcBorders>
                  <w:vAlign w:val="center"/>
                </w:tcPr>
                <w:p w14:paraId="13C63B29">
                  <w:pPr>
                    <w:spacing w:line="280" w:lineRule="exact"/>
                    <w:jc w:val="center"/>
                    <w:rPr>
                      <w:szCs w:val="21"/>
                    </w:rPr>
                  </w:pPr>
                </w:p>
              </w:tc>
              <w:tc>
                <w:tcPr>
                  <w:tcW w:w="505" w:type="pct"/>
                  <w:vMerge w:val="continue"/>
                  <w:tcBorders>
                    <w:right w:val="single" w:color="auto" w:sz="4" w:space="0"/>
                  </w:tcBorders>
                  <w:vAlign w:val="center"/>
                </w:tcPr>
                <w:p w14:paraId="0D72B4DF">
                  <w:pPr>
                    <w:spacing w:line="280" w:lineRule="exact"/>
                    <w:jc w:val="center"/>
                    <w:rPr>
                      <w:szCs w:val="21"/>
                    </w:rPr>
                  </w:pPr>
                </w:p>
              </w:tc>
              <w:tc>
                <w:tcPr>
                  <w:tcW w:w="1012" w:type="pct"/>
                  <w:gridSpan w:val="2"/>
                  <w:vMerge w:val="continue"/>
                  <w:tcBorders>
                    <w:right w:val="single" w:color="auto" w:sz="4" w:space="0"/>
                  </w:tcBorders>
                  <w:vAlign w:val="center"/>
                </w:tcPr>
                <w:p w14:paraId="127829AF">
                  <w:pPr>
                    <w:spacing w:line="280" w:lineRule="exact"/>
                    <w:jc w:val="center"/>
                    <w:rPr>
                      <w:szCs w:val="21"/>
                    </w:rPr>
                  </w:pPr>
                </w:p>
              </w:tc>
              <w:tc>
                <w:tcPr>
                  <w:tcW w:w="674" w:type="pct"/>
                  <w:tcBorders>
                    <w:top w:val="single" w:color="auto" w:sz="4" w:space="0"/>
                    <w:left w:val="single" w:color="auto" w:sz="4" w:space="0"/>
                    <w:right w:val="single" w:color="auto" w:sz="4" w:space="0"/>
                  </w:tcBorders>
                  <w:vAlign w:val="center"/>
                </w:tcPr>
                <w:p w14:paraId="4AD42BFE">
                  <w:pPr>
                    <w:spacing w:line="280" w:lineRule="exact"/>
                    <w:jc w:val="center"/>
                    <w:rPr>
                      <w:szCs w:val="21"/>
                    </w:rPr>
                  </w:pPr>
                  <w:r>
                    <w:rPr>
                      <w:szCs w:val="21"/>
                    </w:rPr>
                    <w:t>排放浓度（mg/L）</w:t>
                  </w:r>
                </w:p>
              </w:tc>
              <w:tc>
                <w:tcPr>
                  <w:tcW w:w="507" w:type="pct"/>
                  <w:tcBorders>
                    <w:top w:val="single" w:color="auto" w:sz="4" w:space="0"/>
                    <w:left w:val="single" w:color="auto" w:sz="4" w:space="0"/>
                    <w:right w:val="single" w:color="auto" w:sz="4" w:space="0"/>
                  </w:tcBorders>
                  <w:vAlign w:val="center"/>
                </w:tcPr>
                <w:p w14:paraId="4CED5708">
                  <w:pPr>
                    <w:spacing w:line="280" w:lineRule="exact"/>
                    <w:jc w:val="center"/>
                    <w:rPr>
                      <w:szCs w:val="21"/>
                    </w:rPr>
                  </w:pPr>
                  <w:r>
                    <w:rPr>
                      <w:szCs w:val="21"/>
                    </w:rPr>
                    <w:t>排放量</w:t>
                  </w:r>
                </w:p>
              </w:tc>
              <w:tc>
                <w:tcPr>
                  <w:tcW w:w="676" w:type="pct"/>
                  <w:tcBorders>
                    <w:top w:val="single" w:color="auto" w:sz="4" w:space="0"/>
                    <w:left w:val="single" w:color="auto" w:sz="4" w:space="0"/>
                    <w:right w:val="single" w:color="auto" w:sz="4" w:space="0"/>
                  </w:tcBorders>
                  <w:vAlign w:val="center"/>
                </w:tcPr>
                <w:p w14:paraId="4073EC6E">
                  <w:pPr>
                    <w:spacing w:line="280" w:lineRule="exact"/>
                    <w:jc w:val="center"/>
                    <w:rPr>
                      <w:szCs w:val="21"/>
                    </w:rPr>
                  </w:pPr>
                  <w:r>
                    <w:rPr>
                      <w:szCs w:val="21"/>
                    </w:rPr>
                    <w:t>排放浓度（mg/L）</w:t>
                  </w:r>
                </w:p>
              </w:tc>
              <w:tc>
                <w:tcPr>
                  <w:tcW w:w="435" w:type="pct"/>
                  <w:tcBorders>
                    <w:top w:val="single" w:color="auto" w:sz="4" w:space="0"/>
                    <w:left w:val="single" w:color="auto" w:sz="4" w:space="0"/>
                  </w:tcBorders>
                  <w:vAlign w:val="center"/>
                </w:tcPr>
                <w:p w14:paraId="205AA422">
                  <w:pPr>
                    <w:spacing w:line="280" w:lineRule="exact"/>
                    <w:jc w:val="center"/>
                    <w:rPr>
                      <w:szCs w:val="21"/>
                    </w:rPr>
                  </w:pPr>
                  <w:r>
                    <w:rPr>
                      <w:szCs w:val="21"/>
                    </w:rPr>
                    <w:t>排放量</w:t>
                  </w:r>
                </w:p>
              </w:tc>
            </w:tr>
            <w:tr w14:paraId="62CF2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432" w:type="pct"/>
                  <w:vMerge w:val="restart"/>
                  <w:tcBorders>
                    <w:left w:val="single" w:color="auto" w:sz="4" w:space="0"/>
                  </w:tcBorders>
                  <w:vAlign w:val="center"/>
                </w:tcPr>
                <w:p w14:paraId="1ED499D9">
                  <w:pPr>
                    <w:spacing w:line="280" w:lineRule="exact"/>
                    <w:jc w:val="center"/>
                    <w:rPr>
                      <w:szCs w:val="21"/>
                    </w:rPr>
                  </w:pPr>
                  <w:r>
                    <w:rPr>
                      <w:szCs w:val="21"/>
                    </w:rPr>
                    <w:t>DW001</w:t>
                  </w:r>
                </w:p>
              </w:tc>
              <w:tc>
                <w:tcPr>
                  <w:tcW w:w="420" w:type="pct"/>
                  <w:vMerge w:val="restart"/>
                  <w:tcBorders>
                    <w:right w:val="single" w:color="auto" w:sz="4" w:space="0"/>
                  </w:tcBorders>
                  <w:vAlign w:val="center"/>
                </w:tcPr>
                <w:p w14:paraId="6F46B41F">
                  <w:pPr>
                    <w:widowControl/>
                    <w:jc w:val="center"/>
                    <w:rPr>
                      <w:szCs w:val="21"/>
                    </w:rPr>
                  </w:pPr>
                  <w:r>
                    <w:rPr>
                      <w:rStyle w:val="164"/>
                      <w:rFonts w:hint="default" w:ascii="Times New Roman" w:hAnsi="Times New Roman" w:eastAsia="宋体"/>
                      <w:color w:val="auto"/>
                      <w:sz w:val="21"/>
                      <w:szCs w:val="21"/>
                    </w:rPr>
                    <w:t>综合</w:t>
                  </w:r>
                  <w:r>
                    <w:rPr>
                      <w:rFonts w:hint="eastAsia"/>
                      <w:bCs/>
                    </w:rPr>
                    <w:t>污水</w:t>
                  </w:r>
                  <w:r>
                    <w:rPr>
                      <w:rStyle w:val="164"/>
                      <w:rFonts w:hint="default" w:ascii="Times New Roman" w:hAnsi="Times New Roman" w:eastAsia="宋体"/>
                      <w:color w:val="auto"/>
                      <w:sz w:val="21"/>
                      <w:szCs w:val="21"/>
                    </w:rPr>
                    <w:t>处理设施</w:t>
                  </w:r>
                </w:p>
              </w:tc>
              <w:tc>
                <w:tcPr>
                  <w:tcW w:w="339" w:type="pct"/>
                  <w:vMerge w:val="restart"/>
                  <w:tcBorders>
                    <w:top w:val="single" w:color="auto" w:sz="4" w:space="0"/>
                    <w:left w:val="single" w:color="auto" w:sz="4" w:space="0"/>
                  </w:tcBorders>
                  <w:vAlign w:val="center"/>
                </w:tcPr>
                <w:p w14:paraId="6003B427">
                  <w:pPr>
                    <w:spacing w:line="280" w:lineRule="exact"/>
                    <w:jc w:val="center"/>
                    <w:rPr>
                      <w:szCs w:val="21"/>
                    </w:rPr>
                  </w:pPr>
                  <w:r>
                    <w:rPr>
                      <w:szCs w:val="21"/>
                    </w:rPr>
                    <w:t>李渡大耍坝处理厂</w:t>
                  </w:r>
                </w:p>
              </w:tc>
              <w:tc>
                <w:tcPr>
                  <w:tcW w:w="505" w:type="pct"/>
                  <w:tcBorders>
                    <w:right w:val="single" w:color="auto" w:sz="4" w:space="0"/>
                  </w:tcBorders>
                  <w:vAlign w:val="center"/>
                </w:tcPr>
                <w:p w14:paraId="334832E0">
                  <w:pPr>
                    <w:spacing w:line="320" w:lineRule="exact"/>
                    <w:jc w:val="center"/>
                    <w:rPr>
                      <w:bCs/>
                      <w:szCs w:val="21"/>
                    </w:rPr>
                  </w:pPr>
                  <w:r>
                    <w:rPr>
                      <w:bCs/>
                      <w:szCs w:val="21"/>
                    </w:rPr>
                    <w:t>氨氮</w:t>
                  </w:r>
                </w:p>
              </w:tc>
              <w:tc>
                <w:tcPr>
                  <w:tcW w:w="675" w:type="pct"/>
                  <w:vMerge w:val="restart"/>
                  <w:tcBorders>
                    <w:right w:val="single" w:color="auto" w:sz="4" w:space="0"/>
                  </w:tcBorders>
                  <w:vAlign w:val="center"/>
                </w:tcPr>
                <w:p w14:paraId="17141D98">
                  <w:pPr>
                    <w:spacing w:line="280" w:lineRule="exact"/>
                    <w:jc w:val="center"/>
                    <w:rPr>
                      <w:szCs w:val="21"/>
                    </w:rPr>
                  </w:pPr>
                  <w:r>
                    <w:rPr>
                      <w:szCs w:val="21"/>
                    </w:rPr>
                    <w:t>《污水综合排放标准》（GB8978-1996）三级标准</w:t>
                  </w:r>
                </w:p>
              </w:tc>
              <w:tc>
                <w:tcPr>
                  <w:tcW w:w="337" w:type="pct"/>
                  <w:tcBorders>
                    <w:right w:val="single" w:color="auto" w:sz="4" w:space="0"/>
                  </w:tcBorders>
                  <w:vAlign w:val="center"/>
                </w:tcPr>
                <w:p w14:paraId="7350982C">
                  <w:pPr>
                    <w:spacing w:line="280" w:lineRule="exact"/>
                    <w:jc w:val="center"/>
                    <w:rPr>
                      <w:szCs w:val="21"/>
                    </w:rPr>
                  </w:pPr>
                  <w:r>
                    <w:rPr>
                      <w:szCs w:val="21"/>
                    </w:rPr>
                    <w:t>45*</w:t>
                  </w:r>
                </w:p>
              </w:tc>
              <w:tc>
                <w:tcPr>
                  <w:tcW w:w="674" w:type="pct"/>
                  <w:tcBorders>
                    <w:left w:val="single" w:color="auto" w:sz="4" w:space="0"/>
                    <w:right w:val="single" w:color="auto" w:sz="4" w:space="0"/>
                  </w:tcBorders>
                  <w:vAlign w:val="center"/>
                </w:tcPr>
                <w:p w14:paraId="12D93C92">
                  <w:pPr>
                    <w:spacing w:line="320" w:lineRule="exact"/>
                    <w:jc w:val="center"/>
                    <w:rPr>
                      <w:bCs/>
                      <w:szCs w:val="21"/>
                    </w:rPr>
                  </w:pPr>
                  <w:r>
                    <w:rPr>
                      <w:bCs/>
                      <w:szCs w:val="21"/>
                    </w:rPr>
                    <w:t>6.01</w:t>
                  </w:r>
                </w:p>
              </w:tc>
              <w:tc>
                <w:tcPr>
                  <w:tcW w:w="507" w:type="pct"/>
                  <w:tcBorders>
                    <w:left w:val="single" w:color="auto" w:sz="4" w:space="0"/>
                    <w:right w:val="single" w:color="auto" w:sz="4" w:space="0"/>
                  </w:tcBorders>
                  <w:vAlign w:val="center"/>
                </w:tcPr>
                <w:p w14:paraId="180812F6">
                  <w:pPr>
                    <w:spacing w:line="320" w:lineRule="exact"/>
                    <w:jc w:val="center"/>
                    <w:rPr>
                      <w:bCs/>
                      <w:szCs w:val="21"/>
                    </w:rPr>
                  </w:pPr>
                  <w:r>
                    <w:rPr>
                      <w:bCs/>
                      <w:szCs w:val="21"/>
                    </w:rPr>
                    <w:t xml:space="preserve">0.025 </w:t>
                  </w:r>
                </w:p>
              </w:tc>
              <w:tc>
                <w:tcPr>
                  <w:tcW w:w="676" w:type="pct"/>
                  <w:tcBorders>
                    <w:left w:val="single" w:color="auto" w:sz="4" w:space="0"/>
                    <w:right w:val="single" w:color="auto" w:sz="4" w:space="0"/>
                  </w:tcBorders>
                  <w:vAlign w:val="center"/>
                </w:tcPr>
                <w:p w14:paraId="28C9DAE9">
                  <w:pPr>
                    <w:spacing w:line="280" w:lineRule="exact"/>
                    <w:jc w:val="center"/>
                    <w:rPr>
                      <w:szCs w:val="21"/>
                    </w:rPr>
                  </w:pPr>
                  <w:r>
                    <w:rPr>
                      <w:szCs w:val="21"/>
                    </w:rPr>
                    <w:t>8（15）*</w:t>
                  </w:r>
                </w:p>
              </w:tc>
              <w:tc>
                <w:tcPr>
                  <w:tcW w:w="435" w:type="pct"/>
                  <w:tcBorders>
                    <w:left w:val="single" w:color="auto" w:sz="4" w:space="0"/>
                  </w:tcBorders>
                  <w:vAlign w:val="center"/>
                </w:tcPr>
                <w:p w14:paraId="65FC20F5">
                  <w:pPr>
                    <w:spacing w:line="320" w:lineRule="exact"/>
                    <w:jc w:val="center"/>
                    <w:rPr>
                      <w:bCs/>
                      <w:szCs w:val="21"/>
                    </w:rPr>
                  </w:pPr>
                  <w:r>
                    <w:rPr>
                      <w:bCs/>
                      <w:szCs w:val="21"/>
                    </w:rPr>
                    <w:t xml:space="preserve">0.040 </w:t>
                  </w:r>
                </w:p>
              </w:tc>
            </w:tr>
            <w:tr w14:paraId="44BB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432" w:type="pct"/>
                  <w:vMerge w:val="continue"/>
                  <w:tcBorders>
                    <w:left w:val="single" w:color="auto" w:sz="4" w:space="0"/>
                  </w:tcBorders>
                  <w:vAlign w:val="center"/>
                </w:tcPr>
                <w:p w14:paraId="232AD979">
                  <w:pPr>
                    <w:spacing w:line="280" w:lineRule="exact"/>
                    <w:jc w:val="center"/>
                    <w:rPr>
                      <w:szCs w:val="21"/>
                    </w:rPr>
                  </w:pPr>
                </w:p>
              </w:tc>
              <w:tc>
                <w:tcPr>
                  <w:tcW w:w="420" w:type="pct"/>
                  <w:vMerge w:val="continue"/>
                  <w:tcBorders>
                    <w:right w:val="single" w:color="auto" w:sz="4" w:space="0"/>
                  </w:tcBorders>
                  <w:vAlign w:val="center"/>
                </w:tcPr>
                <w:p w14:paraId="0C3DE9A6">
                  <w:pPr>
                    <w:spacing w:line="280" w:lineRule="exact"/>
                    <w:jc w:val="center"/>
                    <w:rPr>
                      <w:szCs w:val="21"/>
                    </w:rPr>
                  </w:pPr>
                </w:p>
              </w:tc>
              <w:tc>
                <w:tcPr>
                  <w:tcW w:w="339" w:type="pct"/>
                  <w:vMerge w:val="continue"/>
                  <w:tcBorders>
                    <w:left w:val="single" w:color="auto" w:sz="4" w:space="0"/>
                  </w:tcBorders>
                  <w:vAlign w:val="center"/>
                </w:tcPr>
                <w:p w14:paraId="19636D2D">
                  <w:pPr>
                    <w:spacing w:line="280" w:lineRule="exact"/>
                    <w:jc w:val="center"/>
                    <w:rPr>
                      <w:szCs w:val="21"/>
                    </w:rPr>
                  </w:pPr>
                </w:p>
              </w:tc>
              <w:tc>
                <w:tcPr>
                  <w:tcW w:w="505" w:type="pct"/>
                  <w:tcBorders>
                    <w:right w:val="single" w:color="auto" w:sz="4" w:space="0"/>
                  </w:tcBorders>
                  <w:vAlign w:val="center"/>
                </w:tcPr>
                <w:p w14:paraId="59318788">
                  <w:pPr>
                    <w:spacing w:line="320" w:lineRule="exact"/>
                    <w:jc w:val="center"/>
                    <w:rPr>
                      <w:bCs/>
                      <w:szCs w:val="21"/>
                    </w:rPr>
                  </w:pPr>
                  <w:r>
                    <w:rPr>
                      <w:bCs/>
                      <w:szCs w:val="21"/>
                    </w:rPr>
                    <w:t>悬浮物</w:t>
                  </w:r>
                </w:p>
              </w:tc>
              <w:tc>
                <w:tcPr>
                  <w:tcW w:w="675" w:type="pct"/>
                  <w:vMerge w:val="continue"/>
                  <w:tcBorders>
                    <w:right w:val="single" w:color="auto" w:sz="4" w:space="0"/>
                  </w:tcBorders>
                  <w:vAlign w:val="center"/>
                </w:tcPr>
                <w:p w14:paraId="2472787E">
                  <w:pPr>
                    <w:spacing w:line="280" w:lineRule="exact"/>
                    <w:jc w:val="center"/>
                    <w:rPr>
                      <w:szCs w:val="21"/>
                    </w:rPr>
                  </w:pPr>
                </w:p>
              </w:tc>
              <w:tc>
                <w:tcPr>
                  <w:tcW w:w="337" w:type="pct"/>
                  <w:tcBorders>
                    <w:right w:val="single" w:color="auto" w:sz="4" w:space="0"/>
                  </w:tcBorders>
                  <w:vAlign w:val="center"/>
                </w:tcPr>
                <w:p w14:paraId="15E19ED7">
                  <w:pPr>
                    <w:spacing w:line="280" w:lineRule="exact"/>
                    <w:jc w:val="center"/>
                    <w:rPr>
                      <w:szCs w:val="21"/>
                    </w:rPr>
                  </w:pPr>
                  <w:r>
                    <w:rPr>
                      <w:szCs w:val="21"/>
                    </w:rPr>
                    <w:t>400</w:t>
                  </w:r>
                </w:p>
              </w:tc>
              <w:tc>
                <w:tcPr>
                  <w:tcW w:w="674" w:type="pct"/>
                  <w:tcBorders>
                    <w:left w:val="single" w:color="auto" w:sz="4" w:space="0"/>
                    <w:right w:val="single" w:color="auto" w:sz="4" w:space="0"/>
                  </w:tcBorders>
                  <w:vAlign w:val="center"/>
                </w:tcPr>
                <w:p w14:paraId="7D52A05A">
                  <w:pPr>
                    <w:spacing w:line="320" w:lineRule="exact"/>
                    <w:jc w:val="center"/>
                    <w:rPr>
                      <w:bCs/>
                      <w:szCs w:val="21"/>
                    </w:rPr>
                  </w:pPr>
                  <w:r>
                    <w:rPr>
                      <w:bCs/>
                      <w:szCs w:val="21"/>
                    </w:rPr>
                    <w:t>76</w:t>
                  </w:r>
                </w:p>
              </w:tc>
              <w:tc>
                <w:tcPr>
                  <w:tcW w:w="507" w:type="pct"/>
                  <w:tcBorders>
                    <w:left w:val="single" w:color="auto" w:sz="4" w:space="0"/>
                    <w:right w:val="single" w:color="auto" w:sz="4" w:space="0"/>
                  </w:tcBorders>
                  <w:vAlign w:val="center"/>
                </w:tcPr>
                <w:p w14:paraId="763E5E4B">
                  <w:pPr>
                    <w:spacing w:line="320" w:lineRule="exact"/>
                    <w:jc w:val="center"/>
                    <w:rPr>
                      <w:bCs/>
                      <w:szCs w:val="21"/>
                    </w:rPr>
                  </w:pPr>
                  <w:r>
                    <w:rPr>
                      <w:bCs/>
                      <w:szCs w:val="21"/>
                    </w:rPr>
                    <w:t xml:space="preserve">0.318 </w:t>
                  </w:r>
                </w:p>
              </w:tc>
              <w:tc>
                <w:tcPr>
                  <w:tcW w:w="676" w:type="pct"/>
                  <w:tcBorders>
                    <w:left w:val="single" w:color="auto" w:sz="4" w:space="0"/>
                    <w:right w:val="single" w:color="auto" w:sz="4" w:space="0"/>
                  </w:tcBorders>
                  <w:vAlign w:val="center"/>
                </w:tcPr>
                <w:p w14:paraId="28B48961">
                  <w:pPr>
                    <w:spacing w:line="280" w:lineRule="exact"/>
                    <w:jc w:val="center"/>
                    <w:rPr>
                      <w:szCs w:val="21"/>
                    </w:rPr>
                  </w:pPr>
                  <w:r>
                    <w:rPr>
                      <w:szCs w:val="21"/>
                    </w:rPr>
                    <w:t>20</w:t>
                  </w:r>
                </w:p>
              </w:tc>
              <w:tc>
                <w:tcPr>
                  <w:tcW w:w="435" w:type="pct"/>
                  <w:tcBorders>
                    <w:left w:val="single" w:color="auto" w:sz="4" w:space="0"/>
                  </w:tcBorders>
                  <w:vAlign w:val="center"/>
                </w:tcPr>
                <w:p w14:paraId="4B213863">
                  <w:pPr>
                    <w:spacing w:line="320" w:lineRule="exact"/>
                    <w:jc w:val="center"/>
                    <w:rPr>
                      <w:bCs/>
                      <w:szCs w:val="21"/>
                    </w:rPr>
                  </w:pPr>
                  <w:r>
                    <w:rPr>
                      <w:bCs/>
                      <w:szCs w:val="21"/>
                    </w:rPr>
                    <w:t xml:space="preserve">0.100 </w:t>
                  </w:r>
                </w:p>
              </w:tc>
            </w:tr>
            <w:tr w14:paraId="3EE76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432" w:type="pct"/>
                  <w:vMerge w:val="continue"/>
                  <w:tcBorders>
                    <w:left w:val="single" w:color="auto" w:sz="4" w:space="0"/>
                  </w:tcBorders>
                  <w:vAlign w:val="center"/>
                </w:tcPr>
                <w:p w14:paraId="76F81EF6">
                  <w:pPr>
                    <w:spacing w:line="280" w:lineRule="exact"/>
                    <w:jc w:val="center"/>
                    <w:rPr>
                      <w:szCs w:val="21"/>
                    </w:rPr>
                  </w:pPr>
                </w:p>
              </w:tc>
              <w:tc>
                <w:tcPr>
                  <w:tcW w:w="420" w:type="pct"/>
                  <w:vMerge w:val="continue"/>
                  <w:tcBorders>
                    <w:right w:val="single" w:color="auto" w:sz="4" w:space="0"/>
                  </w:tcBorders>
                  <w:vAlign w:val="center"/>
                </w:tcPr>
                <w:p w14:paraId="53062B1C">
                  <w:pPr>
                    <w:spacing w:line="280" w:lineRule="exact"/>
                    <w:jc w:val="center"/>
                    <w:rPr>
                      <w:szCs w:val="21"/>
                    </w:rPr>
                  </w:pPr>
                </w:p>
              </w:tc>
              <w:tc>
                <w:tcPr>
                  <w:tcW w:w="339" w:type="pct"/>
                  <w:vMerge w:val="continue"/>
                  <w:tcBorders>
                    <w:left w:val="single" w:color="auto" w:sz="4" w:space="0"/>
                  </w:tcBorders>
                  <w:vAlign w:val="center"/>
                </w:tcPr>
                <w:p w14:paraId="4845B346">
                  <w:pPr>
                    <w:spacing w:line="280" w:lineRule="exact"/>
                    <w:jc w:val="center"/>
                    <w:rPr>
                      <w:szCs w:val="21"/>
                    </w:rPr>
                  </w:pPr>
                </w:p>
              </w:tc>
              <w:tc>
                <w:tcPr>
                  <w:tcW w:w="505" w:type="pct"/>
                  <w:tcBorders>
                    <w:right w:val="single" w:color="auto" w:sz="4" w:space="0"/>
                  </w:tcBorders>
                  <w:vAlign w:val="center"/>
                </w:tcPr>
                <w:p w14:paraId="13B77514">
                  <w:pPr>
                    <w:spacing w:line="320" w:lineRule="exact"/>
                    <w:jc w:val="center"/>
                    <w:rPr>
                      <w:bCs/>
                      <w:szCs w:val="21"/>
                    </w:rPr>
                  </w:pPr>
                  <w:r>
                    <w:rPr>
                      <w:bCs/>
                      <w:szCs w:val="21"/>
                    </w:rPr>
                    <w:t>石油类</w:t>
                  </w:r>
                </w:p>
              </w:tc>
              <w:tc>
                <w:tcPr>
                  <w:tcW w:w="675" w:type="pct"/>
                  <w:vMerge w:val="continue"/>
                  <w:tcBorders>
                    <w:right w:val="single" w:color="auto" w:sz="4" w:space="0"/>
                  </w:tcBorders>
                  <w:vAlign w:val="center"/>
                </w:tcPr>
                <w:p w14:paraId="00376220">
                  <w:pPr>
                    <w:spacing w:line="280" w:lineRule="exact"/>
                    <w:jc w:val="center"/>
                    <w:rPr>
                      <w:szCs w:val="21"/>
                    </w:rPr>
                  </w:pPr>
                </w:p>
              </w:tc>
              <w:tc>
                <w:tcPr>
                  <w:tcW w:w="337" w:type="pct"/>
                  <w:tcBorders>
                    <w:right w:val="single" w:color="auto" w:sz="4" w:space="0"/>
                  </w:tcBorders>
                  <w:vAlign w:val="center"/>
                </w:tcPr>
                <w:p w14:paraId="602DD185">
                  <w:pPr>
                    <w:spacing w:line="280" w:lineRule="exact"/>
                    <w:jc w:val="center"/>
                    <w:rPr>
                      <w:szCs w:val="21"/>
                    </w:rPr>
                  </w:pPr>
                  <w:r>
                    <w:rPr>
                      <w:szCs w:val="21"/>
                    </w:rPr>
                    <w:t>20</w:t>
                  </w:r>
                </w:p>
              </w:tc>
              <w:tc>
                <w:tcPr>
                  <w:tcW w:w="674" w:type="pct"/>
                  <w:tcBorders>
                    <w:left w:val="single" w:color="auto" w:sz="4" w:space="0"/>
                    <w:right w:val="single" w:color="auto" w:sz="4" w:space="0"/>
                  </w:tcBorders>
                  <w:vAlign w:val="center"/>
                </w:tcPr>
                <w:p w14:paraId="0FF379C4">
                  <w:pPr>
                    <w:spacing w:line="320" w:lineRule="exact"/>
                    <w:jc w:val="center"/>
                    <w:rPr>
                      <w:bCs/>
                      <w:szCs w:val="21"/>
                    </w:rPr>
                  </w:pPr>
                  <w:r>
                    <w:rPr>
                      <w:bCs/>
                      <w:szCs w:val="21"/>
                    </w:rPr>
                    <w:t>0.89</w:t>
                  </w:r>
                </w:p>
              </w:tc>
              <w:tc>
                <w:tcPr>
                  <w:tcW w:w="507" w:type="pct"/>
                  <w:tcBorders>
                    <w:left w:val="single" w:color="auto" w:sz="4" w:space="0"/>
                    <w:right w:val="single" w:color="auto" w:sz="4" w:space="0"/>
                  </w:tcBorders>
                  <w:vAlign w:val="center"/>
                </w:tcPr>
                <w:p w14:paraId="4AB866BA">
                  <w:pPr>
                    <w:spacing w:line="320" w:lineRule="exact"/>
                    <w:jc w:val="center"/>
                    <w:rPr>
                      <w:bCs/>
                      <w:szCs w:val="21"/>
                    </w:rPr>
                  </w:pPr>
                  <w:r>
                    <w:rPr>
                      <w:bCs/>
                      <w:szCs w:val="21"/>
                    </w:rPr>
                    <w:t xml:space="preserve">0.004 </w:t>
                  </w:r>
                </w:p>
              </w:tc>
              <w:tc>
                <w:tcPr>
                  <w:tcW w:w="676" w:type="pct"/>
                  <w:tcBorders>
                    <w:left w:val="single" w:color="auto" w:sz="4" w:space="0"/>
                    <w:right w:val="single" w:color="auto" w:sz="4" w:space="0"/>
                  </w:tcBorders>
                  <w:vAlign w:val="center"/>
                </w:tcPr>
                <w:p w14:paraId="27C8621E">
                  <w:pPr>
                    <w:spacing w:line="280" w:lineRule="exact"/>
                    <w:jc w:val="center"/>
                    <w:rPr>
                      <w:szCs w:val="21"/>
                    </w:rPr>
                  </w:pPr>
                  <w:r>
                    <w:rPr>
                      <w:szCs w:val="21"/>
                    </w:rPr>
                    <w:t>3</w:t>
                  </w:r>
                </w:p>
              </w:tc>
              <w:tc>
                <w:tcPr>
                  <w:tcW w:w="435" w:type="pct"/>
                  <w:tcBorders>
                    <w:left w:val="single" w:color="auto" w:sz="4" w:space="0"/>
                  </w:tcBorders>
                  <w:vAlign w:val="center"/>
                </w:tcPr>
                <w:p w14:paraId="162E9361">
                  <w:pPr>
                    <w:spacing w:line="320" w:lineRule="exact"/>
                    <w:jc w:val="center"/>
                    <w:rPr>
                      <w:bCs/>
                      <w:szCs w:val="21"/>
                    </w:rPr>
                  </w:pPr>
                  <w:r>
                    <w:rPr>
                      <w:bCs/>
                      <w:szCs w:val="21"/>
                    </w:rPr>
                    <w:t xml:space="preserve">0.015 </w:t>
                  </w:r>
                </w:p>
              </w:tc>
            </w:tr>
            <w:tr w14:paraId="2EB1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32" w:type="pct"/>
                  <w:vMerge w:val="continue"/>
                  <w:tcBorders>
                    <w:left w:val="single" w:color="auto" w:sz="4" w:space="0"/>
                  </w:tcBorders>
                  <w:vAlign w:val="center"/>
                </w:tcPr>
                <w:p w14:paraId="2664D43C">
                  <w:pPr>
                    <w:spacing w:line="280" w:lineRule="exact"/>
                    <w:jc w:val="center"/>
                    <w:rPr>
                      <w:szCs w:val="21"/>
                    </w:rPr>
                  </w:pPr>
                </w:p>
              </w:tc>
              <w:tc>
                <w:tcPr>
                  <w:tcW w:w="420" w:type="pct"/>
                  <w:vMerge w:val="continue"/>
                  <w:tcBorders>
                    <w:right w:val="single" w:color="auto" w:sz="4" w:space="0"/>
                  </w:tcBorders>
                  <w:vAlign w:val="center"/>
                </w:tcPr>
                <w:p w14:paraId="2F6EECB9">
                  <w:pPr>
                    <w:spacing w:line="280" w:lineRule="exact"/>
                    <w:jc w:val="center"/>
                    <w:rPr>
                      <w:szCs w:val="21"/>
                    </w:rPr>
                  </w:pPr>
                </w:p>
              </w:tc>
              <w:tc>
                <w:tcPr>
                  <w:tcW w:w="339" w:type="pct"/>
                  <w:vMerge w:val="continue"/>
                  <w:tcBorders>
                    <w:left w:val="single" w:color="auto" w:sz="4" w:space="0"/>
                  </w:tcBorders>
                  <w:vAlign w:val="center"/>
                </w:tcPr>
                <w:p w14:paraId="33547588">
                  <w:pPr>
                    <w:spacing w:line="280" w:lineRule="exact"/>
                    <w:jc w:val="center"/>
                    <w:rPr>
                      <w:szCs w:val="21"/>
                    </w:rPr>
                  </w:pPr>
                </w:p>
              </w:tc>
              <w:tc>
                <w:tcPr>
                  <w:tcW w:w="505" w:type="pct"/>
                  <w:tcBorders>
                    <w:right w:val="single" w:color="auto" w:sz="4" w:space="0"/>
                  </w:tcBorders>
                  <w:vAlign w:val="center"/>
                </w:tcPr>
                <w:p w14:paraId="2CBAC524">
                  <w:pPr>
                    <w:spacing w:line="320" w:lineRule="exact"/>
                    <w:jc w:val="center"/>
                    <w:rPr>
                      <w:bCs/>
                      <w:szCs w:val="21"/>
                    </w:rPr>
                  </w:pPr>
                  <w:r>
                    <w:rPr>
                      <w:bCs/>
                      <w:szCs w:val="21"/>
                    </w:rPr>
                    <w:t>总磷</w:t>
                  </w:r>
                </w:p>
              </w:tc>
              <w:tc>
                <w:tcPr>
                  <w:tcW w:w="675" w:type="pct"/>
                  <w:vMerge w:val="continue"/>
                  <w:tcBorders>
                    <w:right w:val="single" w:color="auto" w:sz="4" w:space="0"/>
                  </w:tcBorders>
                  <w:vAlign w:val="center"/>
                </w:tcPr>
                <w:p w14:paraId="237FD9D2">
                  <w:pPr>
                    <w:spacing w:line="280" w:lineRule="exact"/>
                    <w:jc w:val="center"/>
                    <w:rPr>
                      <w:szCs w:val="21"/>
                    </w:rPr>
                  </w:pPr>
                </w:p>
              </w:tc>
              <w:tc>
                <w:tcPr>
                  <w:tcW w:w="337" w:type="pct"/>
                  <w:tcBorders>
                    <w:right w:val="single" w:color="auto" w:sz="4" w:space="0"/>
                  </w:tcBorders>
                  <w:vAlign w:val="center"/>
                </w:tcPr>
                <w:p w14:paraId="2BB028D7">
                  <w:pPr>
                    <w:spacing w:line="280" w:lineRule="exact"/>
                    <w:jc w:val="center"/>
                    <w:rPr>
                      <w:szCs w:val="21"/>
                    </w:rPr>
                  </w:pPr>
                  <w:r>
                    <w:rPr>
                      <w:szCs w:val="21"/>
                    </w:rPr>
                    <w:t>8*</w:t>
                  </w:r>
                </w:p>
              </w:tc>
              <w:tc>
                <w:tcPr>
                  <w:tcW w:w="674" w:type="pct"/>
                  <w:tcBorders>
                    <w:left w:val="single" w:color="auto" w:sz="4" w:space="0"/>
                    <w:right w:val="single" w:color="auto" w:sz="4" w:space="0"/>
                  </w:tcBorders>
                  <w:vAlign w:val="center"/>
                </w:tcPr>
                <w:p w14:paraId="5083FA16">
                  <w:pPr>
                    <w:spacing w:line="320" w:lineRule="exact"/>
                    <w:jc w:val="center"/>
                    <w:rPr>
                      <w:bCs/>
                      <w:szCs w:val="21"/>
                    </w:rPr>
                  </w:pPr>
                  <w:r>
                    <w:rPr>
                      <w:bCs/>
                      <w:szCs w:val="21"/>
                    </w:rPr>
                    <w:t>2.41</w:t>
                  </w:r>
                </w:p>
              </w:tc>
              <w:tc>
                <w:tcPr>
                  <w:tcW w:w="507" w:type="pct"/>
                  <w:tcBorders>
                    <w:left w:val="single" w:color="auto" w:sz="4" w:space="0"/>
                    <w:right w:val="single" w:color="auto" w:sz="4" w:space="0"/>
                  </w:tcBorders>
                  <w:vAlign w:val="center"/>
                </w:tcPr>
                <w:p w14:paraId="588A06E4">
                  <w:pPr>
                    <w:spacing w:line="320" w:lineRule="exact"/>
                    <w:jc w:val="center"/>
                    <w:rPr>
                      <w:bCs/>
                      <w:szCs w:val="21"/>
                    </w:rPr>
                  </w:pPr>
                  <w:r>
                    <w:rPr>
                      <w:bCs/>
                      <w:szCs w:val="21"/>
                    </w:rPr>
                    <w:t xml:space="preserve">0.010 </w:t>
                  </w:r>
                </w:p>
              </w:tc>
              <w:tc>
                <w:tcPr>
                  <w:tcW w:w="676" w:type="pct"/>
                  <w:tcBorders>
                    <w:left w:val="single" w:color="auto" w:sz="4" w:space="0"/>
                    <w:right w:val="single" w:color="auto" w:sz="4" w:space="0"/>
                  </w:tcBorders>
                  <w:vAlign w:val="center"/>
                </w:tcPr>
                <w:p w14:paraId="2FD4501A">
                  <w:pPr>
                    <w:spacing w:line="280" w:lineRule="exact"/>
                    <w:jc w:val="center"/>
                    <w:rPr>
                      <w:szCs w:val="21"/>
                    </w:rPr>
                  </w:pPr>
                  <w:r>
                    <w:rPr>
                      <w:szCs w:val="21"/>
                    </w:rPr>
                    <w:t>1</w:t>
                  </w:r>
                </w:p>
              </w:tc>
              <w:tc>
                <w:tcPr>
                  <w:tcW w:w="435" w:type="pct"/>
                  <w:tcBorders>
                    <w:left w:val="single" w:color="auto" w:sz="4" w:space="0"/>
                  </w:tcBorders>
                  <w:vAlign w:val="center"/>
                </w:tcPr>
                <w:p w14:paraId="08068C51">
                  <w:pPr>
                    <w:spacing w:line="320" w:lineRule="exact"/>
                    <w:jc w:val="center"/>
                    <w:rPr>
                      <w:bCs/>
                      <w:szCs w:val="21"/>
                    </w:rPr>
                  </w:pPr>
                  <w:r>
                    <w:rPr>
                      <w:bCs/>
                      <w:szCs w:val="21"/>
                    </w:rPr>
                    <w:t xml:space="preserve">0.005 </w:t>
                  </w:r>
                </w:p>
              </w:tc>
            </w:tr>
            <w:tr w14:paraId="3F0A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32" w:type="pct"/>
                  <w:vMerge w:val="continue"/>
                  <w:tcBorders>
                    <w:left w:val="single" w:color="auto" w:sz="4" w:space="0"/>
                  </w:tcBorders>
                  <w:vAlign w:val="center"/>
                </w:tcPr>
                <w:p w14:paraId="213A20F9">
                  <w:pPr>
                    <w:spacing w:line="280" w:lineRule="exact"/>
                    <w:jc w:val="center"/>
                    <w:rPr>
                      <w:szCs w:val="21"/>
                    </w:rPr>
                  </w:pPr>
                </w:p>
              </w:tc>
              <w:tc>
                <w:tcPr>
                  <w:tcW w:w="420" w:type="pct"/>
                  <w:vMerge w:val="continue"/>
                  <w:tcBorders>
                    <w:right w:val="single" w:color="auto" w:sz="4" w:space="0"/>
                  </w:tcBorders>
                  <w:vAlign w:val="center"/>
                </w:tcPr>
                <w:p w14:paraId="59FCB449">
                  <w:pPr>
                    <w:spacing w:line="280" w:lineRule="exact"/>
                    <w:jc w:val="center"/>
                    <w:rPr>
                      <w:szCs w:val="21"/>
                    </w:rPr>
                  </w:pPr>
                </w:p>
              </w:tc>
              <w:tc>
                <w:tcPr>
                  <w:tcW w:w="339" w:type="pct"/>
                  <w:vMerge w:val="continue"/>
                  <w:tcBorders>
                    <w:left w:val="single" w:color="auto" w:sz="4" w:space="0"/>
                  </w:tcBorders>
                  <w:vAlign w:val="center"/>
                </w:tcPr>
                <w:p w14:paraId="5A6D9E09">
                  <w:pPr>
                    <w:spacing w:line="280" w:lineRule="exact"/>
                    <w:jc w:val="center"/>
                    <w:rPr>
                      <w:szCs w:val="21"/>
                    </w:rPr>
                  </w:pPr>
                </w:p>
              </w:tc>
              <w:tc>
                <w:tcPr>
                  <w:tcW w:w="505" w:type="pct"/>
                  <w:tcBorders>
                    <w:right w:val="single" w:color="auto" w:sz="4" w:space="0"/>
                  </w:tcBorders>
                  <w:vAlign w:val="center"/>
                </w:tcPr>
                <w:p w14:paraId="66DAA990">
                  <w:pPr>
                    <w:spacing w:line="320" w:lineRule="exact"/>
                    <w:jc w:val="center"/>
                    <w:rPr>
                      <w:bCs/>
                      <w:szCs w:val="21"/>
                    </w:rPr>
                  </w:pPr>
                  <w:r>
                    <w:rPr>
                      <w:bCs/>
                      <w:szCs w:val="21"/>
                    </w:rPr>
                    <w:t>化学需氧量</w:t>
                  </w:r>
                </w:p>
              </w:tc>
              <w:tc>
                <w:tcPr>
                  <w:tcW w:w="675" w:type="pct"/>
                  <w:vMerge w:val="continue"/>
                  <w:tcBorders>
                    <w:right w:val="single" w:color="auto" w:sz="4" w:space="0"/>
                  </w:tcBorders>
                  <w:vAlign w:val="center"/>
                </w:tcPr>
                <w:p w14:paraId="4A19D6A6">
                  <w:pPr>
                    <w:spacing w:line="280" w:lineRule="exact"/>
                    <w:jc w:val="center"/>
                    <w:rPr>
                      <w:szCs w:val="21"/>
                    </w:rPr>
                  </w:pPr>
                </w:p>
              </w:tc>
              <w:tc>
                <w:tcPr>
                  <w:tcW w:w="337" w:type="pct"/>
                  <w:tcBorders>
                    <w:right w:val="single" w:color="auto" w:sz="4" w:space="0"/>
                  </w:tcBorders>
                  <w:vAlign w:val="center"/>
                </w:tcPr>
                <w:p w14:paraId="7480C5AA">
                  <w:pPr>
                    <w:spacing w:line="280" w:lineRule="exact"/>
                    <w:jc w:val="center"/>
                    <w:rPr>
                      <w:szCs w:val="21"/>
                    </w:rPr>
                  </w:pPr>
                  <w:r>
                    <w:rPr>
                      <w:szCs w:val="21"/>
                    </w:rPr>
                    <w:t>500</w:t>
                  </w:r>
                </w:p>
              </w:tc>
              <w:tc>
                <w:tcPr>
                  <w:tcW w:w="674" w:type="pct"/>
                  <w:tcBorders>
                    <w:left w:val="single" w:color="auto" w:sz="4" w:space="0"/>
                    <w:right w:val="single" w:color="auto" w:sz="4" w:space="0"/>
                  </w:tcBorders>
                  <w:vAlign w:val="center"/>
                </w:tcPr>
                <w:p w14:paraId="6511B201">
                  <w:pPr>
                    <w:spacing w:line="320" w:lineRule="exact"/>
                    <w:jc w:val="center"/>
                    <w:rPr>
                      <w:bCs/>
                      <w:szCs w:val="21"/>
                    </w:rPr>
                  </w:pPr>
                  <w:r>
                    <w:rPr>
                      <w:bCs/>
                      <w:szCs w:val="21"/>
                    </w:rPr>
                    <w:t>301.5</w:t>
                  </w:r>
                </w:p>
              </w:tc>
              <w:tc>
                <w:tcPr>
                  <w:tcW w:w="507" w:type="pct"/>
                  <w:tcBorders>
                    <w:left w:val="single" w:color="auto" w:sz="4" w:space="0"/>
                    <w:right w:val="single" w:color="auto" w:sz="4" w:space="0"/>
                  </w:tcBorders>
                  <w:vAlign w:val="center"/>
                </w:tcPr>
                <w:p w14:paraId="58366D66">
                  <w:pPr>
                    <w:spacing w:line="320" w:lineRule="exact"/>
                    <w:jc w:val="center"/>
                    <w:rPr>
                      <w:bCs/>
                      <w:szCs w:val="21"/>
                    </w:rPr>
                  </w:pPr>
                  <w:r>
                    <w:rPr>
                      <w:bCs/>
                      <w:szCs w:val="21"/>
                    </w:rPr>
                    <w:t xml:space="preserve">1.261 </w:t>
                  </w:r>
                </w:p>
              </w:tc>
              <w:tc>
                <w:tcPr>
                  <w:tcW w:w="676" w:type="pct"/>
                  <w:tcBorders>
                    <w:left w:val="single" w:color="auto" w:sz="4" w:space="0"/>
                    <w:right w:val="single" w:color="auto" w:sz="4" w:space="0"/>
                  </w:tcBorders>
                  <w:vAlign w:val="center"/>
                </w:tcPr>
                <w:p w14:paraId="3F7476C0">
                  <w:pPr>
                    <w:spacing w:line="280" w:lineRule="exact"/>
                    <w:jc w:val="center"/>
                    <w:rPr>
                      <w:szCs w:val="21"/>
                    </w:rPr>
                  </w:pPr>
                  <w:r>
                    <w:rPr>
                      <w:szCs w:val="21"/>
                    </w:rPr>
                    <w:t>60</w:t>
                  </w:r>
                </w:p>
              </w:tc>
              <w:tc>
                <w:tcPr>
                  <w:tcW w:w="435" w:type="pct"/>
                  <w:tcBorders>
                    <w:left w:val="single" w:color="auto" w:sz="4" w:space="0"/>
                  </w:tcBorders>
                  <w:vAlign w:val="center"/>
                </w:tcPr>
                <w:p w14:paraId="3283394B">
                  <w:pPr>
                    <w:spacing w:line="320" w:lineRule="exact"/>
                    <w:jc w:val="center"/>
                    <w:rPr>
                      <w:bCs/>
                      <w:szCs w:val="21"/>
                    </w:rPr>
                  </w:pPr>
                  <w:r>
                    <w:rPr>
                      <w:bCs/>
                      <w:szCs w:val="21"/>
                    </w:rPr>
                    <w:t xml:space="preserve">0.299 </w:t>
                  </w:r>
                </w:p>
              </w:tc>
            </w:tr>
            <w:tr w14:paraId="5B05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32" w:type="pct"/>
                  <w:vMerge w:val="continue"/>
                  <w:tcBorders>
                    <w:left w:val="single" w:color="auto" w:sz="4" w:space="0"/>
                  </w:tcBorders>
                  <w:vAlign w:val="center"/>
                </w:tcPr>
                <w:p w14:paraId="3A3F81AF">
                  <w:pPr>
                    <w:spacing w:line="280" w:lineRule="exact"/>
                    <w:jc w:val="center"/>
                    <w:rPr>
                      <w:szCs w:val="21"/>
                    </w:rPr>
                  </w:pPr>
                </w:p>
              </w:tc>
              <w:tc>
                <w:tcPr>
                  <w:tcW w:w="420" w:type="pct"/>
                  <w:vMerge w:val="continue"/>
                  <w:tcBorders>
                    <w:right w:val="single" w:color="auto" w:sz="4" w:space="0"/>
                  </w:tcBorders>
                  <w:vAlign w:val="center"/>
                </w:tcPr>
                <w:p w14:paraId="69C17838">
                  <w:pPr>
                    <w:spacing w:line="280" w:lineRule="exact"/>
                    <w:jc w:val="center"/>
                    <w:rPr>
                      <w:szCs w:val="21"/>
                    </w:rPr>
                  </w:pPr>
                </w:p>
              </w:tc>
              <w:tc>
                <w:tcPr>
                  <w:tcW w:w="339" w:type="pct"/>
                  <w:vMerge w:val="continue"/>
                  <w:tcBorders>
                    <w:left w:val="single" w:color="auto" w:sz="4" w:space="0"/>
                  </w:tcBorders>
                  <w:vAlign w:val="center"/>
                </w:tcPr>
                <w:p w14:paraId="524DCB1B">
                  <w:pPr>
                    <w:spacing w:line="280" w:lineRule="exact"/>
                    <w:jc w:val="center"/>
                    <w:rPr>
                      <w:szCs w:val="21"/>
                    </w:rPr>
                  </w:pPr>
                </w:p>
              </w:tc>
              <w:tc>
                <w:tcPr>
                  <w:tcW w:w="505" w:type="pct"/>
                  <w:tcBorders>
                    <w:right w:val="single" w:color="auto" w:sz="4" w:space="0"/>
                  </w:tcBorders>
                  <w:vAlign w:val="center"/>
                </w:tcPr>
                <w:p w14:paraId="1A36F837">
                  <w:pPr>
                    <w:jc w:val="center"/>
                    <w:rPr>
                      <w:bCs/>
                      <w:szCs w:val="21"/>
                    </w:rPr>
                  </w:pPr>
                  <w:r>
                    <w:rPr>
                      <w:bCs/>
                      <w:szCs w:val="21"/>
                    </w:rPr>
                    <w:t>五日生化需氧量</w:t>
                  </w:r>
                </w:p>
              </w:tc>
              <w:tc>
                <w:tcPr>
                  <w:tcW w:w="675" w:type="pct"/>
                  <w:vMerge w:val="continue"/>
                  <w:tcBorders>
                    <w:right w:val="single" w:color="auto" w:sz="4" w:space="0"/>
                  </w:tcBorders>
                  <w:vAlign w:val="center"/>
                </w:tcPr>
                <w:p w14:paraId="0ADF671B">
                  <w:pPr>
                    <w:spacing w:line="280" w:lineRule="exact"/>
                    <w:jc w:val="center"/>
                    <w:rPr>
                      <w:szCs w:val="21"/>
                    </w:rPr>
                  </w:pPr>
                </w:p>
              </w:tc>
              <w:tc>
                <w:tcPr>
                  <w:tcW w:w="337" w:type="pct"/>
                  <w:tcBorders>
                    <w:right w:val="single" w:color="auto" w:sz="4" w:space="0"/>
                  </w:tcBorders>
                  <w:vAlign w:val="center"/>
                </w:tcPr>
                <w:p w14:paraId="1312F9B4">
                  <w:pPr>
                    <w:spacing w:line="280" w:lineRule="exact"/>
                    <w:jc w:val="center"/>
                    <w:rPr>
                      <w:szCs w:val="21"/>
                    </w:rPr>
                  </w:pPr>
                  <w:r>
                    <w:rPr>
                      <w:szCs w:val="21"/>
                    </w:rPr>
                    <w:t>300</w:t>
                  </w:r>
                </w:p>
              </w:tc>
              <w:tc>
                <w:tcPr>
                  <w:tcW w:w="674" w:type="pct"/>
                  <w:tcBorders>
                    <w:left w:val="single" w:color="auto" w:sz="4" w:space="0"/>
                    <w:right w:val="single" w:color="auto" w:sz="4" w:space="0"/>
                  </w:tcBorders>
                  <w:vAlign w:val="center"/>
                </w:tcPr>
                <w:p w14:paraId="1D38F5DE">
                  <w:pPr>
                    <w:spacing w:line="320" w:lineRule="exact"/>
                    <w:jc w:val="center"/>
                    <w:rPr>
                      <w:bCs/>
                      <w:szCs w:val="21"/>
                    </w:rPr>
                  </w:pPr>
                  <w:r>
                    <w:rPr>
                      <w:bCs/>
                      <w:szCs w:val="21"/>
                    </w:rPr>
                    <w:t>85.85</w:t>
                  </w:r>
                </w:p>
              </w:tc>
              <w:tc>
                <w:tcPr>
                  <w:tcW w:w="507" w:type="pct"/>
                  <w:tcBorders>
                    <w:left w:val="single" w:color="auto" w:sz="4" w:space="0"/>
                    <w:right w:val="single" w:color="auto" w:sz="4" w:space="0"/>
                  </w:tcBorders>
                  <w:vAlign w:val="center"/>
                </w:tcPr>
                <w:p w14:paraId="6BB3C681">
                  <w:pPr>
                    <w:spacing w:line="320" w:lineRule="exact"/>
                    <w:jc w:val="center"/>
                    <w:rPr>
                      <w:bCs/>
                      <w:szCs w:val="21"/>
                    </w:rPr>
                  </w:pPr>
                  <w:r>
                    <w:rPr>
                      <w:bCs/>
                      <w:szCs w:val="21"/>
                    </w:rPr>
                    <w:t xml:space="preserve">0.359 </w:t>
                  </w:r>
                </w:p>
              </w:tc>
              <w:tc>
                <w:tcPr>
                  <w:tcW w:w="676" w:type="pct"/>
                  <w:tcBorders>
                    <w:left w:val="single" w:color="auto" w:sz="4" w:space="0"/>
                    <w:right w:val="single" w:color="auto" w:sz="4" w:space="0"/>
                  </w:tcBorders>
                  <w:vAlign w:val="center"/>
                </w:tcPr>
                <w:p w14:paraId="304C9984">
                  <w:pPr>
                    <w:spacing w:line="280" w:lineRule="exact"/>
                    <w:jc w:val="center"/>
                    <w:rPr>
                      <w:szCs w:val="21"/>
                    </w:rPr>
                  </w:pPr>
                  <w:r>
                    <w:rPr>
                      <w:szCs w:val="21"/>
                    </w:rPr>
                    <w:t>20</w:t>
                  </w:r>
                </w:p>
              </w:tc>
              <w:tc>
                <w:tcPr>
                  <w:tcW w:w="435" w:type="pct"/>
                  <w:tcBorders>
                    <w:left w:val="single" w:color="auto" w:sz="4" w:space="0"/>
                  </w:tcBorders>
                  <w:vAlign w:val="center"/>
                </w:tcPr>
                <w:p w14:paraId="16A60C58">
                  <w:pPr>
                    <w:spacing w:line="320" w:lineRule="exact"/>
                    <w:jc w:val="center"/>
                    <w:rPr>
                      <w:bCs/>
                      <w:szCs w:val="21"/>
                    </w:rPr>
                  </w:pPr>
                  <w:r>
                    <w:rPr>
                      <w:bCs/>
                      <w:szCs w:val="21"/>
                    </w:rPr>
                    <w:t xml:space="preserve">0.100 </w:t>
                  </w:r>
                </w:p>
              </w:tc>
            </w:tr>
            <w:tr w14:paraId="70BC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32" w:type="pct"/>
                  <w:vMerge w:val="continue"/>
                  <w:tcBorders>
                    <w:left w:val="single" w:color="auto" w:sz="4" w:space="0"/>
                  </w:tcBorders>
                  <w:vAlign w:val="center"/>
                </w:tcPr>
                <w:p w14:paraId="248970B1">
                  <w:pPr>
                    <w:spacing w:line="280" w:lineRule="exact"/>
                    <w:jc w:val="center"/>
                    <w:rPr>
                      <w:szCs w:val="21"/>
                    </w:rPr>
                  </w:pPr>
                </w:p>
              </w:tc>
              <w:tc>
                <w:tcPr>
                  <w:tcW w:w="420" w:type="pct"/>
                  <w:vMerge w:val="continue"/>
                  <w:tcBorders>
                    <w:right w:val="single" w:color="auto" w:sz="4" w:space="0"/>
                  </w:tcBorders>
                  <w:vAlign w:val="center"/>
                </w:tcPr>
                <w:p w14:paraId="51A7EC96">
                  <w:pPr>
                    <w:spacing w:line="280" w:lineRule="exact"/>
                    <w:jc w:val="center"/>
                    <w:rPr>
                      <w:szCs w:val="21"/>
                    </w:rPr>
                  </w:pPr>
                </w:p>
              </w:tc>
              <w:tc>
                <w:tcPr>
                  <w:tcW w:w="339" w:type="pct"/>
                  <w:vMerge w:val="continue"/>
                  <w:tcBorders>
                    <w:left w:val="single" w:color="auto" w:sz="4" w:space="0"/>
                  </w:tcBorders>
                  <w:vAlign w:val="center"/>
                </w:tcPr>
                <w:p w14:paraId="7445D0A7">
                  <w:pPr>
                    <w:spacing w:line="280" w:lineRule="exact"/>
                    <w:jc w:val="center"/>
                    <w:rPr>
                      <w:szCs w:val="21"/>
                    </w:rPr>
                  </w:pPr>
                </w:p>
              </w:tc>
              <w:tc>
                <w:tcPr>
                  <w:tcW w:w="505" w:type="pct"/>
                  <w:tcBorders>
                    <w:right w:val="single" w:color="auto" w:sz="4" w:space="0"/>
                  </w:tcBorders>
                  <w:vAlign w:val="center"/>
                </w:tcPr>
                <w:p w14:paraId="42F234A7">
                  <w:pPr>
                    <w:spacing w:line="320" w:lineRule="exact"/>
                    <w:jc w:val="center"/>
                    <w:rPr>
                      <w:bCs/>
                      <w:szCs w:val="21"/>
                    </w:rPr>
                  </w:pPr>
                  <w:r>
                    <w:rPr>
                      <w:bCs/>
                      <w:szCs w:val="21"/>
                    </w:rPr>
                    <w:t>阴离子表面活性剂</w:t>
                  </w:r>
                </w:p>
              </w:tc>
              <w:tc>
                <w:tcPr>
                  <w:tcW w:w="675" w:type="pct"/>
                  <w:vMerge w:val="continue"/>
                  <w:tcBorders>
                    <w:right w:val="single" w:color="auto" w:sz="4" w:space="0"/>
                  </w:tcBorders>
                  <w:vAlign w:val="center"/>
                </w:tcPr>
                <w:p w14:paraId="7330F76A">
                  <w:pPr>
                    <w:spacing w:line="280" w:lineRule="exact"/>
                    <w:jc w:val="center"/>
                    <w:rPr>
                      <w:szCs w:val="21"/>
                    </w:rPr>
                  </w:pPr>
                </w:p>
              </w:tc>
              <w:tc>
                <w:tcPr>
                  <w:tcW w:w="337" w:type="pct"/>
                  <w:tcBorders>
                    <w:right w:val="single" w:color="auto" w:sz="4" w:space="0"/>
                  </w:tcBorders>
                  <w:vAlign w:val="center"/>
                </w:tcPr>
                <w:p w14:paraId="42549E4A">
                  <w:pPr>
                    <w:spacing w:line="280" w:lineRule="exact"/>
                    <w:jc w:val="center"/>
                    <w:rPr>
                      <w:szCs w:val="21"/>
                    </w:rPr>
                  </w:pPr>
                  <w:r>
                    <w:rPr>
                      <w:szCs w:val="21"/>
                    </w:rPr>
                    <w:t>20</w:t>
                  </w:r>
                </w:p>
              </w:tc>
              <w:tc>
                <w:tcPr>
                  <w:tcW w:w="674" w:type="pct"/>
                  <w:tcBorders>
                    <w:left w:val="single" w:color="auto" w:sz="4" w:space="0"/>
                    <w:right w:val="single" w:color="auto" w:sz="4" w:space="0"/>
                  </w:tcBorders>
                  <w:vAlign w:val="center"/>
                </w:tcPr>
                <w:p w14:paraId="67716B69">
                  <w:pPr>
                    <w:spacing w:line="320" w:lineRule="exact"/>
                    <w:jc w:val="center"/>
                    <w:rPr>
                      <w:bCs/>
                      <w:szCs w:val="21"/>
                    </w:rPr>
                  </w:pPr>
                  <w:r>
                    <w:rPr>
                      <w:bCs/>
                      <w:szCs w:val="21"/>
                    </w:rPr>
                    <w:t>0.08</w:t>
                  </w:r>
                </w:p>
              </w:tc>
              <w:tc>
                <w:tcPr>
                  <w:tcW w:w="507" w:type="pct"/>
                  <w:tcBorders>
                    <w:left w:val="single" w:color="auto" w:sz="4" w:space="0"/>
                    <w:right w:val="single" w:color="auto" w:sz="4" w:space="0"/>
                  </w:tcBorders>
                  <w:vAlign w:val="center"/>
                </w:tcPr>
                <w:p w14:paraId="07BAB2B9">
                  <w:pPr>
                    <w:spacing w:line="320" w:lineRule="exact"/>
                    <w:jc w:val="center"/>
                    <w:rPr>
                      <w:bCs/>
                      <w:szCs w:val="21"/>
                    </w:rPr>
                  </w:pPr>
                  <w:r>
                    <w:rPr>
                      <w:bCs/>
                      <w:szCs w:val="21"/>
                    </w:rPr>
                    <w:t xml:space="preserve">0.0003 </w:t>
                  </w:r>
                </w:p>
              </w:tc>
              <w:tc>
                <w:tcPr>
                  <w:tcW w:w="676" w:type="pct"/>
                  <w:tcBorders>
                    <w:left w:val="single" w:color="auto" w:sz="4" w:space="0"/>
                    <w:right w:val="single" w:color="auto" w:sz="4" w:space="0"/>
                  </w:tcBorders>
                  <w:vAlign w:val="center"/>
                </w:tcPr>
                <w:p w14:paraId="0B3F446C">
                  <w:pPr>
                    <w:spacing w:line="280" w:lineRule="exact"/>
                    <w:jc w:val="center"/>
                    <w:rPr>
                      <w:szCs w:val="21"/>
                    </w:rPr>
                  </w:pPr>
                  <w:r>
                    <w:rPr>
                      <w:szCs w:val="21"/>
                    </w:rPr>
                    <w:t>1</w:t>
                  </w:r>
                </w:p>
              </w:tc>
              <w:tc>
                <w:tcPr>
                  <w:tcW w:w="435" w:type="pct"/>
                  <w:tcBorders>
                    <w:left w:val="single" w:color="auto" w:sz="4" w:space="0"/>
                  </w:tcBorders>
                  <w:vAlign w:val="center"/>
                </w:tcPr>
                <w:p w14:paraId="44570A7C">
                  <w:pPr>
                    <w:spacing w:line="320" w:lineRule="exact"/>
                    <w:jc w:val="center"/>
                    <w:rPr>
                      <w:bCs/>
                      <w:szCs w:val="21"/>
                    </w:rPr>
                  </w:pPr>
                  <w:r>
                    <w:rPr>
                      <w:bCs/>
                      <w:szCs w:val="21"/>
                    </w:rPr>
                    <w:t xml:space="preserve">0.005 </w:t>
                  </w:r>
                </w:p>
              </w:tc>
            </w:tr>
            <w:tr w14:paraId="6BD2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5000" w:type="pct"/>
                  <w:gridSpan w:val="10"/>
                  <w:tcBorders>
                    <w:left w:val="single" w:color="auto" w:sz="4" w:space="0"/>
                  </w:tcBorders>
                  <w:vAlign w:val="center"/>
                </w:tcPr>
                <w:p w14:paraId="1B1C780E">
                  <w:pPr>
                    <w:spacing w:line="320" w:lineRule="exact"/>
                    <w:rPr>
                      <w:bCs/>
                      <w:szCs w:val="21"/>
                    </w:rPr>
                  </w:pPr>
                  <w:r>
                    <w:rPr>
                      <w:bCs/>
                      <w:szCs w:val="21"/>
                    </w:rPr>
                    <w:t>注1：《污水综合排放标准》（GB8978-1996）三级标准中氨氮、TP参照《污水排入城市下水道水质标准》(CJ 3082-1999)B级</w:t>
                  </w:r>
                  <w:r>
                    <w:rPr>
                      <w:rFonts w:hint="eastAsia"/>
                      <w:bCs/>
                      <w:szCs w:val="21"/>
                    </w:rPr>
                    <w:t>。</w:t>
                  </w:r>
                </w:p>
                <w:p w14:paraId="1BFE54E8">
                  <w:pPr>
                    <w:spacing w:line="320" w:lineRule="exact"/>
                    <w:rPr>
                      <w:bCs/>
                      <w:szCs w:val="21"/>
                    </w:rPr>
                  </w:pPr>
                  <w:r>
                    <w:rPr>
                      <w:bCs/>
                      <w:szCs w:val="21"/>
                    </w:rPr>
                    <w:t>注2：《城镇污水处理厂污染物排放标准》（GB18918-2002）一级B标准中氨氮括号外数值为水温＞12℃时的控制指标，括号内数值为水温≤12℃时的控制指标</w:t>
                  </w:r>
                </w:p>
              </w:tc>
            </w:tr>
          </w:tbl>
          <w:p w14:paraId="7CAA2166">
            <w:pPr>
              <w:adjustRightInd w:val="0"/>
              <w:snapToGrid w:val="0"/>
              <w:spacing w:line="360" w:lineRule="auto"/>
              <w:jc w:val="center"/>
              <w:rPr>
                <w:bCs/>
                <w:sz w:val="24"/>
              </w:rPr>
            </w:pPr>
            <w:r>
              <w:rPr>
                <w:bCs/>
                <w:sz w:val="24"/>
              </w:rPr>
              <w:t>表2-11  现有</w:t>
            </w:r>
            <w:r>
              <w:rPr>
                <w:rFonts w:hint="eastAsia"/>
                <w:bCs/>
                <w:sz w:val="24"/>
              </w:rPr>
              <w:t>工程</w:t>
            </w:r>
            <w:r>
              <w:rPr>
                <w:bCs/>
                <w:sz w:val="24"/>
              </w:rPr>
              <w:t>固废产生情况统计一览表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821"/>
              <w:gridCol w:w="1298"/>
              <w:gridCol w:w="1417"/>
              <w:gridCol w:w="828"/>
              <w:gridCol w:w="2318"/>
            </w:tblGrid>
            <w:tr w14:paraId="1393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49" w:type="dxa"/>
                  <w:gridSpan w:val="2"/>
                  <w:shd w:val="clear" w:color="auto" w:fill="auto"/>
                  <w:vAlign w:val="center"/>
                </w:tcPr>
                <w:p w14:paraId="384AA214">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废物名称</w:t>
                  </w:r>
                </w:p>
              </w:tc>
              <w:tc>
                <w:tcPr>
                  <w:tcW w:w="1298" w:type="dxa"/>
                  <w:shd w:val="clear" w:color="auto" w:fill="auto"/>
                  <w:vAlign w:val="center"/>
                </w:tcPr>
                <w:p w14:paraId="5EBA36B1">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类别编号</w:t>
                  </w:r>
                </w:p>
              </w:tc>
              <w:tc>
                <w:tcPr>
                  <w:tcW w:w="1417" w:type="dxa"/>
                  <w:shd w:val="clear" w:color="auto" w:fill="auto"/>
                  <w:vAlign w:val="center"/>
                </w:tcPr>
                <w:p w14:paraId="093F1E15">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主要有害成分</w:t>
                  </w:r>
                </w:p>
              </w:tc>
              <w:tc>
                <w:tcPr>
                  <w:tcW w:w="828" w:type="dxa"/>
                  <w:shd w:val="clear" w:color="auto" w:fill="auto"/>
                  <w:vAlign w:val="center"/>
                </w:tcPr>
                <w:p w14:paraId="6AE2F679">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产生量t/a</w:t>
                  </w:r>
                </w:p>
              </w:tc>
              <w:tc>
                <w:tcPr>
                  <w:tcW w:w="2318" w:type="dxa"/>
                  <w:shd w:val="clear" w:color="auto" w:fill="auto"/>
                  <w:vAlign w:val="center"/>
                </w:tcPr>
                <w:p w14:paraId="348A845D">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处置方式</w:t>
                  </w:r>
                </w:p>
              </w:tc>
            </w:tr>
            <w:tr w14:paraId="57BD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shd w:val="clear" w:color="auto" w:fill="auto"/>
                  <w:vAlign w:val="center"/>
                </w:tcPr>
                <w:p w14:paraId="30C6E693">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一般</w:t>
                  </w:r>
                </w:p>
                <w:p w14:paraId="1BABE9AC">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固废</w:t>
                  </w:r>
                </w:p>
              </w:tc>
              <w:tc>
                <w:tcPr>
                  <w:tcW w:w="1821" w:type="dxa"/>
                  <w:shd w:val="clear" w:color="auto" w:fill="auto"/>
                  <w:vAlign w:val="center"/>
                </w:tcPr>
                <w:p w14:paraId="74D3015D">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压铸废品</w:t>
                  </w:r>
                </w:p>
              </w:tc>
              <w:tc>
                <w:tcPr>
                  <w:tcW w:w="1298" w:type="dxa"/>
                  <w:shd w:val="clear" w:color="auto" w:fill="auto"/>
                  <w:vAlign w:val="center"/>
                </w:tcPr>
                <w:p w14:paraId="3635EE56">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367-001-10</w:t>
                  </w:r>
                </w:p>
              </w:tc>
              <w:tc>
                <w:tcPr>
                  <w:tcW w:w="1417" w:type="dxa"/>
                  <w:shd w:val="clear" w:color="auto" w:fill="auto"/>
                  <w:vAlign w:val="center"/>
                </w:tcPr>
                <w:p w14:paraId="348E30A0">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w:t>
                  </w:r>
                </w:p>
              </w:tc>
              <w:tc>
                <w:tcPr>
                  <w:tcW w:w="828" w:type="dxa"/>
                  <w:shd w:val="clear" w:color="auto" w:fill="auto"/>
                  <w:vAlign w:val="center"/>
                </w:tcPr>
                <w:p w14:paraId="6E8FC905">
                  <w:pPr>
                    <w:ind w:left="-63" w:leftChars="-30" w:right="-63" w:rightChars="-30"/>
                    <w:jc w:val="center"/>
                    <w:rPr>
                      <w:rFonts w:ascii="Times" w:hAnsi="Times" w:cs="Times"/>
                      <w:bCs/>
                      <w:szCs w:val="21"/>
                    </w:rPr>
                  </w:pPr>
                  <w:r>
                    <w:rPr>
                      <w:rFonts w:ascii="Times" w:hAnsi="Times" w:cs="Times"/>
                      <w:bCs/>
                      <w:szCs w:val="21"/>
                    </w:rPr>
                    <w:t>389</w:t>
                  </w:r>
                </w:p>
              </w:tc>
              <w:tc>
                <w:tcPr>
                  <w:tcW w:w="2318" w:type="dxa"/>
                  <w:shd w:val="clear" w:color="auto" w:fill="auto"/>
                  <w:vAlign w:val="center"/>
                </w:tcPr>
                <w:p w14:paraId="45A3E8AD">
                  <w:pPr>
                    <w:ind w:left="-63" w:leftChars="-30" w:right="-63" w:rightChars="-30"/>
                    <w:jc w:val="center"/>
                    <w:rPr>
                      <w:rFonts w:ascii="Times" w:hAnsi="Times" w:cs="Times"/>
                      <w:bCs/>
                      <w:szCs w:val="21"/>
                    </w:rPr>
                  </w:pPr>
                  <w:r>
                    <w:rPr>
                      <w:rFonts w:ascii="Times" w:hAnsi="Times" w:cs="Times"/>
                      <w:szCs w:val="21"/>
                    </w:rPr>
                    <w:t>出售给重庆剑涛铝业有限公司作为原料使用</w:t>
                  </w:r>
                </w:p>
              </w:tc>
            </w:tr>
            <w:tr w14:paraId="6586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shd w:val="clear" w:color="auto" w:fill="auto"/>
                  <w:vAlign w:val="center"/>
                </w:tcPr>
                <w:p w14:paraId="1B35BF9F">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1BE6FCF4">
                  <w:pPr>
                    <w:adjustRightInd w:val="0"/>
                    <w:snapToGrid w:val="0"/>
                    <w:spacing w:line="300" w:lineRule="exact"/>
                    <w:ind w:left="-63" w:leftChars="-30" w:right="-63" w:rightChars="-30"/>
                    <w:jc w:val="center"/>
                    <w:rPr>
                      <w:rFonts w:ascii="Times" w:hAnsi="Times" w:cs="Times"/>
                      <w:szCs w:val="21"/>
                    </w:rPr>
                  </w:pPr>
                  <w:r>
                    <w:rPr>
                      <w:rFonts w:ascii="Times" w:hAnsi="Times" w:cs="Times"/>
                      <w:szCs w:val="21"/>
                    </w:rPr>
                    <w:t>废边角料</w:t>
                  </w:r>
                </w:p>
              </w:tc>
              <w:tc>
                <w:tcPr>
                  <w:tcW w:w="1298" w:type="dxa"/>
                  <w:shd w:val="clear" w:color="auto" w:fill="auto"/>
                  <w:vAlign w:val="center"/>
                </w:tcPr>
                <w:p w14:paraId="66C69A4C">
                  <w:pPr>
                    <w:adjustRightInd w:val="0"/>
                    <w:snapToGrid w:val="0"/>
                    <w:spacing w:line="300" w:lineRule="exact"/>
                    <w:ind w:left="-63" w:leftChars="-30" w:right="-63" w:rightChars="-30"/>
                    <w:jc w:val="center"/>
                    <w:rPr>
                      <w:rFonts w:ascii="Times" w:hAnsi="Times" w:cs="Times"/>
                      <w:szCs w:val="21"/>
                    </w:rPr>
                  </w:pPr>
                  <w:r>
                    <w:rPr>
                      <w:rFonts w:ascii="Times" w:hAnsi="Times" w:cs="Times"/>
                      <w:szCs w:val="21"/>
                    </w:rPr>
                    <w:t>367-001-10</w:t>
                  </w:r>
                </w:p>
              </w:tc>
              <w:tc>
                <w:tcPr>
                  <w:tcW w:w="1417" w:type="dxa"/>
                  <w:shd w:val="clear" w:color="auto" w:fill="auto"/>
                  <w:vAlign w:val="center"/>
                </w:tcPr>
                <w:p w14:paraId="5A0F6B9A">
                  <w:pPr>
                    <w:adjustRightInd w:val="0"/>
                    <w:snapToGrid w:val="0"/>
                    <w:spacing w:line="300" w:lineRule="exact"/>
                    <w:ind w:left="-63" w:leftChars="-30" w:right="-63" w:rightChars="-30"/>
                    <w:jc w:val="center"/>
                    <w:rPr>
                      <w:rFonts w:ascii="Times" w:hAnsi="Times" w:cs="Times"/>
                      <w:bCs/>
                      <w:szCs w:val="21"/>
                    </w:rPr>
                  </w:pPr>
                  <w:r>
                    <w:rPr>
                      <w:rFonts w:hint="eastAsia" w:ascii="Times" w:hAnsi="Times" w:cs="Times"/>
                      <w:bCs/>
                      <w:szCs w:val="21"/>
                    </w:rPr>
                    <w:t>/</w:t>
                  </w:r>
                </w:p>
              </w:tc>
              <w:tc>
                <w:tcPr>
                  <w:tcW w:w="828" w:type="dxa"/>
                  <w:shd w:val="clear" w:color="auto" w:fill="auto"/>
                  <w:vAlign w:val="center"/>
                </w:tcPr>
                <w:p w14:paraId="7BA42031">
                  <w:pPr>
                    <w:ind w:left="-63" w:leftChars="-30" w:right="-63" w:rightChars="-30"/>
                    <w:jc w:val="center"/>
                    <w:rPr>
                      <w:rFonts w:ascii="Times" w:hAnsi="Times" w:cs="Times"/>
                      <w:bCs/>
                      <w:szCs w:val="21"/>
                    </w:rPr>
                  </w:pPr>
                  <w:r>
                    <w:rPr>
                      <w:rFonts w:hint="eastAsia" w:ascii="Times" w:hAnsi="Times" w:cs="Times"/>
                      <w:bCs/>
                      <w:szCs w:val="21"/>
                    </w:rPr>
                    <w:t>3</w:t>
                  </w:r>
                  <w:r>
                    <w:rPr>
                      <w:rFonts w:ascii="Times" w:hAnsi="Times" w:cs="Times"/>
                      <w:bCs/>
                      <w:szCs w:val="21"/>
                    </w:rPr>
                    <w:t>5</w:t>
                  </w:r>
                </w:p>
              </w:tc>
              <w:tc>
                <w:tcPr>
                  <w:tcW w:w="2318" w:type="dxa"/>
                  <w:shd w:val="clear" w:color="auto" w:fill="auto"/>
                  <w:vAlign w:val="center"/>
                </w:tcPr>
                <w:p w14:paraId="57FF1F68">
                  <w:pPr>
                    <w:ind w:left="-63" w:leftChars="-30" w:right="-63" w:rightChars="-30"/>
                    <w:jc w:val="center"/>
                    <w:rPr>
                      <w:rFonts w:ascii="Times" w:hAnsi="Times" w:cs="Times"/>
                      <w:bCs/>
                      <w:szCs w:val="21"/>
                    </w:rPr>
                  </w:pPr>
                  <w:r>
                    <w:rPr>
                      <w:rFonts w:ascii="Times" w:hAnsi="Times" w:cs="Times"/>
                      <w:szCs w:val="21"/>
                    </w:rPr>
                    <w:t>出售给重庆剑涛铝业有限公司作为原料使用</w:t>
                  </w:r>
                </w:p>
              </w:tc>
            </w:tr>
            <w:tr w14:paraId="5FA1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shd w:val="clear" w:color="auto" w:fill="auto"/>
                  <w:vAlign w:val="center"/>
                </w:tcPr>
                <w:p w14:paraId="7321B323">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0BC9B72F">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废铝屑</w:t>
                  </w:r>
                </w:p>
              </w:tc>
              <w:tc>
                <w:tcPr>
                  <w:tcW w:w="1298" w:type="dxa"/>
                  <w:shd w:val="clear" w:color="auto" w:fill="auto"/>
                  <w:vAlign w:val="center"/>
                </w:tcPr>
                <w:p w14:paraId="43E90623">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367-001-10</w:t>
                  </w:r>
                </w:p>
              </w:tc>
              <w:tc>
                <w:tcPr>
                  <w:tcW w:w="1417" w:type="dxa"/>
                  <w:shd w:val="clear" w:color="auto" w:fill="auto"/>
                  <w:vAlign w:val="center"/>
                </w:tcPr>
                <w:p w14:paraId="72EF1C18">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w:t>
                  </w:r>
                </w:p>
              </w:tc>
              <w:tc>
                <w:tcPr>
                  <w:tcW w:w="828" w:type="dxa"/>
                  <w:shd w:val="clear" w:color="auto" w:fill="auto"/>
                  <w:vAlign w:val="center"/>
                </w:tcPr>
                <w:p w14:paraId="38E54D7A">
                  <w:pPr>
                    <w:ind w:left="-63" w:leftChars="-30" w:right="-63" w:rightChars="-30"/>
                    <w:jc w:val="center"/>
                    <w:rPr>
                      <w:rFonts w:ascii="Times" w:hAnsi="Times" w:cs="Times"/>
                      <w:bCs/>
                      <w:szCs w:val="21"/>
                    </w:rPr>
                  </w:pPr>
                  <w:r>
                    <w:rPr>
                      <w:rFonts w:ascii="Times" w:hAnsi="Times" w:cs="Times"/>
                      <w:bCs/>
                      <w:szCs w:val="21"/>
                    </w:rPr>
                    <w:t>70</w:t>
                  </w:r>
                </w:p>
              </w:tc>
              <w:tc>
                <w:tcPr>
                  <w:tcW w:w="2318" w:type="dxa"/>
                  <w:shd w:val="clear" w:color="auto" w:fill="auto"/>
                  <w:vAlign w:val="center"/>
                </w:tcPr>
                <w:p w14:paraId="1E637540">
                  <w:pPr>
                    <w:ind w:left="-63" w:leftChars="-30" w:right="-63" w:rightChars="-30"/>
                    <w:jc w:val="center"/>
                    <w:rPr>
                      <w:rFonts w:ascii="Times" w:hAnsi="Times" w:cs="Times"/>
                      <w:bCs/>
                      <w:szCs w:val="21"/>
                    </w:rPr>
                  </w:pPr>
                  <w:r>
                    <w:rPr>
                      <w:rFonts w:ascii="Times" w:hAnsi="Times" w:cs="Times"/>
                      <w:szCs w:val="21"/>
                    </w:rPr>
                    <w:t>出售给重庆剑涛铝业有限公司作为原料使用</w:t>
                  </w:r>
                </w:p>
              </w:tc>
            </w:tr>
            <w:tr w14:paraId="5DCD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shd w:val="clear" w:color="auto" w:fill="auto"/>
                  <w:vAlign w:val="center"/>
                </w:tcPr>
                <w:p w14:paraId="08E61D07">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538B923D">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清理及抛丸废气处理系统除尘灰</w:t>
                  </w:r>
                </w:p>
              </w:tc>
              <w:tc>
                <w:tcPr>
                  <w:tcW w:w="1298" w:type="dxa"/>
                  <w:shd w:val="clear" w:color="auto" w:fill="auto"/>
                  <w:vAlign w:val="center"/>
                </w:tcPr>
                <w:p w14:paraId="0EE18D78">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367-001-99</w:t>
                  </w:r>
                </w:p>
              </w:tc>
              <w:tc>
                <w:tcPr>
                  <w:tcW w:w="1417" w:type="dxa"/>
                  <w:shd w:val="clear" w:color="auto" w:fill="auto"/>
                  <w:vAlign w:val="center"/>
                </w:tcPr>
                <w:p w14:paraId="7F089276">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w:t>
                  </w:r>
                </w:p>
              </w:tc>
              <w:tc>
                <w:tcPr>
                  <w:tcW w:w="828" w:type="dxa"/>
                  <w:shd w:val="clear" w:color="auto" w:fill="auto"/>
                  <w:vAlign w:val="center"/>
                </w:tcPr>
                <w:p w14:paraId="22720522">
                  <w:pPr>
                    <w:ind w:left="-63" w:leftChars="-30" w:right="-63" w:rightChars="-30"/>
                    <w:jc w:val="center"/>
                    <w:rPr>
                      <w:rFonts w:ascii="Times" w:hAnsi="Times" w:cs="Times"/>
                      <w:bCs/>
                      <w:szCs w:val="21"/>
                    </w:rPr>
                  </w:pPr>
                  <w:r>
                    <w:rPr>
                      <w:rFonts w:ascii="Times" w:hAnsi="Times" w:cs="Times"/>
                      <w:bCs/>
                      <w:szCs w:val="21"/>
                    </w:rPr>
                    <w:t>2.9</w:t>
                  </w:r>
                </w:p>
              </w:tc>
              <w:tc>
                <w:tcPr>
                  <w:tcW w:w="2318" w:type="dxa"/>
                  <w:shd w:val="clear" w:color="auto" w:fill="auto"/>
                  <w:vAlign w:val="center"/>
                </w:tcPr>
                <w:p w14:paraId="1C948AAC">
                  <w:pPr>
                    <w:ind w:left="-63" w:leftChars="-30" w:right="-63" w:rightChars="-30"/>
                    <w:jc w:val="center"/>
                    <w:rPr>
                      <w:rFonts w:ascii="Times" w:hAnsi="Times" w:cs="Times"/>
                      <w:szCs w:val="21"/>
                    </w:rPr>
                  </w:pPr>
                  <w:r>
                    <w:rPr>
                      <w:rFonts w:ascii="Times" w:hAnsi="Times" w:cs="Times"/>
                      <w:szCs w:val="21"/>
                    </w:rPr>
                    <w:t>出售给资源回收公司</w:t>
                  </w:r>
                </w:p>
              </w:tc>
            </w:tr>
            <w:tr w14:paraId="43F3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shd w:val="clear" w:color="auto" w:fill="auto"/>
                  <w:vAlign w:val="center"/>
                </w:tcPr>
                <w:p w14:paraId="744A86E8">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0496FC46">
                  <w:pPr>
                    <w:adjustRightInd w:val="0"/>
                    <w:snapToGrid w:val="0"/>
                    <w:spacing w:line="300" w:lineRule="exact"/>
                    <w:ind w:left="-63" w:leftChars="-30" w:right="-63" w:rightChars="-30"/>
                    <w:jc w:val="center"/>
                    <w:rPr>
                      <w:rFonts w:ascii="Times" w:hAnsi="Times" w:cs="Times"/>
                      <w:szCs w:val="21"/>
                    </w:rPr>
                  </w:pPr>
                  <w:r>
                    <w:rPr>
                      <w:rFonts w:ascii="Times" w:hAnsi="Times" w:cs="Times"/>
                      <w:szCs w:val="21"/>
                    </w:rPr>
                    <w:t>废钢丸</w:t>
                  </w:r>
                </w:p>
              </w:tc>
              <w:tc>
                <w:tcPr>
                  <w:tcW w:w="1298" w:type="dxa"/>
                  <w:shd w:val="clear" w:color="auto" w:fill="auto"/>
                  <w:vAlign w:val="center"/>
                </w:tcPr>
                <w:p w14:paraId="2887C080">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367-001-99</w:t>
                  </w:r>
                </w:p>
              </w:tc>
              <w:tc>
                <w:tcPr>
                  <w:tcW w:w="1417" w:type="dxa"/>
                  <w:shd w:val="clear" w:color="auto" w:fill="auto"/>
                  <w:vAlign w:val="center"/>
                </w:tcPr>
                <w:p w14:paraId="28406F06">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w:t>
                  </w:r>
                </w:p>
              </w:tc>
              <w:tc>
                <w:tcPr>
                  <w:tcW w:w="828" w:type="dxa"/>
                  <w:shd w:val="clear" w:color="auto" w:fill="auto"/>
                  <w:vAlign w:val="center"/>
                </w:tcPr>
                <w:p w14:paraId="298A90E6">
                  <w:pPr>
                    <w:ind w:left="-63" w:leftChars="-30" w:right="-63" w:rightChars="-30"/>
                    <w:jc w:val="center"/>
                    <w:rPr>
                      <w:rFonts w:ascii="Times" w:hAnsi="Times" w:cs="Times"/>
                      <w:bCs/>
                      <w:szCs w:val="21"/>
                    </w:rPr>
                  </w:pPr>
                  <w:r>
                    <w:rPr>
                      <w:rFonts w:ascii="Times" w:hAnsi="Times" w:cs="Times"/>
                      <w:bCs/>
                      <w:szCs w:val="21"/>
                    </w:rPr>
                    <w:t>9.0</w:t>
                  </w:r>
                </w:p>
              </w:tc>
              <w:tc>
                <w:tcPr>
                  <w:tcW w:w="2318" w:type="dxa"/>
                  <w:shd w:val="clear" w:color="auto" w:fill="auto"/>
                  <w:vAlign w:val="center"/>
                </w:tcPr>
                <w:p w14:paraId="0B20B51D">
                  <w:pPr>
                    <w:ind w:left="-63" w:leftChars="-30" w:right="-63" w:rightChars="-30"/>
                    <w:jc w:val="center"/>
                    <w:rPr>
                      <w:rFonts w:ascii="Times" w:hAnsi="Times" w:cs="Times"/>
                      <w:szCs w:val="21"/>
                    </w:rPr>
                  </w:pPr>
                  <w:r>
                    <w:rPr>
                      <w:rFonts w:ascii="Times" w:hAnsi="Times" w:cs="Times"/>
                      <w:szCs w:val="21"/>
                    </w:rPr>
                    <w:t>出售给资源回收公司</w:t>
                  </w:r>
                </w:p>
              </w:tc>
            </w:tr>
            <w:tr w14:paraId="59C9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shd w:val="clear" w:color="auto" w:fill="auto"/>
                  <w:vAlign w:val="center"/>
                </w:tcPr>
                <w:p w14:paraId="748993D6">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危险</w:t>
                  </w:r>
                </w:p>
                <w:p w14:paraId="58DA207C">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废物</w:t>
                  </w:r>
                </w:p>
              </w:tc>
              <w:tc>
                <w:tcPr>
                  <w:tcW w:w="1821" w:type="dxa"/>
                  <w:shd w:val="clear" w:color="auto" w:fill="auto"/>
                  <w:vAlign w:val="center"/>
                </w:tcPr>
                <w:p w14:paraId="0CE0DA25">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废液压油</w:t>
                  </w:r>
                </w:p>
              </w:tc>
              <w:tc>
                <w:tcPr>
                  <w:tcW w:w="1298" w:type="dxa"/>
                  <w:shd w:val="clear" w:color="auto" w:fill="auto"/>
                  <w:vAlign w:val="center"/>
                </w:tcPr>
                <w:p w14:paraId="6FB1C344">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900-218-08</w:t>
                  </w:r>
                </w:p>
              </w:tc>
              <w:tc>
                <w:tcPr>
                  <w:tcW w:w="1417" w:type="dxa"/>
                  <w:shd w:val="clear" w:color="auto" w:fill="auto"/>
                  <w:vAlign w:val="center"/>
                </w:tcPr>
                <w:p w14:paraId="02244658">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石油类</w:t>
                  </w:r>
                </w:p>
              </w:tc>
              <w:tc>
                <w:tcPr>
                  <w:tcW w:w="828" w:type="dxa"/>
                  <w:shd w:val="clear" w:color="auto" w:fill="auto"/>
                  <w:vAlign w:val="center"/>
                </w:tcPr>
                <w:p w14:paraId="30539156">
                  <w:pPr>
                    <w:ind w:left="-63" w:leftChars="-30" w:right="-63" w:rightChars="-30"/>
                    <w:jc w:val="center"/>
                    <w:rPr>
                      <w:rFonts w:ascii="Times" w:hAnsi="Times" w:cs="Times"/>
                      <w:bCs/>
                      <w:szCs w:val="21"/>
                    </w:rPr>
                  </w:pPr>
                  <w:r>
                    <w:rPr>
                      <w:rFonts w:ascii="Times" w:hAnsi="Times" w:cs="Times"/>
                      <w:bCs/>
                      <w:szCs w:val="21"/>
                    </w:rPr>
                    <w:t>1.8</w:t>
                  </w:r>
                </w:p>
              </w:tc>
              <w:tc>
                <w:tcPr>
                  <w:tcW w:w="2318" w:type="dxa"/>
                  <w:shd w:val="clear" w:color="auto" w:fill="auto"/>
                  <w:vAlign w:val="center"/>
                </w:tcPr>
                <w:p w14:paraId="079DCCD0">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6D3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shd w:val="clear" w:color="auto" w:fill="auto"/>
                  <w:vAlign w:val="center"/>
                </w:tcPr>
                <w:p w14:paraId="366B3016">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4825405D">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废切削液</w:t>
                  </w:r>
                </w:p>
              </w:tc>
              <w:tc>
                <w:tcPr>
                  <w:tcW w:w="1298" w:type="dxa"/>
                  <w:shd w:val="clear" w:color="auto" w:fill="auto"/>
                  <w:vAlign w:val="center"/>
                </w:tcPr>
                <w:p w14:paraId="107F9FCB">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900-006-09</w:t>
                  </w:r>
                </w:p>
              </w:tc>
              <w:tc>
                <w:tcPr>
                  <w:tcW w:w="1417" w:type="dxa"/>
                  <w:shd w:val="clear" w:color="auto" w:fill="auto"/>
                  <w:vAlign w:val="center"/>
                </w:tcPr>
                <w:p w14:paraId="46FF1A58">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油水、烃水混合物</w:t>
                  </w:r>
                </w:p>
              </w:tc>
              <w:tc>
                <w:tcPr>
                  <w:tcW w:w="828" w:type="dxa"/>
                  <w:shd w:val="clear" w:color="auto" w:fill="auto"/>
                  <w:vAlign w:val="center"/>
                </w:tcPr>
                <w:p w14:paraId="1B44C938">
                  <w:pPr>
                    <w:ind w:left="-63" w:leftChars="-30" w:right="-63" w:rightChars="-30"/>
                    <w:jc w:val="center"/>
                    <w:rPr>
                      <w:rFonts w:ascii="Times" w:hAnsi="Times" w:cs="Times"/>
                      <w:bCs/>
                      <w:szCs w:val="21"/>
                    </w:rPr>
                  </w:pPr>
                  <w:r>
                    <w:rPr>
                      <w:rFonts w:ascii="Times" w:hAnsi="Times" w:cs="Times"/>
                      <w:bCs/>
                      <w:szCs w:val="21"/>
                    </w:rPr>
                    <w:t>1.3</w:t>
                  </w:r>
                </w:p>
              </w:tc>
              <w:tc>
                <w:tcPr>
                  <w:tcW w:w="2318" w:type="dxa"/>
                  <w:shd w:val="clear" w:color="auto" w:fill="auto"/>
                  <w:vAlign w:val="center"/>
                </w:tcPr>
                <w:p w14:paraId="4C469007">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74FE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vMerge w:val="continue"/>
                  <w:shd w:val="clear" w:color="auto" w:fill="auto"/>
                  <w:vAlign w:val="center"/>
                </w:tcPr>
                <w:p w14:paraId="616EE57B">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32CA9AFA">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废润滑油</w:t>
                  </w:r>
                </w:p>
              </w:tc>
              <w:tc>
                <w:tcPr>
                  <w:tcW w:w="1298" w:type="dxa"/>
                  <w:shd w:val="clear" w:color="auto" w:fill="auto"/>
                  <w:vAlign w:val="center"/>
                </w:tcPr>
                <w:p w14:paraId="4360B41F">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900-209-08</w:t>
                  </w:r>
                </w:p>
              </w:tc>
              <w:tc>
                <w:tcPr>
                  <w:tcW w:w="1417" w:type="dxa"/>
                  <w:shd w:val="clear" w:color="auto" w:fill="auto"/>
                  <w:vAlign w:val="center"/>
                </w:tcPr>
                <w:p w14:paraId="7B4105BF">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油、烃混合物</w:t>
                  </w:r>
                </w:p>
              </w:tc>
              <w:tc>
                <w:tcPr>
                  <w:tcW w:w="828" w:type="dxa"/>
                  <w:shd w:val="clear" w:color="auto" w:fill="auto"/>
                  <w:vAlign w:val="center"/>
                </w:tcPr>
                <w:p w14:paraId="58167412">
                  <w:pPr>
                    <w:ind w:left="-63" w:leftChars="-30" w:right="-63" w:rightChars="-30"/>
                    <w:jc w:val="center"/>
                    <w:rPr>
                      <w:rFonts w:ascii="Times" w:hAnsi="Times" w:cs="Times"/>
                      <w:bCs/>
                      <w:szCs w:val="21"/>
                    </w:rPr>
                  </w:pPr>
                  <w:r>
                    <w:rPr>
                      <w:rFonts w:ascii="Times" w:hAnsi="Times" w:cs="Times"/>
                      <w:bCs/>
                      <w:szCs w:val="21"/>
                    </w:rPr>
                    <w:t>0.50</w:t>
                  </w:r>
                </w:p>
              </w:tc>
              <w:tc>
                <w:tcPr>
                  <w:tcW w:w="2318" w:type="dxa"/>
                  <w:shd w:val="clear" w:color="auto" w:fill="auto"/>
                  <w:vAlign w:val="center"/>
                </w:tcPr>
                <w:p w14:paraId="664B60BF">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221B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vMerge w:val="continue"/>
                  <w:shd w:val="clear" w:color="auto" w:fill="auto"/>
                  <w:vAlign w:val="center"/>
                </w:tcPr>
                <w:p w14:paraId="576282CC">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17597CA2">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废包装桶</w:t>
                  </w:r>
                </w:p>
              </w:tc>
              <w:tc>
                <w:tcPr>
                  <w:tcW w:w="1298" w:type="dxa"/>
                  <w:shd w:val="clear" w:color="auto" w:fill="auto"/>
                  <w:vAlign w:val="center"/>
                </w:tcPr>
                <w:p w14:paraId="08AE794D">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900-041-49</w:t>
                  </w:r>
                </w:p>
              </w:tc>
              <w:tc>
                <w:tcPr>
                  <w:tcW w:w="1417" w:type="dxa"/>
                  <w:shd w:val="clear" w:color="auto" w:fill="auto"/>
                  <w:vAlign w:val="center"/>
                </w:tcPr>
                <w:p w14:paraId="73461E3D">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含油类、烃类等</w:t>
                  </w:r>
                </w:p>
              </w:tc>
              <w:tc>
                <w:tcPr>
                  <w:tcW w:w="828" w:type="dxa"/>
                  <w:shd w:val="clear" w:color="auto" w:fill="auto"/>
                  <w:vAlign w:val="center"/>
                </w:tcPr>
                <w:p w14:paraId="7F800FA7">
                  <w:pPr>
                    <w:ind w:left="-63" w:leftChars="-30" w:right="-63" w:rightChars="-30"/>
                    <w:jc w:val="center"/>
                    <w:rPr>
                      <w:rFonts w:ascii="Times" w:hAnsi="Times" w:cs="Times"/>
                      <w:bCs/>
                      <w:szCs w:val="21"/>
                    </w:rPr>
                  </w:pPr>
                  <w:r>
                    <w:rPr>
                      <w:rFonts w:ascii="Times" w:hAnsi="Times" w:cs="Times"/>
                      <w:bCs/>
                      <w:szCs w:val="21"/>
                    </w:rPr>
                    <w:t>1.1</w:t>
                  </w:r>
                </w:p>
              </w:tc>
              <w:tc>
                <w:tcPr>
                  <w:tcW w:w="2318" w:type="dxa"/>
                  <w:shd w:val="clear" w:color="auto" w:fill="auto"/>
                  <w:vAlign w:val="center"/>
                </w:tcPr>
                <w:p w14:paraId="2D63E57B">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2098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vMerge w:val="continue"/>
                  <w:shd w:val="clear" w:color="auto" w:fill="auto"/>
                  <w:vAlign w:val="center"/>
                </w:tcPr>
                <w:p w14:paraId="0BC8F46C">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48EF1FD8">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污水处理站预处理段废油和污泥</w:t>
                  </w:r>
                </w:p>
              </w:tc>
              <w:tc>
                <w:tcPr>
                  <w:tcW w:w="1298" w:type="dxa"/>
                  <w:shd w:val="clear" w:color="auto" w:fill="auto"/>
                  <w:vAlign w:val="center"/>
                </w:tcPr>
                <w:p w14:paraId="38CD1E4D">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900-210-08</w:t>
                  </w:r>
                </w:p>
              </w:tc>
              <w:tc>
                <w:tcPr>
                  <w:tcW w:w="1417" w:type="dxa"/>
                  <w:shd w:val="clear" w:color="auto" w:fill="auto"/>
                  <w:vAlign w:val="center"/>
                </w:tcPr>
                <w:p w14:paraId="5BA22118">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石油类</w:t>
                  </w:r>
                </w:p>
              </w:tc>
              <w:tc>
                <w:tcPr>
                  <w:tcW w:w="828" w:type="dxa"/>
                  <w:shd w:val="clear" w:color="auto" w:fill="auto"/>
                  <w:vAlign w:val="center"/>
                </w:tcPr>
                <w:p w14:paraId="0F50CA53">
                  <w:pPr>
                    <w:ind w:left="-63" w:leftChars="-30" w:right="-63" w:rightChars="-30"/>
                    <w:jc w:val="center"/>
                    <w:rPr>
                      <w:rFonts w:ascii="Times" w:hAnsi="Times" w:cs="Times"/>
                      <w:bCs/>
                      <w:szCs w:val="21"/>
                    </w:rPr>
                  </w:pPr>
                  <w:r>
                    <w:rPr>
                      <w:rFonts w:ascii="Times" w:hAnsi="Times" w:cs="Times"/>
                      <w:bCs/>
                      <w:szCs w:val="21"/>
                    </w:rPr>
                    <w:t>1.25</w:t>
                  </w:r>
                </w:p>
              </w:tc>
              <w:tc>
                <w:tcPr>
                  <w:tcW w:w="2318" w:type="dxa"/>
                  <w:shd w:val="clear" w:color="auto" w:fill="auto"/>
                  <w:vAlign w:val="center"/>
                </w:tcPr>
                <w:p w14:paraId="0E7D7262">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3552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vMerge w:val="continue"/>
                  <w:shd w:val="clear" w:color="auto" w:fill="auto"/>
                  <w:vAlign w:val="center"/>
                </w:tcPr>
                <w:p w14:paraId="22B8277C">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56A41EC2">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熔化保温炉废气处理系统除尘灰</w:t>
                  </w:r>
                </w:p>
              </w:tc>
              <w:tc>
                <w:tcPr>
                  <w:tcW w:w="1298" w:type="dxa"/>
                  <w:shd w:val="clear" w:color="auto" w:fill="auto"/>
                  <w:vAlign w:val="center"/>
                </w:tcPr>
                <w:p w14:paraId="4A67A88C">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321-034-48</w:t>
                  </w:r>
                </w:p>
              </w:tc>
              <w:tc>
                <w:tcPr>
                  <w:tcW w:w="1417" w:type="dxa"/>
                  <w:shd w:val="clear" w:color="auto" w:fill="auto"/>
                  <w:vAlign w:val="center"/>
                </w:tcPr>
                <w:p w14:paraId="5591A4AF">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氧化铝</w:t>
                  </w:r>
                </w:p>
              </w:tc>
              <w:tc>
                <w:tcPr>
                  <w:tcW w:w="828" w:type="dxa"/>
                  <w:shd w:val="clear" w:color="auto" w:fill="auto"/>
                  <w:vAlign w:val="center"/>
                </w:tcPr>
                <w:p w14:paraId="26CDC4A7">
                  <w:pPr>
                    <w:ind w:left="-63" w:leftChars="-30" w:right="-63" w:rightChars="-30"/>
                    <w:jc w:val="center"/>
                    <w:rPr>
                      <w:rFonts w:ascii="Times" w:hAnsi="Times" w:cs="Times"/>
                      <w:bCs/>
                      <w:szCs w:val="21"/>
                    </w:rPr>
                  </w:pPr>
                  <w:r>
                    <w:rPr>
                      <w:rFonts w:ascii="Times" w:hAnsi="Times" w:cs="Times"/>
                      <w:bCs/>
                      <w:szCs w:val="21"/>
                    </w:rPr>
                    <w:t>0.05</w:t>
                  </w:r>
                </w:p>
              </w:tc>
              <w:tc>
                <w:tcPr>
                  <w:tcW w:w="2318" w:type="dxa"/>
                  <w:shd w:val="clear" w:color="auto" w:fill="auto"/>
                  <w:vAlign w:val="center"/>
                </w:tcPr>
                <w:p w14:paraId="10C95E42">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4087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vMerge w:val="continue"/>
                  <w:shd w:val="clear" w:color="auto" w:fill="auto"/>
                  <w:vAlign w:val="center"/>
                </w:tcPr>
                <w:p w14:paraId="3F3B5A62">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60A38125">
                  <w:pPr>
                    <w:pStyle w:val="126"/>
                    <w:spacing w:line="240" w:lineRule="auto"/>
                    <w:ind w:left="-63" w:leftChars="-30" w:right="-63" w:rightChars="-30" w:firstLine="0" w:firstLineChars="0"/>
                    <w:jc w:val="center"/>
                    <w:rPr>
                      <w:rFonts w:ascii="Times" w:hAnsi="Times" w:cs="Times"/>
                      <w:sz w:val="21"/>
                      <w:szCs w:val="21"/>
                    </w:rPr>
                  </w:pPr>
                  <w:r>
                    <w:rPr>
                      <w:rFonts w:ascii="Times" w:hAnsi="Times" w:cs="Times"/>
                      <w:sz w:val="21"/>
                      <w:szCs w:val="21"/>
                    </w:rPr>
                    <w:t>铝灰渣</w:t>
                  </w:r>
                </w:p>
              </w:tc>
              <w:tc>
                <w:tcPr>
                  <w:tcW w:w="1298" w:type="dxa"/>
                  <w:shd w:val="clear" w:color="auto" w:fill="auto"/>
                  <w:vAlign w:val="center"/>
                </w:tcPr>
                <w:p w14:paraId="55279DE1">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321-034-48</w:t>
                  </w:r>
                </w:p>
              </w:tc>
              <w:tc>
                <w:tcPr>
                  <w:tcW w:w="1417" w:type="dxa"/>
                  <w:shd w:val="clear" w:color="auto" w:fill="auto"/>
                  <w:vAlign w:val="center"/>
                </w:tcPr>
                <w:p w14:paraId="33E29D44">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氧化铝、金属铝</w:t>
                  </w:r>
                </w:p>
              </w:tc>
              <w:tc>
                <w:tcPr>
                  <w:tcW w:w="828" w:type="dxa"/>
                  <w:shd w:val="clear" w:color="auto" w:fill="auto"/>
                  <w:vAlign w:val="center"/>
                </w:tcPr>
                <w:p w14:paraId="4E3896D2">
                  <w:pPr>
                    <w:ind w:left="-63" w:leftChars="-30" w:right="-63" w:rightChars="-30"/>
                    <w:jc w:val="center"/>
                    <w:rPr>
                      <w:rFonts w:ascii="Times" w:hAnsi="Times" w:cs="Times"/>
                      <w:bCs/>
                      <w:szCs w:val="21"/>
                    </w:rPr>
                  </w:pPr>
                  <w:r>
                    <w:rPr>
                      <w:rFonts w:ascii="Times" w:hAnsi="Times" w:cs="Times"/>
                      <w:bCs/>
                      <w:szCs w:val="21"/>
                    </w:rPr>
                    <w:t>58.3</w:t>
                  </w:r>
                </w:p>
              </w:tc>
              <w:tc>
                <w:tcPr>
                  <w:tcW w:w="2318" w:type="dxa"/>
                  <w:shd w:val="clear" w:color="auto" w:fill="auto"/>
                  <w:vAlign w:val="center"/>
                </w:tcPr>
                <w:p w14:paraId="626185D6">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2521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vMerge w:val="continue"/>
                  <w:shd w:val="clear" w:color="auto" w:fill="auto"/>
                  <w:vAlign w:val="center"/>
                </w:tcPr>
                <w:p w14:paraId="03857286">
                  <w:pPr>
                    <w:adjustRightInd w:val="0"/>
                    <w:snapToGrid w:val="0"/>
                    <w:spacing w:line="300" w:lineRule="exact"/>
                    <w:ind w:left="-63" w:leftChars="-30" w:right="-63" w:rightChars="-30"/>
                    <w:jc w:val="center"/>
                    <w:rPr>
                      <w:rFonts w:ascii="Times" w:hAnsi="Times" w:cs="Times"/>
                      <w:bCs/>
                      <w:szCs w:val="21"/>
                    </w:rPr>
                  </w:pPr>
                </w:p>
              </w:tc>
              <w:tc>
                <w:tcPr>
                  <w:tcW w:w="1821" w:type="dxa"/>
                  <w:shd w:val="clear" w:color="auto" w:fill="auto"/>
                  <w:vAlign w:val="center"/>
                </w:tcPr>
                <w:p w14:paraId="0699C24E">
                  <w:pPr>
                    <w:pStyle w:val="126"/>
                    <w:spacing w:line="240" w:lineRule="auto"/>
                    <w:ind w:left="-63" w:leftChars="-30" w:right="-63" w:rightChars="-30" w:firstLine="0" w:firstLineChars="0"/>
                    <w:jc w:val="center"/>
                    <w:rPr>
                      <w:rFonts w:ascii="Times" w:hAnsi="Times" w:cs="Times"/>
                      <w:sz w:val="22"/>
                      <w:szCs w:val="21"/>
                    </w:rPr>
                  </w:pPr>
                  <w:r>
                    <w:rPr>
                      <w:rFonts w:ascii="Times New Roman" w:hAnsi="Times New Roman"/>
                      <w:sz w:val="22"/>
                    </w:rPr>
                    <w:t>含油废棉纱及手套</w:t>
                  </w:r>
                </w:p>
              </w:tc>
              <w:tc>
                <w:tcPr>
                  <w:tcW w:w="1298" w:type="dxa"/>
                  <w:shd w:val="clear" w:color="auto" w:fill="auto"/>
                  <w:vAlign w:val="center"/>
                </w:tcPr>
                <w:p w14:paraId="058C09F3">
                  <w:pPr>
                    <w:adjustRightInd w:val="0"/>
                    <w:snapToGrid w:val="0"/>
                    <w:spacing w:line="300" w:lineRule="exact"/>
                    <w:ind w:left="-63" w:leftChars="-30" w:right="-63" w:rightChars="-30"/>
                    <w:jc w:val="center"/>
                    <w:rPr>
                      <w:rFonts w:ascii="Times" w:hAnsi="Times" w:cs="Times"/>
                      <w:bCs/>
                      <w:szCs w:val="21"/>
                    </w:rPr>
                  </w:pPr>
                  <w:r>
                    <w:t>900-041-49</w:t>
                  </w:r>
                </w:p>
              </w:tc>
              <w:tc>
                <w:tcPr>
                  <w:tcW w:w="1417" w:type="dxa"/>
                  <w:shd w:val="clear" w:color="auto" w:fill="auto"/>
                  <w:vAlign w:val="center"/>
                </w:tcPr>
                <w:p w14:paraId="6FF0EF40">
                  <w:pPr>
                    <w:adjustRightInd w:val="0"/>
                    <w:snapToGrid w:val="0"/>
                    <w:spacing w:line="300" w:lineRule="exact"/>
                    <w:ind w:left="-63" w:leftChars="-30" w:right="-63" w:rightChars="-30"/>
                    <w:jc w:val="center"/>
                    <w:rPr>
                      <w:rFonts w:ascii="Times" w:hAnsi="Times" w:cs="Times"/>
                      <w:bCs/>
                      <w:szCs w:val="21"/>
                    </w:rPr>
                  </w:pPr>
                  <w:r>
                    <w:rPr>
                      <w:rFonts w:ascii="Times" w:hAnsi="Times" w:cs="Times"/>
                      <w:szCs w:val="21"/>
                    </w:rPr>
                    <w:t>石油类</w:t>
                  </w:r>
                </w:p>
              </w:tc>
              <w:tc>
                <w:tcPr>
                  <w:tcW w:w="828" w:type="dxa"/>
                  <w:shd w:val="clear" w:color="auto" w:fill="auto"/>
                  <w:vAlign w:val="center"/>
                </w:tcPr>
                <w:p w14:paraId="2671F804">
                  <w:pPr>
                    <w:ind w:left="-63" w:leftChars="-30" w:right="-63" w:rightChars="-30"/>
                    <w:jc w:val="center"/>
                    <w:rPr>
                      <w:rFonts w:ascii="Times" w:hAnsi="Times" w:cs="Times"/>
                      <w:bCs/>
                      <w:szCs w:val="21"/>
                    </w:rPr>
                  </w:pPr>
                  <w:r>
                    <w:rPr>
                      <w:rFonts w:hint="eastAsia" w:ascii="Times" w:hAnsi="Times" w:cs="Times"/>
                      <w:bCs/>
                      <w:szCs w:val="21"/>
                    </w:rPr>
                    <w:t>3</w:t>
                  </w:r>
                </w:p>
              </w:tc>
              <w:tc>
                <w:tcPr>
                  <w:tcW w:w="2318" w:type="dxa"/>
                  <w:shd w:val="clear" w:color="auto" w:fill="auto"/>
                  <w:vAlign w:val="center"/>
                </w:tcPr>
                <w:p w14:paraId="0A72F9D1">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收集交由</w:t>
                  </w:r>
                  <w:r>
                    <w:rPr>
                      <w:rFonts w:hint="eastAsia" w:ascii="Times" w:hAnsi="Times" w:cs="Times"/>
                      <w:bCs/>
                      <w:szCs w:val="21"/>
                    </w:rPr>
                    <w:t>重庆</w:t>
                  </w:r>
                  <w:r>
                    <w:rPr>
                      <w:rFonts w:ascii="Times" w:hAnsi="Times" w:cs="Times"/>
                      <w:bCs/>
                      <w:szCs w:val="21"/>
                    </w:rPr>
                    <w:t>海创环保科技有限公司处置</w:t>
                  </w:r>
                </w:p>
              </w:tc>
            </w:tr>
            <w:tr w14:paraId="1D0B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8" w:type="dxa"/>
                  <w:shd w:val="clear" w:color="auto" w:fill="auto"/>
                  <w:vAlign w:val="center"/>
                </w:tcPr>
                <w:p w14:paraId="3CB0FD84">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生活垃圾</w:t>
                  </w:r>
                </w:p>
              </w:tc>
              <w:tc>
                <w:tcPr>
                  <w:tcW w:w="1821" w:type="dxa"/>
                  <w:shd w:val="clear" w:color="auto" w:fill="auto"/>
                  <w:vAlign w:val="center"/>
                </w:tcPr>
                <w:p w14:paraId="509FBD20">
                  <w:pPr>
                    <w:adjustRightInd w:val="0"/>
                    <w:snapToGrid w:val="0"/>
                    <w:spacing w:line="300" w:lineRule="exact"/>
                    <w:ind w:left="-63" w:leftChars="-30" w:right="-63" w:rightChars="-30"/>
                    <w:jc w:val="center"/>
                    <w:rPr>
                      <w:rFonts w:ascii="Times" w:hAnsi="Times" w:cs="Times"/>
                      <w:szCs w:val="21"/>
                    </w:rPr>
                  </w:pPr>
                  <w:r>
                    <w:rPr>
                      <w:rFonts w:ascii="Times" w:hAnsi="Times" w:cs="Times"/>
                      <w:szCs w:val="21"/>
                    </w:rPr>
                    <w:t>生活垃圾</w:t>
                  </w:r>
                </w:p>
              </w:tc>
              <w:tc>
                <w:tcPr>
                  <w:tcW w:w="1298" w:type="dxa"/>
                  <w:shd w:val="clear" w:color="auto" w:fill="auto"/>
                  <w:vAlign w:val="center"/>
                </w:tcPr>
                <w:p w14:paraId="69889E17">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w:t>
                  </w:r>
                </w:p>
              </w:tc>
              <w:tc>
                <w:tcPr>
                  <w:tcW w:w="1417" w:type="dxa"/>
                  <w:shd w:val="clear" w:color="auto" w:fill="auto"/>
                  <w:vAlign w:val="center"/>
                </w:tcPr>
                <w:p w14:paraId="27A2A1A0">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w:t>
                  </w:r>
                </w:p>
              </w:tc>
              <w:tc>
                <w:tcPr>
                  <w:tcW w:w="828" w:type="dxa"/>
                  <w:shd w:val="clear" w:color="auto" w:fill="auto"/>
                  <w:vAlign w:val="center"/>
                </w:tcPr>
                <w:p w14:paraId="7676A264">
                  <w:pPr>
                    <w:ind w:left="-63" w:leftChars="-30" w:right="-63" w:rightChars="-30"/>
                    <w:jc w:val="center"/>
                    <w:rPr>
                      <w:rFonts w:ascii="Times" w:hAnsi="Times" w:cs="Times"/>
                      <w:bCs/>
                      <w:szCs w:val="21"/>
                    </w:rPr>
                  </w:pPr>
                  <w:r>
                    <w:rPr>
                      <w:rFonts w:ascii="Times" w:hAnsi="Times" w:cs="Times"/>
                      <w:bCs/>
                      <w:szCs w:val="21"/>
                    </w:rPr>
                    <w:t>10.5</w:t>
                  </w:r>
                </w:p>
              </w:tc>
              <w:tc>
                <w:tcPr>
                  <w:tcW w:w="2318" w:type="dxa"/>
                  <w:shd w:val="clear" w:color="auto" w:fill="auto"/>
                  <w:vAlign w:val="center"/>
                </w:tcPr>
                <w:p w14:paraId="343E064D">
                  <w:pPr>
                    <w:adjustRightInd w:val="0"/>
                    <w:snapToGrid w:val="0"/>
                    <w:spacing w:line="300" w:lineRule="exact"/>
                    <w:ind w:left="-63" w:leftChars="-30" w:right="-63" w:rightChars="-30"/>
                    <w:jc w:val="center"/>
                    <w:rPr>
                      <w:rFonts w:ascii="Times" w:hAnsi="Times" w:cs="Times"/>
                      <w:bCs/>
                      <w:szCs w:val="21"/>
                    </w:rPr>
                  </w:pPr>
                  <w:r>
                    <w:rPr>
                      <w:rFonts w:ascii="Times" w:hAnsi="Times" w:cs="Times"/>
                      <w:bCs/>
                      <w:szCs w:val="21"/>
                    </w:rPr>
                    <w:t>由环卫部门统一处置</w:t>
                  </w:r>
                </w:p>
              </w:tc>
            </w:tr>
          </w:tbl>
          <w:p w14:paraId="502E4AE5">
            <w:pPr>
              <w:adjustRightInd w:val="0"/>
              <w:snapToGrid w:val="0"/>
              <w:spacing w:line="360" w:lineRule="auto"/>
              <w:rPr>
                <w:b/>
                <w:bCs/>
                <w:sz w:val="24"/>
              </w:rPr>
            </w:pPr>
            <w:r>
              <w:rPr>
                <w:b/>
                <w:bCs/>
                <w:sz w:val="24"/>
              </w:rPr>
              <w:t>3、与项目有关的主要环境问题及整改措施</w:t>
            </w:r>
          </w:p>
          <w:p w14:paraId="00DC0D2D">
            <w:pPr>
              <w:adjustRightInd w:val="0"/>
              <w:snapToGrid w:val="0"/>
              <w:spacing w:line="360" w:lineRule="auto"/>
              <w:ind w:firstLine="480" w:firstLineChars="200"/>
              <w:rPr>
                <w:bCs/>
                <w:sz w:val="24"/>
              </w:rPr>
            </w:pPr>
            <w:r>
              <w:rPr>
                <w:bCs/>
                <w:sz w:val="24"/>
              </w:rPr>
              <w:t>根据现有工程环保验收报告，并结合现场踏勘，现有工程废水、固废、噪声处理措施合理可行，废气处理设施建设到位且运行正常，建成至今未接到过环保投诉</w:t>
            </w:r>
            <w:r>
              <w:rPr>
                <w:rFonts w:hint="eastAsia"/>
                <w:bCs/>
                <w:sz w:val="24"/>
              </w:rPr>
              <w:t>，现有工程不存在相关环境问题</w:t>
            </w:r>
            <w:r>
              <w:rPr>
                <w:bCs/>
                <w:sz w:val="24"/>
              </w:rPr>
              <w:t>。</w:t>
            </w:r>
          </w:p>
          <w:p w14:paraId="771AEB3C">
            <w:pPr>
              <w:adjustRightInd w:val="0"/>
              <w:snapToGrid w:val="0"/>
              <w:spacing w:line="360" w:lineRule="auto"/>
              <w:ind w:firstLine="480" w:firstLineChars="200"/>
              <w:rPr>
                <w:kern w:val="0"/>
                <w:sz w:val="24"/>
              </w:rPr>
            </w:pPr>
            <w:r>
              <w:rPr>
                <w:rFonts w:hint="eastAsia"/>
                <w:bCs/>
                <w:sz w:val="24"/>
              </w:rPr>
              <w:t>迁建项目位于</w:t>
            </w:r>
            <w:r>
              <w:rPr>
                <w:rFonts w:hint="eastAsia"/>
                <w:kern w:val="0"/>
                <w:sz w:val="24"/>
              </w:rPr>
              <w:t>重庆涪陵工业园区李渡组团，项目所在地块目前处于闲置状态，未建设工业厂房等建构筑物，无工业企业入驻，故项目地块范围内无与原项目有关的原有污染和环境问题。</w:t>
            </w:r>
          </w:p>
          <w:p w14:paraId="3C1E5563">
            <w:pPr>
              <w:adjustRightInd w:val="0"/>
              <w:snapToGrid w:val="0"/>
              <w:spacing w:line="360" w:lineRule="auto"/>
              <w:ind w:firstLine="480" w:firstLineChars="200"/>
              <w:rPr>
                <w:kern w:val="0"/>
                <w:sz w:val="24"/>
              </w:rPr>
            </w:pPr>
          </w:p>
          <w:p w14:paraId="1861B315">
            <w:pPr>
              <w:adjustRightInd w:val="0"/>
              <w:snapToGrid w:val="0"/>
              <w:spacing w:line="360" w:lineRule="auto"/>
              <w:ind w:firstLine="480" w:firstLineChars="200"/>
              <w:rPr>
                <w:kern w:val="0"/>
                <w:sz w:val="24"/>
              </w:rPr>
            </w:pPr>
          </w:p>
          <w:p w14:paraId="6D15BB05">
            <w:pPr>
              <w:adjustRightInd w:val="0"/>
              <w:snapToGrid w:val="0"/>
              <w:spacing w:line="360" w:lineRule="auto"/>
              <w:ind w:firstLine="480" w:firstLineChars="200"/>
              <w:rPr>
                <w:kern w:val="0"/>
                <w:sz w:val="24"/>
              </w:rPr>
            </w:pPr>
          </w:p>
          <w:p w14:paraId="22909BF5">
            <w:pPr>
              <w:adjustRightInd w:val="0"/>
              <w:snapToGrid w:val="0"/>
              <w:spacing w:line="360" w:lineRule="auto"/>
              <w:ind w:firstLine="480" w:firstLineChars="200"/>
              <w:rPr>
                <w:kern w:val="0"/>
                <w:sz w:val="24"/>
              </w:rPr>
            </w:pPr>
          </w:p>
          <w:p w14:paraId="25B4630A">
            <w:pPr>
              <w:adjustRightInd w:val="0"/>
              <w:snapToGrid w:val="0"/>
              <w:spacing w:line="360" w:lineRule="auto"/>
              <w:ind w:firstLine="480" w:firstLineChars="200"/>
              <w:rPr>
                <w:kern w:val="0"/>
                <w:sz w:val="24"/>
              </w:rPr>
            </w:pPr>
          </w:p>
          <w:p w14:paraId="2297591D">
            <w:pPr>
              <w:adjustRightInd w:val="0"/>
              <w:snapToGrid w:val="0"/>
              <w:spacing w:line="360" w:lineRule="auto"/>
              <w:ind w:firstLine="480" w:firstLineChars="200"/>
              <w:rPr>
                <w:kern w:val="0"/>
                <w:sz w:val="24"/>
              </w:rPr>
            </w:pPr>
          </w:p>
          <w:p w14:paraId="4A09D425">
            <w:pPr>
              <w:adjustRightInd w:val="0"/>
              <w:snapToGrid w:val="0"/>
              <w:spacing w:line="360" w:lineRule="auto"/>
              <w:ind w:firstLine="480" w:firstLineChars="200"/>
              <w:rPr>
                <w:kern w:val="0"/>
                <w:sz w:val="24"/>
              </w:rPr>
            </w:pPr>
          </w:p>
          <w:p w14:paraId="253C6805">
            <w:pPr>
              <w:adjustRightInd w:val="0"/>
              <w:snapToGrid w:val="0"/>
              <w:spacing w:line="360" w:lineRule="auto"/>
              <w:ind w:firstLine="480" w:firstLineChars="200"/>
              <w:rPr>
                <w:kern w:val="0"/>
                <w:sz w:val="24"/>
              </w:rPr>
            </w:pPr>
          </w:p>
          <w:p w14:paraId="1BA8FBEA">
            <w:pPr>
              <w:adjustRightInd w:val="0"/>
              <w:snapToGrid w:val="0"/>
              <w:spacing w:line="360" w:lineRule="auto"/>
              <w:ind w:firstLine="480" w:firstLineChars="200"/>
              <w:rPr>
                <w:kern w:val="0"/>
                <w:sz w:val="24"/>
              </w:rPr>
            </w:pPr>
          </w:p>
          <w:p w14:paraId="012B0BB3">
            <w:pPr>
              <w:adjustRightInd w:val="0"/>
              <w:snapToGrid w:val="0"/>
              <w:spacing w:line="360" w:lineRule="auto"/>
              <w:ind w:firstLine="480" w:firstLineChars="200"/>
              <w:rPr>
                <w:kern w:val="0"/>
                <w:sz w:val="24"/>
              </w:rPr>
            </w:pPr>
          </w:p>
          <w:p w14:paraId="258DEABA">
            <w:pPr>
              <w:adjustRightInd w:val="0"/>
              <w:snapToGrid w:val="0"/>
              <w:spacing w:line="360" w:lineRule="auto"/>
              <w:ind w:firstLine="480" w:firstLineChars="200"/>
              <w:rPr>
                <w:kern w:val="0"/>
                <w:sz w:val="24"/>
              </w:rPr>
            </w:pPr>
          </w:p>
          <w:p w14:paraId="3112FAD4">
            <w:pPr>
              <w:adjustRightInd w:val="0"/>
              <w:snapToGrid w:val="0"/>
              <w:spacing w:line="360" w:lineRule="auto"/>
              <w:ind w:firstLine="480" w:firstLineChars="200"/>
              <w:rPr>
                <w:kern w:val="0"/>
                <w:sz w:val="24"/>
              </w:rPr>
            </w:pPr>
          </w:p>
          <w:p w14:paraId="772A32CF">
            <w:pPr>
              <w:adjustRightInd w:val="0"/>
              <w:snapToGrid w:val="0"/>
              <w:spacing w:line="360" w:lineRule="auto"/>
              <w:ind w:firstLine="480" w:firstLineChars="200"/>
              <w:rPr>
                <w:kern w:val="0"/>
                <w:sz w:val="24"/>
              </w:rPr>
            </w:pPr>
          </w:p>
          <w:p w14:paraId="16217AD9">
            <w:pPr>
              <w:adjustRightInd w:val="0"/>
              <w:snapToGrid w:val="0"/>
              <w:spacing w:line="360" w:lineRule="auto"/>
              <w:ind w:firstLine="480" w:firstLineChars="200"/>
              <w:rPr>
                <w:kern w:val="0"/>
                <w:sz w:val="24"/>
              </w:rPr>
            </w:pPr>
          </w:p>
          <w:p w14:paraId="65E70E05">
            <w:pPr>
              <w:adjustRightInd w:val="0"/>
              <w:snapToGrid w:val="0"/>
              <w:spacing w:line="360" w:lineRule="auto"/>
              <w:ind w:firstLine="420" w:firstLineChars="200"/>
              <w:rPr>
                <w:bCs/>
                <w:szCs w:val="21"/>
              </w:rPr>
            </w:pPr>
          </w:p>
        </w:tc>
      </w:tr>
    </w:tbl>
    <w:p w14:paraId="3708456F">
      <w:pPr>
        <w:pStyle w:val="24"/>
        <w:jc w:val="center"/>
        <w:rPr>
          <w:rFonts w:ascii="Times New Roman" w:hAnsi="Times New Roman"/>
          <w:snapToGrid w:val="0"/>
          <w:sz w:val="36"/>
          <w:szCs w:val="36"/>
        </w:rPr>
        <w:sectPr>
          <w:pgSz w:w="11906" w:h="16838"/>
          <w:pgMar w:top="1701" w:right="1531" w:bottom="1701" w:left="1531" w:header="851" w:footer="851" w:gutter="0"/>
          <w:cols w:space="720" w:num="1"/>
          <w:docGrid w:linePitch="312" w:charSpace="0"/>
        </w:sectPr>
      </w:pPr>
    </w:p>
    <w:p w14:paraId="68DBFC98">
      <w:pPr>
        <w:pStyle w:val="24"/>
        <w:jc w:val="center"/>
        <w:outlineLvl w:val="0"/>
        <w:rPr>
          <w:rFonts w:ascii="Times New Roman" w:hAnsi="Times New Roman"/>
          <w:snapToGrid w:val="0"/>
          <w:sz w:val="30"/>
          <w:szCs w:val="30"/>
        </w:rPr>
      </w:pPr>
      <w:r>
        <w:rPr>
          <w:rFonts w:ascii="Times New Roman" w:hAnsi="Times New Roman"/>
          <w:snapToGrid w:val="0"/>
          <w:sz w:val="30"/>
          <w:szCs w:val="30"/>
        </w:rPr>
        <w:t>三、区域环境质量现状、环境保护目标及评价标准</w:t>
      </w:r>
    </w:p>
    <w:tbl>
      <w:tblPr>
        <w:tblStyle w:val="2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641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2DCE39BB">
            <w:pPr>
              <w:adjustRightInd w:val="0"/>
              <w:snapToGrid w:val="0"/>
              <w:jc w:val="center"/>
              <w:rPr>
                <w:kern w:val="0"/>
                <w:szCs w:val="21"/>
              </w:rPr>
            </w:pPr>
            <w:r>
              <w:rPr>
                <w:kern w:val="0"/>
                <w:szCs w:val="21"/>
              </w:rPr>
              <w:t>区域</w:t>
            </w:r>
          </w:p>
          <w:p w14:paraId="741784DB">
            <w:pPr>
              <w:adjustRightInd w:val="0"/>
              <w:snapToGrid w:val="0"/>
              <w:jc w:val="center"/>
              <w:rPr>
                <w:kern w:val="0"/>
                <w:szCs w:val="21"/>
              </w:rPr>
            </w:pPr>
            <w:r>
              <w:rPr>
                <w:kern w:val="0"/>
                <w:szCs w:val="21"/>
              </w:rPr>
              <w:t>环境</w:t>
            </w:r>
          </w:p>
          <w:p w14:paraId="55A12622">
            <w:pPr>
              <w:adjustRightInd w:val="0"/>
              <w:snapToGrid w:val="0"/>
              <w:jc w:val="center"/>
              <w:rPr>
                <w:kern w:val="0"/>
                <w:szCs w:val="21"/>
              </w:rPr>
            </w:pPr>
            <w:r>
              <w:rPr>
                <w:kern w:val="0"/>
                <w:szCs w:val="21"/>
              </w:rPr>
              <w:t>质量</w:t>
            </w:r>
          </w:p>
          <w:p w14:paraId="33FE89E4">
            <w:pPr>
              <w:adjustRightInd w:val="0"/>
              <w:snapToGrid w:val="0"/>
              <w:jc w:val="center"/>
              <w:rPr>
                <w:kern w:val="0"/>
                <w:szCs w:val="21"/>
              </w:rPr>
            </w:pPr>
            <w:r>
              <w:rPr>
                <w:kern w:val="0"/>
                <w:szCs w:val="21"/>
              </w:rPr>
              <w:t>现状</w:t>
            </w:r>
          </w:p>
        </w:tc>
        <w:tc>
          <w:tcPr>
            <w:tcW w:w="8190" w:type="dxa"/>
            <w:vAlign w:val="center"/>
          </w:tcPr>
          <w:p w14:paraId="1192DC88">
            <w:pPr>
              <w:adjustRightInd w:val="0"/>
              <w:snapToGrid w:val="0"/>
              <w:spacing w:line="360" w:lineRule="auto"/>
              <w:rPr>
                <w:b/>
                <w:kern w:val="0"/>
                <w:sz w:val="24"/>
              </w:rPr>
            </w:pPr>
            <w:r>
              <w:rPr>
                <w:b/>
                <w:kern w:val="0"/>
                <w:sz w:val="24"/>
              </w:rPr>
              <w:t>1、大气环境质量现状</w:t>
            </w:r>
          </w:p>
          <w:p w14:paraId="4C6411ED">
            <w:pPr>
              <w:spacing w:line="360" w:lineRule="auto"/>
              <w:ind w:firstLine="480" w:firstLineChars="200"/>
              <w:rPr>
                <w:bCs/>
                <w:sz w:val="24"/>
              </w:rPr>
            </w:pPr>
            <w:r>
              <w:rPr>
                <w:bCs/>
                <w:sz w:val="24"/>
              </w:rPr>
              <w:t>根据《重庆市人民政府关于印发重庆市环境空气质量功能区划分规定的通知》</w:t>
            </w:r>
            <w:r>
              <w:rPr>
                <w:rFonts w:hint="eastAsia"/>
                <w:bCs/>
                <w:sz w:val="24"/>
              </w:rPr>
              <w:t>（</w:t>
            </w:r>
            <w:r>
              <w:rPr>
                <w:bCs/>
                <w:sz w:val="24"/>
              </w:rPr>
              <w:t>渝府发〔2016〕19号</w:t>
            </w:r>
            <w:r>
              <w:rPr>
                <w:rFonts w:hint="eastAsia"/>
                <w:bCs/>
                <w:sz w:val="24"/>
              </w:rPr>
              <w:t>）</w:t>
            </w:r>
            <w:r>
              <w:rPr>
                <w:bCs/>
                <w:sz w:val="24"/>
              </w:rPr>
              <w:t>文规定，项目所在地属二类区域。环境空气质量标准执行《环境空气质量标准》（GB3095-2012）二级标准。</w:t>
            </w:r>
          </w:p>
          <w:p w14:paraId="7DFF14D4">
            <w:pPr>
              <w:spacing w:line="360" w:lineRule="auto"/>
              <w:ind w:firstLine="480" w:firstLineChars="200"/>
              <w:rPr>
                <w:bCs/>
                <w:sz w:val="24"/>
              </w:rPr>
            </w:pPr>
            <w:r>
              <w:rPr>
                <w:bCs/>
                <w:sz w:val="24"/>
              </w:rPr>
              <w:t>（1）区域达标性分析</w:t>
            </w:r>
          </w:p>
          <w:p w14:paraId="72F67C86">
            <w:pPr>
              <w:spacing w:line="360" w:lineRule="auto"/>
              <w:ind w:firstLine="480" w:firstLineChars="200"/>
              <w:rPr>
                <w:bCs/>
                <w:sz w:val="24"/>
              </w:rPr>
            </w:pPr>
            <w:r>
              <w:rPr>
                <w:bCs/>
                <w:sz w:val="24"/>
              </w:rPr>
              <w:t>项目所在区域环境空气质量达标评价引用重庆市生态环境局发布的《2020年重庆市生态环境状况公报》</w:t>
            </w:r>
            <w:r>
              <w:rPr>
                <w:rFonts w:hint="eastAsia"/>
                <w:bCs/>
                <w:sz w:val="24"/>
              </w:rPr>
              <w:t>中涪陵区环境空气质量</w:t>
            </w:r>
            <w:r>
              <w:rPr>
                <w:bCs/>
                <w:sz w:val="24"/>
              </w:rPr>
              <w:t>结果进行环境空气达标判定，评价指标为SO</w:t>
            </w:r>
            <w:r>
              <w:rPr>
                <w:bCs/>
                <w:sz w:val="24"/>
                <w:vertAlign w:val="subscript"/>
              </w:rPr>
              <w:t>2</w:t>
            </w:r>
            <w:r>
              <w:rPr>
                <w:bCs/>
                <w:sz w:val="24"/>
              </w:rPr>
              <w:t>、NO</w:t>
            </w:r>
            <w:r>
              <w:rPr>
                <w:bCs/>
                <w:sz w:val="24"/>
                <w:vertAlign w:val="subscript"/>
              </w:rPr>
              <w:t>2</w:t>
            </w:r>
            <w:r>
              <w:rPr>
                <w:bCs/>
                <w:sz w:val="24"/>
              </w:rPr>
              <w:t>、PM</w:t>
            </w:r>
            <w:r>
              <w:rPr>
                <w:bCs/>
                <w:sz w:val="24"/>
                <w:vertAlign w:val="subscript"/>
              </w:rPr>
              <w:t>2.5</w:t>
            </w:r>
            <w:r>
              <w:rPr>
                <w:bCs/>
                <w:sz w:val="24"/>
              </w:rPr>
              <w:t>、PM</w:t>
            </w:r>
            <w:r>
              <w:rPr>
                <w:bCs/>
                <w:sz w:val="24"/>
                <w:vertAlign w:val="subscript"/>
              </w:rPr>
              <w:t>10</w:t>
            </w:r>
            <w:r>
              <w:rPr>
                <w:bCs/>
                <w:sz w:val="24"/>
              </w:rPr>
              <w:t>、CO、O</w:t>
            </w:r>
            <w:r>
              <w:rPr>
                <w:bCs/>
                <w:sz w:val="24"/>
                <w:vertAlign w:val="subscript"/>
              </w:rPr>
              <w:t>3</w:t>
            </w:r>
            <w:r>
              <w:rPr>
                <w:bCs/>
                <w:sz w:val="24"/>
              </w:rPr>
              <w:t>。</w:t>
            </w:r>
          </w:p>
          <w:p w14:paraId="7551BEB7">
            <w:pPr>
              <w:spacing w:line="360" w:lineRule="auto"/>
              <w:jc w:val="center"/>
              <w:rPr>
                <w:bCs/>
                <w:sz w:val="24"/>
              </w:rPr>
            </w:pPr>
            <w:r>
              <w:rPr>
                <w:bCs/>
                <w:sz w:val="24"/>
              </w:rPr>
              <w:t>表3-1  区域空气质量现状评价表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357"/>
              <w:gridCol w:w="1123"/>
              <w:gridCol w:w="1261"/>
              <w:gridCol w:w="1261"/>
              <w:gridCol w:w="978"/>
              <w:gridCol w:w="779"/>
            </w:tblGrid>
            <w:tr w14:paraId="0F61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09B69426">
                  <w:pPr>
                    <w:snapToGrid w:val="0"/>
                    <w:jc w:val="center"/>
                    <w:rPr>
                      <w:bCs/>
                      <w:szCs w:val="21"/>
                    </w:rPr>
                  </w:pPr>
                  <w:r>
                    <w:rPr>
                      <w:bCs/>
                      <w:szCs w:val="21"/>
                    </w:rPr>
                    <w:t>污染物</w:t>
                  </w:r>
                </w:p>
              </w:tc>
              <w:tc>
                <w:tcPr>
                  <w:tcW w:w="852" w:type="pct"/>
                  <w:vAlign w:val="center"/>
                </w:tcPr>
                <w:p w14:paraId="2AE85A19">
                  <w:pPr>
                    <w:snapToGrid w:val="0"/>
                    <w:jc w:val="center"/>
                    <w:rPr>
                      <w:bCs/>
                      <w:szCs w:val="21"/>
                    </w:rPr>
                  </w:pPr>
                  <w:r>
                    <w:rPr>
                      <w:bCs/>
                      <w:szCs w:val="21"/>
                    </w:rPr>
                    <w:t>评价时段</w:t>
                  </w:r>
                </w:p>
              </w:tc>
              <w:tc>
                <w:tcPr>
                  <w:tcW w:w="705" w:type="pct"/>
                  <w:vAlign w:val="center"/>
                </w:tcPr>
                <w:p w14:paraId="2881A287">
                  <w:pPr>
                    <w:snapToGrid w:val="0"/>
                    <w:jc w:val="center"/>
                    <w:rPr>
                      <w:bCs/>
                      <w:szCs w:val="21"/>
                    </w:rPr>
                  </w:pPr>
                  <w:r>
                    <w:rPr>
                      <w:bCs/>
                      <w:szCs w:val="21"/>
                    </w:rPr>
                    <w:t>百分位</w:t>
                  </w:r>
                </w:p>
              </w:tc>
              <w:tc>
                <w:tcPr>
                  <w:tcW w:w="792" w:type="pct"/>
                  <w:vAlign w:val="center"/>
                </w:tcPr>
                <w:p w14:paraId="086102F5">
                  <w:pPr>
                    <w:snapToGrid w:val="0"/>
                    <w:jc w:val="center"/>
                    <w:rPr>
                      <w:bCs/>
                      <w:szCs w:val="21"/>
                    </w:rPr>
                  </w:pPr>
                  <w:r>
                    <w:rPr>
                      <w:bCs/>
                      <w:szCs w:val="21"/>
                    </w:rPr>
                    <w:t>现状浓度（µg/m</w:t>
                  </w:r>
                  <w:r>
                    <w:rPr>
                      <w:bCs/>
                      <w:szCs w:val="21"/>
                      <w:vertAlign w:val="superscript"/>
                    </w:rPr>
                    <w:t>3</w:t>
                  </w:r>
                  <w:r>
                    <w:rPr>
                      <w:bCs/>
                      <w:szCs w:val="21"/>
                    </w:rPr>
                    <w:t>）</w:t>
                  </w:r>
                </w:p>
              </w:tc>
              <w:tc>
                <w:tcPr>
                  <w:tcW w:w="792" w:type="pct"/>
                  <w:vAlign w:val="center"/>
                </w:tcPr>
                <w:p w14:paraId="101A9291">
                  <w:pPr>
                    <w:snapToGrid w:val="0"/>
                    <w:jc w:val="center"/>
                    <w:rPr>
                      <w:bCs/>
                      <w:szCs w:val="21"/>
                    </w:rPr>
                  </w:pPr>
                  <w:r>
                    <w:rPr>
                      <w:bCs/>
                      <w:szCs w:val="21"/>
                    </w:rPr>
                    <w:t>标准值（µg/m</w:t>
                  </w:r>
                  <w:r>
                    <w:rPr>
                      <w:bCs/>
                      <w:szCs w:val="21"/>
                      <w:vertAlign w:val="superscript"/>
                    </w:rPr>
                    <w:t>3</w:t>
                  </w:r>
                  <w:r>
                    <w:rPr>
                      <w:bCs/>
                      <w:szCs w:val="21"/>
                    </w:rPr>
                    <w:t>）</w:t>
                  </w:r>
                </w:p>
              </w:tc>
              <w:tc>
                <w:tcPr>
                  <w:tcW w:w="614" w:type="pct"/>
                  <w:vAlign w:val="center"/>
                </w:tcPr>
                <w:p w14:paraId="78BAC054">
                  <w:pPr>
                    <w:snapToGrid w:val="0"/>
                    <w:jc w:val="center"/>
                    <w:rPr>
                      <w:bCs/>
                      <w:szCs w:val="21"/>
                    </w:rPr>
                  </w:pPr>
                  <w:r>
                    <w:rPr>
                      <w:bCs/>
                      <w:szCs w:val="21"/>
                    </w:rPr>
                    <w:t>占标率%</w:t>
                  </w:r>
                </w:p>
              </w:tc>
              <w:tc>
                <w:tcPr>
                  <w:tcW w:w="490" w:type="pct"/>
                  <w:vAlign w:val="center"/>
                </w:tcPr>
                <w:p w14:paraId="67F1DA20">
                  <w:pPr>
                    <w:snapToGrid w:val="0"/>
                    <w:jc w:val="center"/>
                    <w:rPr>
                      <w:bCs/>
                      <w:szCs w:val="21"/>
                    </w:rPr>
                  </w:pPr>
                  <w:r>
                    <w:rPr>
                      <w:bCs/>
                      <w:szCs w:val="21"/>
                    </w:rPr>
                    <w:t>达标情况</w:t>
                  </w:r>
                </w:p>
              </w:tc>
            </w:tr>
            <w:tr w14:paraId="5F35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147FAE23">
                  <w:pPr>
                    <w:snapToGrid w:val="0"/>
                    <w:jc w:val="center"/>
                    <w:rPr>
                      <w:bCs/>
                      <w:szCs w:val="21"/>
                    </w:rPr>
                  </w:pPr>
                  <w:r>
                    <w:rPr>
                      <w:bCs/>
                      <w:szCs w:val="21"/>
                    </w:rPr>
                    <w:t>PM</w:t>
                  </w:r>
                  <w:r>
                    <w:rPr>
                      <w:bCs/>
                      <w:szCs w:val="21"/>
                      <w:vertAlign w:val="subscript"/>
                    </w:rPr>
                    <w:t>10</w:t>
                  </w:r>
                </w:p>
              </w:tc>
              <w:tc>
                <w:tcPr>
                  <w:tcW w:w="852" w:type="pct"/>
                  <w:vMerge w:val="restart"/>
                  <w:vAlign w:val="center"/>
                </w:tcPr>
                <w:p w14:paraId="6755A031">
                  <w:pPr>
                    <w:snapToGrid w:val="0"/>
                    <w:jc w:val="center"/>
                    <w:rPr>
                      <w:bCs/>
                      <w:szCs w:val="21"/>
                    </w:rPr>
                  </w:pPr>
                  <w:r>
                    <w:rPr>
                      <w:bCs/>
                      <w:szCs w:val="21"/>
                    </w:rPr>
                    <w:t>年平均质量</w:t>
                  </w:r>
                </w:p>
                <w:p w14:paraId="0B890CF9">
                  <w:pPr>
                    <w:snapToGrid w:val="0"/>
                    <w:jc w:val="center"/>
                    <w:rPr>
                      <w:bCs/>
                      <w:szCs w:val="21"/>
                    </w:rPr>
                  </w:pPr>
                  <w:r>
                    <w:rPr>
                      <w:bCs/>
                      <w:szCs w:val="21"/>
                    </w:rPr>
                    <w:t>浓度</w:t>
                  </w:r>
                </w:p>
              </w:tc>
              <w:tc>
                <w:tcPr>
                  <w:tcW w:w="705" w:type="pct"/>
                  <w:vAlign w:val="center"/>
                </w:tcPr>
                <w:p w14:paraId="526A0A65">
                  <w:pPr>
                    <w:snapToGrid w:val="0"/>
                    <w:jc w:val="center"/>
                    <w:rPr>
                      <w:bCs/>
                      <w:szCs w:val="21"/>
                    </w:rPr>
                  </w:pPr>
                  <w:r>
                    <w:rPr>
                      <w:bCs/>
                      <w:szCs w:val="21"/>
                    </w:rPr>
                    <w:t>/</w:t>
                  </w:r>
                </w:p>
              </w:tc>
              <w:tc>
                <w:tcPr>
                  <w:tcW w:w="792" w:type="pct"/>
                  <w:vAlign w:val="center"/>
                </w:tcPr>
                <w:p w14:paraId="2813970E">
                  <w:pPr>
                    <w:snapToGrid w:val="0"/>
                    <w:jc w:val="center"/>
                    <w:rPr>
                      <w:bCs/>
                      <w:szCs w:val="21"/>
                    </w:rPr>
                  </w:pPr>
                  <w:r>
                    <w:rPr>
                      <w:bCs/>
                      <w:szCs w:val="21"/>
                    </w:rPr>
                    <w:t>45</w:t>
                  </w:r>
                </w:p>
              </w:tc>
              <w:tc>
                <w:tcPr>
                  <w:tcW w:w="792" w:type="pct"/>
                  <w:vAlign w:val="center"/>
                </w:tcPr>
                <w:p w14:paraId="1F62684A">
                  <w:pPr>
                    <w:snapToGrid w:val="0"/>
                    <w:jc w:val="center"/>
                    <w:rPr>
                      <w:bCs/>
                      <w:szCs w:val="21"/>
                    </w:rPr>
                  </w:pPr>
                  <w:r>
                    <w:rPr>
                      <w:bCs/>
                      <w:szCs w:val="21"/>
                    </w:rPr>
                    <w:t>70</w:t>
                  </w:r>
                </w:p>
              </w:tc>
              <w:tc>
                <w:tcPr>
                  <w:tcW w:w="614" w:type="pct"/>
                  <w:vAlign w:val="center"/>
                </w:tcPr>
                <w:p w14:paraId="26317455">
                  <w:pPr>
                    <w:snapToGrid w:val="0"/>
                    <w:jc w:val="center"/>
                    <w:rPr>
                      <w:bCs/>
                      <w:szCs w:val="21"/>
                    </w:rPr>
                  </w:pPr>
                  <w:r>
                    <w:rPr>
                      <w:rFonts w:hint="eastAsia"/>
                      <w:bCs/>
                      <w:szCs w:val="21"/>
                    </w:rPr>
                    <w:t>64.29</w:t>
                  </w:r>
                </w:p>
              </w:tc>
              <w:tc>
                <w:tcPr>
                  <w:tcW w:w="490" w:type="pct"/>
                  <w:vAlign w:val="center"/>
                </w:tcPr>
                <w:p w14:paraId="2C00EA5C">
                  <w:pPr>
                    <w:snapToGrid w:val="0"/>
                    <w:jc w:val="center"/>
                    <w:rPr>
                      <w:bCs/>
                      <w:szCs w:val="21"/>
                    </w:rPr>
                  </w:pPr>
                  <w:r>
                    <w:rPr>
                      <w:bCs/>
                      <w:szCs w:val="21"/>
                    </w:rPr>
                    <w:t>达标</w:t>
                  </w:r>
                </w:p>
              </w:tc>
            </w:tr>
            <w:tr w14:paraId="3663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336CA91E">
                  <w:pPr>
                    <w:snapToGrid w:val="0"/>
                    <w:jc w:val="center"/>
                    <w:rPr>
                      <w:bCs/>
                      <w:szCs w:val="21"/>
                    </w:rPr>
                  </w:pPr>
                  <w:r>
                    <w:rPr>
                      <w:bCs/>
                      <w:szCs w:val="21"/>
                    </w:rPr>
                    <w:t>PM</w:t>
                  </w:r>
                  <w:r>
                    <w:rPr>
                      <w:bCs/>
                      <w:szCs w:val="21"/>
                      <w:vertAlign w:val="subscript"/>
                    </w:rPr>
                    <w:t>2.5</w:t>
                  </w:r>
                </w:p>
              </w:tc>
              <w:tc>
                <w:tcPr>
                  <w:tcW w:w="852" w:type="pct"/>
                  <w:vMerge w:val="continue"/>
                  <w:vAlign w:val="center"/>
                </w:tcPr>
                <w:p w14:paraId="50BD142C">
                  <w:pPr>
                    <w:snapToGrid w:val="0"/>
                    <w:jc w:val="center"/>
                    <w:rPr>
                      <w:bCs/>
                      <w:szCs w:val="21"/>
                    </w:rPr>
                  </w:pPr>
                </w:p>
              </w:tc>
              <w:tc>
                <w:tcPr>
                  <w:tcW w:w="705" w:type="pct"/>
                  <w:vAlign w:val="center"/>
                </w:tcPr>
                <w:p w14:paraId="713468B0">
                  <w:pPr>
                    <w:snapToGrid w:val="0"/>
                    <w:jc w:val="center"/>
                    <w:rPr>
                      <w:bCs/>
                      <w:szCs w:val="21"/>
                    </w:rPr>
                  </w:pPr>
                  <w:r>
                    <w:rPr>
                      <w:bCs/>
                      <w:szCs w:val="21"/>
                    </w:rPr>
                    <w:t>/</w:t>
                  </w:r>
                </w:p>
              </w:tc>
              <w:tc>
                <w:tcPr>
                  <w:tcW w:w="792" w:type="pct"/>
                  <w:vAlign w:val="center"/>
                </w:tcPr>
                <w:p w14:paraId="7EA2DF27">
                  <w:pPr>
                    <w:snapToGrid w:val="0"/>
                    <w:jc w:val="center"/>
                    <w:rPr>
                      <w:bCs/>
                      <w:szCs w:val="21"/>
                    </w:rPr>
                  </w:pPr>
                  <w:r>
                    <w:rPr>
                      <w:bCs/>
                      <w:szCs w:val="21"/>
                    </w:rPr>
                    <w:t>30</w:t>
                  </w:r>
                </w:p>
              </w:tc>
              <w:tc>
                <w:tcPr>
                  <w:tcW w:w="792" w:type="pct"/>
                  <w:vAlign w:val="center"/>
                </w:tcPr>
                <w:p w14:paraId="4F8737A7">
                  <w:pPr>
                    <w:snapToGrid w:val="0"/>
                    <w:jc w:val="center"/>
                    <w:rPr>
                      <w:bCs/>
                      <w:szCs w:val="21"/>
                    </w:rPr>
                  </w:pPr>
                  <w:r>
                    <w:rPr>
                      <w:bCs/>
                      <w:szCs w:val="21"/>
                    </w:rPr>
                    <w:t>35</w:t>
                  </w:r>
                </w:p>
              </w:tc>
              <w:tc>
                <w:tcPr>
                  <w:tcW w:w="614" w:type="pct"/>
                  <w:vAlign w:val="center"/>
                </w:tcPr>
                <w:p w14:paraId="73F25B95">
                  <w:pPr>
                    <w:snapToGrid w:val="0"/>
                    <w:jc w:val="center"/>
                    <w:rPr>
                      <w:bCs/>
                      <w:szCs w:val="21"/>
                    </w:rPr>
                  </w:pPr>
                  <w:r>
                    <w:rPr>
                      <w:rFonts w:hint="eastAsia"/>
                      <w:bCs/>
                      <w:szCs w:val="21"/>
                    </w:rPr>
                    <w:t>85.71</w:t>
                  </w:r>
                </w:p>
              </w:tc>
              <w:tc>
                <w:tcPr>
                  <w:tcW w:w="490" w:type="pct"/>
                  <w:vAlign w:val="center"/>
                </w:tcPr>
                <w:p w14:paraId="783A1A1E">
                  <w:pPr>
                    <w:snapToGrid w:val="0"/>
                    <w:jc w:val="center"/>
                    <w:rPr>
                      <w:bCs/>
                      <w:szCs w:val="21"/>
                    </w:rPr>
                  </w:pPr>
                  <w:r>
                    <w:rPr>
                      <w:bCs/>
                      <w:szCs w:val="21"/>
                    </w:rPr>
                    <w:t>达标</w:t>
                  </w:r>
                </w:p>
              </w:tc>
            </w:tr>
            <w:tr w14:paraId="2A3F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0AF553E1">
                  <w:pPr>
                    <w:snapToGrid w:val="0"/>
                    <w:jc w:val="center"/>
                    <w:rPr>
                      <w:bCs/>
                      <w:szCs w:val="21"/>
                    </w:rPr>
                  </w:pPr>
                  <w:r>
                    <w:rPr>
                      <w:bCs/>
                      <w:szCs w:val="21"/>
                    </w:rPr>
                    <w:t>SO</w:t>
                  </w:r>
                  <w:r>
                    <w:rPr>
                      <w:bCs/>
                      <w:szCs w:val="21"/>
                      <w:vertAlign w:val="subscript"/>
                    </w:rPr>
                    <w:t>2</w:t>
                  </w:r>
                </w:p>
              </w:tc>
              <w:tc>
                <w:tcPr>
                  <w:tcW w:w="852" w:type="pct"/>
                  <w:vMerge w:val="continue"/>
                  <w:vAlign w:val="center"/>
                </w:tcPr>
                <w:p w14:paraId="08DFB13B">
                  <w:pPr>
                    <w:snapToGrid w:val="0"/>
                    <w:jc w:val="center"/>
                    <w:rPr>
                      <w:bCs/>
                      <w:szCs w:val="21"/>
                    </w:rPr>
                  </w:pPr>
                </w:p>
              </w:tc>
              <w:tc>
                <w:tcPr>
                  <w:tcW w:w="705" w:type="pct"/>
                  <w:vAlign w:val="center"/>
                </w:tcPr>
                <w:p w14:paraId="5F765ABD">
                  <w:pPr>
                    <w:snapToGrid w:val="0"/>
                    <w:jc w:val="center"/>
                    <w:rPr>
                      <w:bCs/>
                      <w:szCs w:val="21"/>
                    </w:rPr>
                  </w:pPr>
                  <w:r>
                    <w:rPr>
                      <w:bCs/>
                      <w:szCs w:val="21"/>
                    </w:rPr>
                    <w:t>/</w:t>
                  </w:r>
                </w:p>
              </w:tc>
              <w:tc>
                <w:tcPr>
                  <w:tcW w:w="792" w:type="pct"/>
                  <w:vAlign w:val="center"/>
                </w:tcPr>
                <w:p w14:paraId="76415E8C">
                  <w:pPr>
                    <w:snapToGrid w:val="0"/>
                    <w:jc w:val="center"/>
                    <w:rPr>
                      <w:bCs/>
                      <w:szCs w:val="21"/>
                    </w:rPr>
                  </w:pPr>
                  <w:r>
                    <w:rPr>
                      <w:bCs/>
                      <w:szCs w:val="21"/>
                    </w:rPr>
                    <w:t>11</w:t>
                  </w:r>
                </w:p>
              </w:tc>
              <w:tc>
                <w:tcPr>
                  <w:tcW w:w="792" w:type="pct"/>
                  <w:vAlign w:val="center"/>
                </w:tcPr>
                <w:p w14:paraId="1A43603A">
                  <w:pPr>
                    <w:snapToGrid w:val="0"/>
                    <w:jc w:val="center"/>
                    <w:rPr>
                      <w:bCs/>
                      <w:szCs w:val="21"/>
                    </w:rPr>
                  </w:pPr>
                  <w:r>
                    <w:rPr>
                      <w:bCs/>
                      <w:szCs w:val="21"/>
                    </w:rPr>
                    <w:t>60</w:t>
                  </w:r>
                </w:p>
              </w:tc>
              <w:tc>
                <w:tcPr>
                  <w:tcW w:w="614" w:type="pct"/>
                  <w:vAlign w:val="center"/>
                </w:tcPr>
                <w:p w14:paraId="49F3B4B0">
                  <w:pPr>
                    <w:snapToGrid w:val="0"/>
                    <w:jc w:val="center"/>
                    <w:rPr>
                      <w:bCs/>
                      <w:szCs w:val="21"/>
                    </w:rPr>
                  </w:pPr>
                  <w:r>
                    <w:rPr>
                      <w:rFonts w:hint="eastAsia"/>
                      <w:bCs/>
                      <w:szCs w:val="21"/>
                    </w:rPr>
                    <w:t>18.33</w:t>
                  </w:r>
                </w:p>
              </w:tc>
              <w:tc>
                <w:tcPr>
                  <w:tcW w:w="490" w:type="pct"/>
                  <w:vAlign w:val="center"/>
                </w:tcPr>
                <w:p w14:paraId="15640D75">
                  <w:pPr>
                    <w:snapToGrid w:val="0"/>
                    <w:jc w:val="center"/>
                    <w:rPr>
                      <w:bCs/>
                      <w:szCs w:val="21"/>
                    </w:rPr>
                  </w:pPr>
                  <w:r>
                    <w:rPr>
                      <w:bCs/>
                      <w:szCs w:val="21"/>
                    </w:rPr>
                    <w:t>达标</w:t>
                  </w:r>
                </w:p>
              </w:tc>
            </w:tr>
            <w:tr w14:paraId="4DB8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6DC193BD">
                  <w:pPr>
                    <w:snapToGrid w:val="0"/>
                    <w:jc w:val="center"/>
                    <w:rPr>
                      <w:bCs/>
                      <w:szCs w:val="21"/>
                    </w:rPr>
                  </w:pPr>
                  <w:r>
                    <w:rPr>
                      <w:bCs/>
                      <w:szCs w:val="21"/>
                    </w:rPr>
                    <w:t>NO</w:t>
                  </w:r>
                  <w:r>
                    <w:rPr>
                      <w:bCs/>
                      <w:szCs w:val="21"/>
                      <w:vertAlign w:val="subscript"/>
                    </w:rPr>
                    <w:t>2</w:t>
                  </w:r>
                </w:p>
              </w:tc>
              <w:tc>
                <w:tcPr>
                  <w:tcW w:w="852" w:type="pct"/>
                  <w:vMerge w:val="continue"/>
                  <w:vAlign w:val="center"/>
                </w:tcPr>
                <w:p w14:paraId="7EE94650">
                  <w:pPr>
                    <w:snapToGrid w:val="0"/>
                    <w:jc w:val="center"/>
                    <w:rPr>
                      <w:bCs/>
                      <w:szCs w:val="21"/>
                    </w:rPr>
                  </w:pPr>
                </w:p>
              </w:tc>
              <w:tc>
                <w:tcPr>
                  <w:tcW w:w="705" w:type="pct"/>
                  <w:vAlign w:val="center"/>
                </w:tcPr>
                <w:p w14:paraId="171690CE">
                  <w:pPr>
                    <w:snapToGrid w:val="0"/>
                    <w:jc w:val="center"/>
                    <w:rPr>
                      <w:bCs/>
                      <w:szCs w:val="21"/>
                    </w:rPr>
                  </w:pPr>
                  <w:r>
                    <w:rPr>
                      <w:bCs/>
                      <w:szCs w:val="21"/>
                    </w:rPr>
                    <w:t>/</w:t>
                  </w:r>
                </w:p>
              </w:tc>
              <w:tc>
                <w:tcPr>
                  <w:tcW w:w="792" w:type="pct"/>
                  <w:vAlign w:val="center"/>
                </w:tcPr>
                <w:p w14:paraId="0310E980">
                  <w:pPr>
                    <w:snapToGrid w:val="0"/>
                    <w:jc w:val="center"/>
                    <w:rPr>
                      <w:bCs/>
                      <w:szCs w:val="21"/>
                    </w:rPr>
                  </w:pPr>
                  <w:r>
                    <w:rPr>
                      <w:bCs/>
                      <w:szCs w:val="21"/>
                    </w:rPr>
                    <w:t>29</w:t>
                  </w:r>
                </w:p>
              </w:tc>
              <w:tc>
                <w:tcPr>
                  <w:tcW w:w="792" w:type="pct"/>
                  <w:vAlign w:val="center"/>
                </w:tcPr>
                <w:p w14:paraId="19BF0827">
                  <w:pPr>
                    <w:snapToGrid w:val="0"/>
                    <w:jc w:val="center"/>
                    <w:rPr>
                      <w:bCs/>
                      <w:szCs w:val="21"/>
                    </w:rPr>
                  </w:pPr>
                  <w:r>
                    <w:rPr>
                      <w:bCs/>
                      <w:szCs w:val="21"/>
                    </w:rPr>
                    <w:t>40</w:t>
                  </w:r>
                </w:p>
              </w:tc>
              <w:tc>
                <w:tcPr>
                  <w:tcW w:w="614" w:type="pct"/>
                  <w:vAlign w:val="center"/>
                </w:tcPr>
                <w:p w14:paraId="6D12BE6A">
                  <w:pPr>
                    <w:snapToGrid w:val="0"/>
                    <w:jc w:val="center"/>
                    <w:rPr>
                      <w:bCs/>
                      <w:szCs w:val="21"/>
                    </w:rPr>
                  </w:pPr>
                  <w:r>
                    <w:rPr>
                      <w:rFonts w:hint="eastAsia"/>
                      <w:bCs/>
                      <w:szCs w:val="21"/>
                    </w:rPr>
                    <w:t>72.50</w:t>
                  </w:r>
                </w:p>
              </w:tc>
              <w:tc>
                <w:tcPr>
                  <w:tcW w:w="490" w:type="pct"/>
                  <w:vAlign w:val="center"/>
                </w:tcPr>
                <w:p w14:paraId="406CB61B">
                  <w:pPr>
                    <w:snapToGrid w:val="0"/>
                    <w:jc w:val="center"/>
                    <w:rPr>
                      <w:bCs/>
                      <w:szCs w:val="21"/>
                    </w:rPr>
                  </w:pPr>
                  <w:r>
                    <w:rPr>
                      <w:bCs/>
                      <w:szCs w:val="21"/>
                    </w:rPr>
                    <w:t>达标</w:t>
                  </w:r>
                </w:p>
              </w:tc>
            </w:tr>
            <w:tr w14:paraId="0C6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4D3BC845">
                  <w:pPr>
                    <w:snapToGrid w:val="0"/>
                    <w:jc w:val="center"/>
                    <w:rPr>
                      <w:bCs/>
                      <w:szCs w:val="21"/>
                    </w:rPr>
                  </w:pPr>
                  <w:r>
                    <w:rPr>
                      <w:bCs/>
                      <w:szCs w:val="21"/>
                    </w:rPr>
                    <w:t>O</w:t>
                  </w:r>
                  <w:r>
                    <w:rPr>
                      <w:bCs/>
                      <w:szCs w:val="21"/>
                      <w:vertAlign w:val="subscript"/>
                    </w:rPr>
                    <w:t>3</w:t>
                  </w:r>
                </w:p>
              </w:tc>
              <w:tc>
                <w:tcPr>
                  <w:tcW w:w="852" w:type="pct"/>
                  <w:vAlign w:val="center"/>
                </w:tcPr>
                <w:p w14:paraId="7A4F2016">
                  <w:pPr>
                    <w:jc w:val="center"/>
                    <w:rPr>
                      <w:bCs/>
                      <w:szCs w:val="21"/>
                    </w:rPr>
                  </w:pPr>
                  <w:r>
                    <w:rPr>
                      <w:bCs/>
                      <w:szCs w:val="21"/>
                    </w:rPr>
                    <w:t>最大8h平均浓度</w:t>
                  </w:r>
                </w:p>
              </w:tc>
              <w:tc>
                <w:tcPr>
                  <w:tcW w:w="705" w:type="pct"/>
                  <w:vAlign w:val="center"/>
                </w:tcPr>
                <w:p w14:paraId="526680BB">
                  <w:pPr>
                    <w:jc w:val="center"/>
                    <w:rPr>
                      <w:bCs/>
                      <w:szCs w:val="21"/>
                    </w:rPr>
                  </w:pPr>
                  <w:r>
                    <w:rPr>
                      <w:bCs/>
                      <w:szCs w:val="21"/>
                    </w:rPr>
                    <w:t>第90百分位</w:t>
                  </w:r>
                </w:p>
              </w:tc>
              <w:tc>
                <w:tcPr>
                  <w:tcW w:w="792" w:type="pct"/>
                  <w:vAlign w:val="center"/>
                </w:tcPr>
                <w:p w14:paraId="714AE6EA">
                  <w:pPr>
                    <w:snapToGrid w:val="0"/>
                    <w:jc w:val="center"/>
                    <w:rPr>
                      <w:bCs/>
                      <w:szCs w:val="21"/>
                    </w:rPr>
                  </w:pPr>
                  <w:r>
                    <w:rPr>
                      <w:bCs/>
                      <w:szCs w:val="21"/>
                    </w:rPr>
                    <w:t>122</w:t>
                  </w:r>
                </w:p>
              </w:tc>
              <w:tc>
                <w:tcPr>
                  <w:tcW w:w="792" w:type="pct"/>
                  <w:vAlign w:val="center"/>
                </w:tcPr>
                <w:p w14:paraId="643E9C0E">
                  <w:pPr>
                    <w:snapToGrid w:val="0"/>
                    <w:jc w:val="center"/>
                    <w:rPr>
                      <w:bCs/>
                      <w:szCs w:val="21"/>
                    </w:rPr>
                  </w:pPr>
                  <w:r>
                    <w:rPr>
                      <w:bCs/>
                      <w:szCs w:val="21"/>
                    </w:rPr>
                    <w:t>160</w:t>
                  </w:r>
                </w:p>
              </w:tc>
              <w:tc>
                <w:tcPr>
                  <w:tcW w:w="614" w:type="pct"/>
                  <w:vAlign w:val="center"/>
                </w:tcPr>
                <w:p w14:paraId="3BB9C1A5">
                  <w:pPr>
                    <w:snapToGrid w:val="0"/>
                    <w:jc w:val="center"/>
                    <w:rPr>
                      <w:bCs/>
                      <w:szCs w:val="21"/>
                    </w:rPr>
                  </w:pPr>
                  <w:r>
                    <w:rPr>
                      <w:rFonts w:hint="eastAsia"/>
                      <w:bCs/>
                      <w:szCs w:val="21"/>
                    </w:rPr>
                    <w:t>76.25</w:t>
                  </w:r>
                </w:p>
              </w:tc>
              <w:tc>
                <w:tcPr>
                  <w:tcW w:w="490" w:type="pct"/>
                  <w:vAlign w:val="center"/>
                </w:tcPr>
                <w:p w14:paraId="1A49182D">
                  <w:pPr>
                    <w:snapToGrid w:val="0"/>
                    <w:jc w:val="center"/>
                    <w:rPr>
                      <w:bCs/>
                      <w:szCs w:val="21"/>
                    </w:rPr>
                  </w:pPr>
                  <w:r>
                    <w:rPr>
                      <w:bCs/>
                      <w:szCs w:val="21"/>
                    </w:rPr>
                    <w:t>达标</w:t>
                  </w:r>
                </w:p>
              </w:tc>
            </w:tr>
            <w:tr w14:paraId="3A39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vAlign w:val="center"/>
                </w:tcPr>
                <w:p w14:paraId="1EE61D52">
                  <w:pPr>
                    <w:snapToGrid w:val="0"/>
                    <w:jc w:val="center"/>
                    <w:rPr>
                      <w:bCs/>
                      <w:szCs w:val="21"/>
                    </w:rPr>
                  </w:pPr>
                  <w:r>
                    <w:rPr>
                      <w:bCs/>
                      <w:szCs w:val="21"/>
                    </w:rPr>
                    <w:t>CO（mg/m</w:t>
                  </w:r>
                  <w:r>
                    <w:rPr>
                      <w:bCs/>
                      <w:szCs w:val="21"/>
                      <w:vertAlign w:val="superscript"/>
                    </w:rPr>
                    <w:t>3</w:t>
                  </w:r>
                  <w:r>
                    <w:rPr>
                      <w:bCs/>
                      <w:szCs w:val="21"/>
                    </w:rPr>
                    <w:t>）</w:t>
                  </w:r>
                </w:p>
              </w:tc>
              <w:tc>
                <w:tcPr>
                  <w:tcW w:w="852" w:type="pct"/>
                  <w:vAlign w:val="center"/>
                </w:tcPr>
                <w:p w14:paraId="6EE059F5">
                  <w:pPr>
                    <w:jc w:val="center"/>
                    <w:rPr>
                      <w:bCs/>
                      <w:szCs w:val="21"/>
                    </w:rPr>
                  </w:pPr>
                  <w:r>
                    <w:rPr>
                      <w:bCs/>
                      <w:szCs w:val="21"/>
                    </w:rPr>
                    <w:t>日均浓度</w:t>
                  </w:r>
                </w:p>
              </w:tc>
              <w:tc>
                <w:tcPr>
                  <w:tcW w:w="705" w:type="pct"/>
                  <w:vAlign w:val="center"/>
                </w:tcPr>
                <w:p w14:paraId="49B04366">
                  <w:pPr>
                    <w:jc w:val="center"/>
                    <w:rPr>
                      <w:bCs/>
                      <w:szCs w:val="21"/>
                    </w:rPr>
                  </w:pPr>
                  <w:r>
                    <w:rPr>
                      <w:bCs/>
                      <w:szCs w:val="21"/>
                    </w:rPr>
                    <w:t>第95百分位</w:t>
                  </w:r>
                </w:p>
              </w:tc>
              <w:tc>
                <w:tcPr>
                  <w:tcW w:w="792" w:type="pct"/>
                  <w:vAlign w:val="center"/>
                </w:tcPr>
                <w:p w14:paraId="46A9CFA1">
                  <w:pPr>
                    <w:snapToGrid w:val="0"/>
                    <w:jc w:val="center"/>
                    <w:rPr>
                      <w:bCs/>
                      <w:szCs w:val="21"/>
                    </w:rPr>
                  </w:pPr>
                  <w:r>
                    <w:rPr>
                      <w:bCs/>
                      <w:szCs w:val="21"/>
                    </w:rPr>
                    <w:t>1.1</w:t>
                  </w:r>
                </w:p>
              </w:tc>
              <w:tc>
                <w:tcPr>
                  <w:tcW w:w="792" w:type="pct"/>
                  <w:vAlign w:val="center"/>
                </w:tcPr>
                <w:p w14:paraId="5DAA5730">
                  <w:pPr>
                    <w:snapToGrid w:val="0"/>
                    <w:jc w:val="center"/>
                    <w:rPr>
                      <w:bCs/>
                      <w:szCs w:val="21"/>
                    </w:rPr>
                  </w:pPr>
                  <w:r>
                    <w:rPr>
                      <w:bCs/>
                      <w:szCs w:val="21"/>
                    </w:rPr>
                    <w:t>4</w:t>
                  </w:r>
                </w:p>
              </w:tc>
              <w:tc>
                <w:tcPr>
                  <w:tcW w:w="614" w:type="pct"/>
                  <w:vAlign w:val="center"/>
                </w:tcPr>
                <w:p w14:paraId="57655D0D">
                  <w:pPr>
                    <w:snapToGrid w:val="0"/>
                    <w:jc w:val="center"/>
                    <w:rPr>
                      <w:bCs/>
                      <w:szCs w:val="21"/>
                    </w:rPr>
                  </w:pPr>
                  <w:r>
                    <w:rPr>
                      <w:rFonts w:hint="eastAsia"/>
                      <w:bCs/>
                      <w:szCs w:val="21"/>
                    </w:rPr>
                    <w:t>27.50</w:t>
                  </w:r>
                </w:p>
              </w:tc>
              <w:tc>
                <w:tcPr>
                  <w:tcW w:w="490" w:type="pct"/>
                  <w:vAlign w:val="center"/>
                </w:tcPr>
                <w:p w14:paraId="10C5E39E">
                  <w:pPr>
                    <w:snapToGrid w:val="0"/>
                    <w:jc w:val="center"/>
                    <w:rPr>
                      <w:bCs/>
                      <w:szCs w:val="21"/>
                    </w:rPr>
                  </w:pPr>
                  <w:r>
                    <w:rPr>
                      <w:bCs/>
                      <w:szCs w:val="21"/>
                    </w:rPr>
                    <w:t>达标</w:t>
                  </w:r>
                </w:p>
              </w:tc>
            </w:tr>
          </w:tbl>
          <w:p w14:paraId="75EF917D">
            <w:pPr>
              <w:adjustRightInd w:val="0"/>
              <w:snapToGrid w:val="0"/>
              <w:spacing w:line="360" w:lineRule="auto"/>
              <w:ind w:firstLine="480" w:firstLineChars="200"/>
              <w:rPr>
                <w:bCs/>
                <w:sz w:val="24"/>
              </w:rPr>
            </w:pPr>
            <w:r>
              <w:rPr>
                <w:sz w:val="24"/>
              </w:rPr>
              <w:t>根据上表可知，</w:t>
            </w:r>
            <w:r>
              <w:rPr>
                <w:rFonts w:hint="eastAsia"/>
                <w:sz w:val="24"/>
              </w:rPr>
              <w:t>项目所在涪陵区</w:t>
            </w:r>
            <w:r>
              <w:rPr>
                <w:sz w:val="24"/>
              </w:rPr>
              <w:t>各基本污染物质量浓度</w:t>
            </w:r>
            <w:r>
              <w:rPr>
                <w:rFonts w:hint="eastAsia"/>
                <w:sz w:val="24"/>
              </w:rPr>
              <w:t>均满足</w:t>
            </w:r>
            <w:r>
              <w:rPr>
                <w:sz w:val="24"/>
              </w:rPr>
              <w:t>《环境空气质量标准》</w:t>
            </w:r>
            <w:r>
              <w:rPr>
                <w:rFonts w:hint="eastAsia"/>
                <w:sz w:val="24"/>
              </w:rPr>
              <w:t>（</w:t>
            </w:r>
            <w:r>
              <w:rPr>
                <w:sz w:val="24"/>
              </w:rPr>
              <w:t>GB3095-2012</w:t>
            </w:r>
            <w:r>
              <w:rPr>
                <w:rFonts w:hint="eastAsia"/>
                <w:sz w:val="24"/>
              </w:rPr>
              <w:t>）</w:t>
            </w:r>
            <w:r>
              <w:rPr>
                <w:sz w:val="24"/>
              </w:rPr>
              <w:t>二级标准，属于达标区。</w:t>
            </w:r>
          </w:p>
          <w:p w14:paraId="000E8780">
            <w:pPr>
              <w:widowControl/>
              <w:spacing w:line="360" w:lineRule="auto"/>
              <w:ind w:firstLine="480" w:firstLineChars="200"/>
              <w:rPr>
                <w:sz w:val="24"/>
              </w:rPr>
            </w:pPr>
            <w:r>
              <w:rPr>
                <w:kern w:val="0"/>
                <w:sz w:val="24"/>
                <w:lang w:bidi="ar"/>
              </w:rPr>
              <w:t xml:space="preserve">（2）其他污染物环境质量现状评价 </w:t>
            </w:r>
          </w:p>
          <w:p w14:paraId="10049DDA">
            <w:pPr>
              <w:widowControl/>
              <w:spacing w:line="360" w:lineRule="auto"/>
              <w:ind w:firstLine="480" w:firstLineChars="200"/>
              <w:rPr>
                <w:kern w:val="0"/>
                <w:sz w:val="24"/>
                <w:lang w:bidi="ar"/>
              </w:rPr>
            </w:pPr>
            <w:r>
              <w:rPr>
                <w:rFonts w:hint="eastAsia"/>
                <w:kern w:val="0"/>
                <w:sz w:val="24"/>
                <w:lang w:bidi="ar"/>
              </w:rPr>
              <w:t>①引用数据</w:t>
            </w:r>
          </w:p>
          <w:p w14:paraId="3A7CF81A">
            <w:pPr>
              <w:widowControl/>
              <w:spacing w:line="360" w:lineRule="auto"/>
              <w:ind w:firstLine="480" w:firstLineChars="200"/>
              <w:rPr>
                <w:bCs/>
                <w:sz w:val="24"/>
              </w:rPr>
            </w:pPr>
            <w:r>
              <w:rPr>
                <w:rFonts w:hint="eastAsia"/>
                <w:bCs/>
                <w:sz w:val="24"/>
              </w:rPr>
              <w:t>项目特征因子为非甲烷总烃，</w:t>
            </w:r>
            <w:r>
              <w:rPr>
                <w:sz w:val="24"/>
              </w:rPr>
              <w:t>为了解本项目</w:t>
            </w:r>
            <w:r>
              <w:rPr>
                <w:rFonts w:hint="eastAsia"/>
                <w:sz w:val="24"/>
              </w:rPr>
              <w:t>所在区域</w:t>
            </w:r>
            <w:r>
              <w:rPr>
                <w:rFonts w:hint="eastAsia"/>
                <w:bCs/>
                <w:sz w:val="24"/>
              </w:rPr>
              <w:t>非甲烷总烃</w:t>
            </w:r>
            <w:r>
              <w:rPr>
                <w:sz w:val="24"/>
              </w:rPr>
              <w:t>环境空气质量现状</w:t>
            </w:r>
            <w:r>
              <w:rPr>
                <w:rFonts w:hint="eastAsia"/>
                <w:sz w:val="24"/>
              </w:rPr>
              <w:t>，</w:t>
            </w:r>
            <w:r>
              <w:rPr>
                <w:bCs/>
                <w:sz w:val="24"/>
              </w:rPr>
              <w:t>本次评价引用</w:t>
            </w:r>
            <w:r>
              <w:rPr>
                <w:rFonts w:hint="eastAsia"/>
                <w:bCs/>
                <w:sz w:val="24"/>
              </w:rPr>
              <w:t>《重庆万达薄板有限公司废油渣分离处理项目环境影响报告书》中该项目西南侧厂界监测点非甲烷总烃监测数据。根据《建设项目环境影响报告表编制技术指南（污染影响类）（试行）》，排放国家、地方环境空气质量标准中有标准限制要求的特征污染物时，引用建设项目周边5千米范围内近3年的现有监测数据。项目引用监测点位于本项目西北侧约</w:t>
            </w:r>
            <w:r>
              <w:rPr>
                <w:bCs/>
                <w:sz w:val="24"/>
              </w:rPr>
              <w:t>770</w:t>
            </w:r>
            <w:r>
              <w:rPr>
                <w:rFonts w:hint="eastAsia"/>
                <w:bCs/>
                <w:sz w:val="24"/>
              </w:rPr>
              <w:t>m，监测时间为2020</w:t>
            </w:r>
            <w:r>
              <w:rPr>
                <w:rFonts w:hint="eastAsia"/>
                <w:bCs/>
                <w:sz w:val="24"/>
                <w:lang w:eastAsia="zh-CN"/>
              </w:rPr>
              <w:t>年</w:t>
            </w:r>
            <w:bookmarkStart w:id="2" w:name="_GoBack"/>
            <w:bookmarkEnd w:id="2"/>
            <w:r>
              <w:rPr>
                <w:rFonts w:hint="eastAsia"/>
                <w:bCs/>
                <w:sz w:val="24"/>
              </w:rPr>
              <w:t>8月28日～9月3日，为近3年与项目排放的其他污染物有关的历史监测资料，且区域污染源未发生重大变化，因此，引用该监测数据合理有效</w:t>
            </w:r>
          </w:p>
          <w:p w14:paraId="58450832">
            <w:pPr>
              <w:pStyle w:val="165"/>
              <w:spacing w:line="360" w:lineRule="auto"/>
              <w:ind w:firstLine="482"/>
              <w:rPr>
                <w:sz w:val="24"/>
                <w:szCs w:val="24"/>
              </w:rPr>
            </w:pPr>
            <w:r>
              <w:rPr>
                <w:rFonts w:hint="eastAsia" w:ascii="宋体" w:hAnsi="宋体" w:cs="宋体"/>
                <w:b/>
                <w:bCs w:val="0"/>
                <w:sz w:val="24"/>
                <w:szCs w:val="24"/>
              </w:rPr>
              <w:t>①</w:t>
            </w:r>
            <w:r>
              <w:rPr>
                <w:b/>
                <w:bCs w:val="0"/>
                <w:sz w:val="24"/>
                <w:szCs w:val="24"/>
              </w:rPr>
              <w:t>监测因子：</w:t>
            </w:r>
            <w:r>
              <w:rPr>
                <w:sz w:val="24"/>
                <w:szCs w:val="24"/>
              </w:rPr>
              <w:t>非甲烷总烃。</w:t>
            </w:r>
          </w:p>
          <w:p w14:paraId="51FF7B82">
            <w:pPr>
              <w:pStyle w:val="165"/>
              <w:spacing w:line="360" w:lineRule="auto"/>
              <w:ind w:firstLine="482"/>
              <w:rPr>
                <w:sz w:val="24"/>
                <w:szCs w:val="24"/>
              </w:rPr>
            </w:pPr>
            <w:r>
              <w:rPr>
                <w:rFonts w:hint="eastAsia" w:ascii="宋体" w:hAnsi="宋体" w:cs="宋体"/>
                <w:b/>
                <w:bCs w:val="0"/>
                <w:sz w:val="24"/>
                <w:szCs w:val="24"/>
              </w:rPr>
              <w:t>②</w:t>
            </w:r>
            <w:r>
              <w:rPr>
                <w:b/>
                <w:bCs w:val="0"/>
                <w:sz w:val="24"/>
                <w:szCs w:val="24"/>
              </w:rPr>
              <w:t>监测时间、频率：</w:t>
            </w:r>
            <w:r>
              <w:rPr>
                <w:sz w:val="24"/>
                <w:szCs w:val="24"/>
              </w:rPr>
              <w:t>非甲烷总烃：连续监测7天，监测小时值，每天4次。</w:t>
            </w:r>
          </w:p>
          <w:p w14:paraId="4682E2CD">
            <w:pPr>
              <w:pStyle w:val="165"/>
              <w:spacing w:line="360" w:lineRule="auto"/>
              <w:ind w:firstLine="482"/>
              <w:rPr>
                <w:sz w:val="24"/>
                <w:szCs w:val="24"/>
              </w:rPr>
            </w:pPr>
            <w:r>
              <w:rPr>
                <w:rFonts w:hint="eastAsia" w:ascii="宋体" w:hAnsi="宋体" w:cs="宋体"/>
                <w:b/>
                <w:bCs w:val="0"/>
                <w:sz w:val="24"/>
                <w:szCs w:val="24"/>
              </w:rPr>
              <w:t>③</w:t>
            </w:r>
            <w:r>
              <w:rPr>
                <w:b/>
                <w:bCs w:val="0"/>
                <w:sz w:val="24"/>
                <w:szCs w:val="24"/>
              </w:rPr>
              <w:t>监测布点：</w:t>
            </w:r>
            <w:r>
              <w:rPr>
                <w:sz w:val="24"/>
                <w:szCs w:val="24"/>
              </w:rPr>
              <w:t>项目</w:t>
            </w:r>
            <w:r>
              <w:rPr>
                <w:bCs w:val="0"/>
                <w:sz w:val="24"/>
              </w:rPr>
              <w:t>西北侧约770m</w:t>
            </w:r>
            <w:r>
              <w:rPr>
                <w:sz w:val="24"/>
                <w:szCs w:val="24"/>
              </w:rPr>
              <w:t>处（</w:t>
            </w:r>
            <w:r>
              <w:rPr>
                <w:bCs w:val="0"/>
                <w:sz w:val="24"/>
              </w:rPr>
              <w:t>HQ2</w:t>
            </w:r>
            <w:r>
              <w:rPr>
                <w:sz w:val="24"/>
                <w:szCs w:val="24"/>
              </w:rPr>
              <w:t>）。</w:t>
            </w:r>
          </w:p>
          <w:p w14:paraId="47B57886">
            <w:pPr>
              <w:pStyle w:val="165"/>
              <w:spacing w:line="360" w:lineRule="auto"/>
              <w:ind w:firstLine="482"/>
              <w:rPr>
                <w:sz w:val="24"/>
                <w:szCs w:val="24"/>
              </w:rPr>
            </w:pPr>
            <w:r>
              <w:rPr>
                <w:rFonts w:hint="eastAsia" w:ascii="宋体" w:hAnsi="宋体" w:cs="宋体"/>
                <w:b/>
                <w:bCs w:val="0"/>
                <w:sz w:val="24"/>
                <w:szCs w:val="24"/>
              </w:rPr>
              <w:t>④</w:t>
            </w:r>
            <w:r>
              <w:rPr>
                <w:b/>
                <w:bCs w:val="0"/>
                <w:sz w:val="24"/>
                <w:szCs w:val="24"/>
              </w:rPr>
              <w:t>监测方法：</w:t>
            </w:r>
            <w:r>
              <w:rPr>
                <w:sz w:val="24"/>
                <w:szCs w:val="24"/>
              </w:rPr>
              <w:t>按照《环境空气质量标准》（GB3095-2012）规定的方法进行。</w:t>
            </w:r>
          </w:p>
          <w:p w14:paraId="791B84E9">
            <w:pPr>
              <w:pStyle w:val="75"/>
              <w:spacing w:beforeLines="0" w:line="360" w:lineRule="auto"/>
              <w:ind w:firstLine="490" w:firstLineChars="200"/>
              <w:jc w:val="both"/>
              <w:rPr>
                <w:rFonts w:eastAsia="宋体" w:cs="Times New Roman"/>
                <w:b w:val="0"/>
                <w:bCs/>
                <w:color w:val="auto"/>
                <w:sz w:val="24"/>
                <w:szCs w:val="24"/>
              </w:rPr>
            </w:pPr>
            <w:r>
              <w:rPr>
                <w:rFonts w:hint="eastAsia" w:ascii="宋体" w:hAnsi="宋体" w:eastAsia="宋体" w:cs="宋体"/>
                <w:color w:val="auto"/>
                <w:sz w:val="24"/>
                <w:szCs w:val="24"/>
              </w:rPr>
              <w:t>⑤</w:t>
            </w:r>
            <w:r>
              <w:rPr>
                <w:rFonts w:eastAsia="宋体" w:cs="Times New Roman"/>
                <w:color w:val="auto"/>
                <w:sz w:val="24"/>
                <w:szCs w:val="24"/>
              </w:rPr>
              <w:t>评价方法及模式：</w:t>
            </w:r>
            <w:r>
              <w:rPr>
                <w:rFonts w:eastAsia="宋体" w:cs="Times New Roman"/>
                <w:b w:val="0"/>
                <w:bCs/>
                <w:color w:val="auto"/>
                <w:sz w:val="24"/>
                <w:szCs w:val="24"/>
              </w:rPr>
              <w:t>采用最大占标率法对评价范围内大气环境现状进行评价。计算公式如下：</w:t>
            </w:r>
          </w:p>
          <w:p w14:paraId="29888C61">
            <w:pPr>
              <w:pStyle w:val="75"/>
              <w:spacing w:beforeLines="0" w:line="360" w:lineRule="auto"/>
              <w:jc w:val="center"/>
              <w:rPr>
                <w:rFonts w:eastAsia="宋体" w:cs="Times New Roman"/>
                <w:b w:val="0"/>
                <w:bCs/>
                <w:color w:val="auto"/>
                <w:sz w:val="24"/>
                <w:szCs w:val="24"/>
              </w:rPr>
            </w:pPr>
            <w:r>
              <w:rPr>
                <w:rFonts w:eastAsia="宋体" w:cs="Times New Roman"/>
                <w:b w:val="0"/>
                <w:bCs/>
                <w:color w:val="auto"/>
                <w:sz w:val="24"/>
                <w:szCs w:val="24"/>
              </w:rPr>
              <w:t>P</w:t>
            </w:r>
            <w:r>
              <w:rPr>
                <w:rFonts w:eastAsia="宋体" w:cs="Times New Roman"/>
                <w:b w:val="0"/>
                <w:bCs/>
                <w:color w:val="auto"/>
                <w:sz w:val="24"/>
                <w:szCs w:val="24"/>
                <w:vertAlign w:val="subscript"/>
              </w:rPr>
              <w:t>i</w:t>
            </w:r>
            <w:r>
              <w:rPr>
                <w:rFonts w:eastAsia="宋体" w:cs="Times New Roman"/>
                <w:b w:val="0"/>
                <w:bCs/>
                <w:color w:val="auto"/>
                <w:sz w:val="24"/>
                <w:szCs w:val="24"/>
              </w:rPr>
              <w:t>=（C</w:t>
            </w:r>
            <w:r>
              <w:rPr>
                <w:rFonts w:eastAsia="宋体" w:cs="Times New Roman"/>
                <w:b w:val="0"/>
                <w:bCs/>
                <w:color w:val="auto"/>
                <w:sz w:val="24"/>
                <w:szCs w:val="24"/>
                <w:vertAlign w:val="subscript"/>
              </w:rPr>
              <w:t>i</w:t>
            </w:r>
            <w:r>
              <w:rPr>
                <w:rFonts w:eastAsia="宋体" w:cs="Times New Roman"/>
                <w:b w:val="0"/>
                <w:bCs/>
                <w:color w:val="auto"/>
                <w:sz w:val="24"/>
                <w:szCs w:val="24"/>
              </w:rPr>
              <w:t>/C</w:t>
            </w:r>
            <w:r>
              <w:rPr>
                <w:rFonts w:eastAsia="宋体" w:cs="Times New Roman"/>
                <w:b w:val="0"/>
                <w:bCs/>
                <w:color w:val="auto"/>
                <w:sz w:val="24"/>
                <w:szCs w:val="24"/>
                <w:vertAlign w:val="subscript"/>
              </w:rPr>
              <w:t>0i</w:t>
            </w:r>
            <w:r>
              <w:rPr>
                <w:rFonts w:eastAsia="宋体" w:cs="Times New Roman"/>
                <w:b w:val="0"/>
                <w:bCs/>
                <w:color w:val="auto"/>
                <w:sz w:val="24"/>
                <w:szCs w:val="24"/>
              </w:rPr>
              <w:t>）×100%</w:t>
            </w:r>
          </w:p>
          <w:p w14:paraId="63527D3D">
            <w:pPr>
              <w:pStyle w:val="75"/>
              <w:spacing w:beforeLines="0" w:line="360" w:lineRule="auto"/>
              <w:ind w:firstLine="488" w:firstLineChars="200"/>
              <w:jc w:val="both"/>
              <w:rPr>
                <w:rFonts w:eastAsia="宋体" w:cs="Times New Roman"/>
                <w:b w:val="0"/>
                <w:bCs/>
                <w:color w:val="auto"/>
                <w:sz w:val="24"/>
                <w:szCs w:val="24"/>
              </w:rPr>
            </w:pPr>
            <w:r>
              <w:rPr>
                <w:rFonts w:eastAsia="宋体" w:cs="Times New Roman"/>
                <w:b w:val="0"/>
                <w:bCs/>
                <w:color w:val="auto"/>
                <w:sz w:val="24"/>
                <w:szCs w:val="24"/>
              </w:rPr>
              <w:t>式中：P</w:t>
            </w:r>
            <w:r>
              <w:rPr>
                <w:rFonts w:eastAsia="宋体" w:cs="Times New Roman"/>
                <w:b w:val="0"/>
                <w:bCs/>
                <w:color w:val="auto"/>
                <w:sz w:val="24"/>
                <w:szCs w:val="24"/>
                <w:vertAlign w:val="subscript"/>
              </w:rPr>
              <w:t>i</w:t>
            </w:r>
            <w:r>
              <w:rPr>
                <w:rFonts w:eastAsia="宋体" w:cs="Times New Roman"/>
                <w:b w:val="0"/>
                <w:bCs/>
                <w:color w:val="auto"/>
                <w:sz w:val="24"/>
                <w:szCs w:val="24"/>
              </w:rPr>
              <w:t>-第i个污染物实测浓度占标率，%；</w:t>
            </w:r>
          </w:p>
          <w:p w14:paraId="151E2CD1">
            <w:pPr>
              <w:pStyle w:val="75"/>
              <w:spacing w:beforeLines="0" w:line="360" w:lineRule="auto"/>
              <w:ind w:firstLine="1220" w:firstLineChars="500"/>
              <w:jc w:val="both"/>
              <w:rPr>
                <w:rFonts w:eastAsia="宋体" w:cs="Times New Roman"/>
                <w:b w:val="0"/>
                <w:bCs/>
                <w:color w:val="auto"/>
                <w:sz w:val="24"/>
                <w:szCs w:val="24"/>
              </w:rPr>
            </w:pPr>
            <w:r>
              <w:rPr>
                <w:rFonts w:eastAsia="宋体" w:cs="Times New Roman"/>
                <w:b w:val="0"/>
                <w:bCs/>
                <w:color w:val="auto"/>
                <w:sz w:val="24"/>
                <w:szCs w:val="24"/>
              </w:rPr>
              <w:t>C</w:t>
            </w:r>
            <w:r>
              <w:rPr>
                <w:rFonts w:eastAsia="宋体" w:cs="Times New Roman"/>
                <w:b w:val="0"/>
                <w:bCs/>
                <w:color w:val="auto"/>
                <w:sz w:val="24"/>
                <w:szCs w:val="24"/>
                <w:vertAlign w:val="subscript"/>
              </w:rPr>
              <w:t>i</w:t>
            </w:r>
            <w:r>
              <w:rPr>
                <w:rFonts w:eastAsia="宋体" w:cs="Times New Roman"/>
                <w:b w:val="0"/>
                <w:bCs/>
                <w:color w:val="auto"/>
                <w:sz w:val="24"/>
                <w:szCs w:val="24"/>
              </w:rPr>
              <w:t>-第i个污染物实测浓度，mg/m</w:t>
            </w:r>
            <w:r>
              <w:rPr>
                <w:rFonts w:eastAsia="宋体" w:cs="Times New Roman"/>
                <w:b w:val="0"/>
                <w:bCs/>
                <w:color w:val="auto"/>
                <w:sz w:val="24"/>
                <w:szCs w:val="24"/>
                <w:vertAlign w:val="superscript"/>
              </w:rPr>
              <w:t>3</w:t>
            </w:r>
            <w:r>
              <w:rPr>
                <w:rFonts w:eastAsia="宋体" w:cs="Times New Roman"/>
                <w:b w:val="0"/>
                <w:bCs/>
                <w:color w:val="auto"/>
                <w:sz w:val="24"/>
                <w:szCs w:val="24"/>
              </w:rPr>
              <w:t>；</w:t>
            </w:r>
          </w:p>
          <w:p w14:paraId="549A6F71">
            <w:pPr>
              <w:pStyle w:val="75"/>
              <w:spacing w:beforeLines="0" w:line="360" w:lineRule="auto"/>
              <w:ind w:firstLine="1220" w:firstLineChars="500"/>
              <w:jc w:val="both"/>
              <w:rPr>
                <w:rFonts w:eastAsia="宋体" w:cs="Times New Roman"/>
                <w:color w:val="auto"/>
                <w:sz w:val="24"/>
                <w:szCs w:val="24"/>
              </w:rPr>
            </w:pPr>
            <w:r>
              <w:rPr>
                <w:rFonts w:eastAsia="宋体" w:cs="Times New Roman"/>
                <w:b w:val="0"/>
                <w:bCs/>
                <w:color w:val="auto"/>
                <w:sz w:val="24"/>
                <w:szCs w:val="24"/>
              </w:rPr>
              <w:t>C</w:t>
            </w:r>
            <w:r>
              <w:rPr>
                <w:rFonts w:eastAsia="宋体" w:cs="Times New Roman"/>
                <w:b w:val="0"/>
                <w:bCs/>
                <w:color w:val="auto"/>
                <w:sz w:val="24"/>
                <w:szCs w:val="24"/>
                <w:vertAlign w:val="subscript"/>
              </w:rPr>
              <w:t>0i</w:t>
            </w:r>
            <w:r>
              <w:rPr>
                <w:rFonts w:eastAsia="宋体" w:cs="Times New Roman"/>
                <w:b w:val="0"/>
                <w:bCs/>
                <w:color w:val="auto"/>
                <w:sz w:val="24"/>
                <w:szCs w:val="24"/>
              </w:rPr>
              <w:t>-第i个污染物的环境空气质量标准，mg/m</w:t>
            </w:r>
            <w:r>
              <w:rPr>
                <w:rFonts w:eastAsia="宋体" w:cs="Times New Roman"/>
                <w:b w:val="0"/>
                <w:bCs/>
                <w:color w:val="auto"/>
                <w:sz w:val="24"/>
                <w:szCs w:val="24"/>
                <w:vertAlign w:val="superscript"/>
              </w:rPr>
              <w:t>3</w:t>
            </w:r>
            <w:r>
              <w:rPr>
                <w:rFonts w:eastAsia="宋体" w:cs="Times New Roman"/>
                <w:b w:val="0"/>
                <w:bCs/>
                <w:color w:val="auto"/>
                <w:sz w:val="24"/>
                <w:szCs w:val="24"/>
              </w:rPr>
              <w:t>。</w:t>
            </w:r>
          </w:p>
          <w:p w14:paraId="4605DF4B">
            <w:pPr>
              <w:pStyle w:val="165"/>
              <w:spacing w:line="360" w:lineRule="auto"/>
              <w:ind w:firstLine="482"/>
              <w:rPr>
                <w:sz w:val="24"/>
                <w:szCs w:val="24"/>
              </w:rPr>
            </w:pPr>
            <w:r>
              <w:rPr>
                <w:rFonts w:hint="eastAsia" w:ascii="宋体" w:hAnsi="宋体" w:cs="宋体"/>
                <w:b/>
                <w:bCs w:val="0"/>
                <w:sz w:val="24"/>
                <w:szCs w:val="24"/>
              </w:rPr>
              <w:t>⑥</w:t>
            </w:r>
            <w:r>
              <w:rPr>
                <w:b/>
                <w:bCs w:val="0"/>
                <w:sz w:val="24"/>
                <w:szCs w:val="24"/>
              </w:rPr>
              <w:t>监测结果：</w:t>
            </w:r>
            <w:r>
              <w:rPr>
                <w:sz w:val="24"/>
                <w:szCs w:val="24"/>
              </w:rPr>
              <w:t>项目评价范围内，环境空气现状特征因子监测结果详见表3-2所示。</w:t>
            </w:r>
          </w:p>
          <w:p w14:paraId="37168C77">
            <w:pPr>
              <w:pStyle w:val="75"/>
              <w:spacing w:beforeLines="0" w:line="360" w:lineRule="auto"/>
              <w:jc w:val="center"/>
              <w:rPr>
                <w:rFonts w:eastAsia="宋体" w:cs="Times New Roman"/>
                <w:b w:val="0"/>
                <w:color w:val="auto"/>
                <w:sz w:val="24"/>
                <w:szCs w:val="24"/>
              </w:rPr>
            </w:pPr>
            <w:r>
              <w:rPr>
                <w:rFonts w:eastAsia="宋体" w:cs="Times New Roman"/>
                <w:b w:val="0"/>
                <w:color w:val="auto"/>
                <w:sz w:val="24"/>
                <w:szCs w:val="24"/>
              </w:rPr>
              <w:t>表3-2  特征因子环境质量现状监测结果表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936"/>
              <w:gridCol w:w="745"/>
              <w:gridCol w:w="1137"/>
              <w:gridCol w:w="1553"/>
              <w:gridCol w:w="991"/>
              <w:gridCol w:w="850"/>
              <w:gridCol w:w="817"/>
            </w:tblGrid>
            <w:tr w14:paraId="0EA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restart"/>
                  <w:vAlign w:val="center"/>
                </w:tcPr>
                <w:p w14:paraId="544B60B3">
                  <w:pPr>
                    <w:pStyle w:val="72"/>
                    <w:spacing w:line="240" w:lineRule="auto"/>
                    <w:rPr>
                      <w:rFonts w:ascii="Times New Roman" w:hAnsi="Times New Roman"/>
                      <w:color w:val="auto"/>
                      <w:sz w:val="21"/>
                    </w:rPr>
                  </w:pPr>
                  <w:r>
                    <w:rPr>
                      <w:rFonts w:ascii="Times New Roman" w:hAnsi="Times New Roman"/>
                      <w:color w:val="auto"/>
                      <w:sz w:val="21"/>
                    </w:rPr>
                    <w:t>监测点位</w:t>
                  </w:r>
                </w:p>
              </w:tc>
              <w:tc>
                <w:tcPr>
                  <w:tcW w:w="936" w:type="dxa"/>
                  <w:vMerge w:val="restart"/>
                  <w:vAlign w:val="center"/>
                </w:tcPr>
                <w:p w14:paraId="79815CD1">
                  <w:pPr>
                    <w:pStyle w:val="72"/>
                    <w:spacing w:line="240" w:lineRule="auto"/>
                    <w:rPr>
                      <w:rFonts w:ascii="Times New Roman" w:hAnsi="Times New Roman"/>
                      <w:color w:val="auto"/>
                      <w:sz w:val="21"/>
                    </w:rPr>
                  </w:pPr>
                  <w:r>
                    <w:rPr>
                      <w:rFonts w:ascii="Times New Roman" w:hAnsi="Times New Roman"/>
                      <w:color w:val="auto"/>
                      <w:sz w:val="21"/>
                    </w:rPr>
                    <w:t>监测因子</w:t>
                  </w:r>
                </w:p>
              </w:tc>
              <w:tc>
                <w:tcPr>
                  <w:tcW w:w="745" w:type="dxa"/>
                  <w:vMerge w:val="restart"/>
                  <w:vAlign w:val="center"/>
                </w:tcPr>
                <w:p w14:paraId="2C40FE5E">
                  <w:pPr>
                    <w:pStyle w:val="72"/>
                    <w:spacing w:line="240" w:lineRule="auto"/>
                    <w:rPr>
                      <w:rFonts w:ascii="Times New Roman" w:hAnsi="Times New Roman"/>
                      <w:color w:val="auto"/>
                      <w:sz w:val="21"/>
                    </w:rPr>
                  </w:pPr>
                  <w:r>
                    <w:rPr>
                      <w:rFonts w:ascii="Times New Roman" w:hAnsi="Times New Roman"/>
                      <w:color w:val="auto"/>
                      <w:sz w:val="21"/>
                    </w:rPr>
                    <w:t>平均时间</w:t>
                  </w:r>
                </w:p>
              </w:tc>
              <w:tc>
                <w:tcPr>
                  <w:tcW w:w="1137" w:type="dxa"/>
                  <w:vMerge w:val="restart"/>
                  <w:vAlign w:val="center"/>
                </w:tcPr>
                <w:p w14:paraId="0239A72A">
                  <w:pPr>
                    <w:pStyle w:val="72"/>
                    <w:spacing w:line="240" w:lineRule="auto"/>
                    <w:rPr>
                      <w:rFonts w:ascii="Times New Roman" w:hAnsi="Times New Roman"/>
                      <w:color w:val="auto"/>
                      <w:sz w:val="21"/>
                    </w:rPr>
                  </w:pPr>
                  <w:r>
                    <w:rPr>
                      <w:rFonts w:ascii="Times New Roman" w:hAnsi="Times New Roman"/>
                      <w:color w:val="auto"/>
                      <w:sz w:val="21"/>
                    </w:rPr>
                    <w:t>评价标准</w:t>
                  </w:r>
                </w:p>
                <w:p w14:paraId="333D4748">
                  <w:pPr>
                    <w:pStyle w:val="72"/>
                    <w:spacing w:line="240" w:lineRule="auto"/>
                    <w:rPr>
                      <w:rFonts w:ascii="Times New Roman" w:hAnsi="Times New Roman"/>
                      <w:color w:val="auto"/>
                      <w:sz w:val="21"/>
                    </w:rPr>
                  </w:pPr>
                  <w:r>
                    <w:rPr>
                      <w:rFonts w:ascii="Times New Roman" w:hAnsi="Times New Roman"/>
                      <w:color w:val="auto"/>
                      <w:sz w:val="21"/>
                    </w:rPr>
                    <w:t>μg/m</w:t>
                  </w:r>
                  <w:r>
                    <w:rPr>
                      <w:rFonts w:ascii="Times New Roman" w:hAnsi="Times New Roman"/>
                      <w:color w:val="auto"/>
                      <w:sz w:val="21"/>
                      <w:vertAlign w:val="superscript"/>
                    </w:rPr>
                    <w:t>3</w:t>
                  </w:r>
                </w:p>
              </w:tc>
              <w:tc>
                <w:tcPr>
                  <w:tcW w:w="1553" w:type="dxa"/>
                  <w:vMerge w:val="restart"/>
                  <w:vAlign w:val="center"/>
                </w:tcPr>
                <w:p w14:paraId="6A867C60">
                  <w:pPr>
                    <w:pStyle w:val="72"/>
                    <w:spacing w:line="240" w:lineRule="auto"/>
                    <w:rPr>
                      <w:rFonts w:ascii="Times New Roman" w:hAnsi="Times New Roman"/>
                      <w:color w:val="auto"/>
                      <w:sz w:val="21"/>
                    </w:rPr>
                  </w:pPr>
                  <w:r>
                    <w:rPr>
                      <w:rFonts w:ascii="Times New Roman" w:hAnsi="Times New Roman"/>
                      <w:color w:val="auto"/>
                      <w:sz w:val="21"/>
                    </w:rPr>
                    <w:t>监测浓度范围</w:t>
                  </w:r>
                </w:p>
                <w:p w14:paraId="124ABAF2">
                  <w:pPr>
                    <w:pStyle w:val="72"/>
                    <w:spacing w:line="240" w:lineRule="auto"/>
                    <w:rPr>
                      <w:rFonts w:ascii="Times New Roman" w:hAnsi="Times New Roman"/>
                      <w:color w:val="auto"/>
                      <w:sz w:val="21"/>
                    </w:rPr>
                  </w:pPr>
                  <w:r>
                    <w:rPr>
                      <w:rFonts w:ascii="Times New Roman" w:hAnsi="Times New Roman"/>
                      <w:color w:val="auto"/>
                      <w:sz w:val="21"/>
                    </w:rPr>
                    <w:t>μg/m</w:t>
                  </w:r>
                  <w:r>
                    <w:rPr>
                      <w:rFonts w:ascii="Times New Roman" w:hAnsi="Times New Roman"/>
                      <w:color w:val="auto"/>
                      <w:sz w:val="21"/>
                      <w:vertAlign w:val="superscript"/>
                    </w:rPr>
                    <w:t>3</w:t>
                  </w:r>
                </w:p>
              </w:tc>
              <w:tc>
                <w:tcPr>
                  <w:tcW w:w="991" w:type="dxa"/>
                  <w:vMerge w:val="restart"/>
                  <w:vAlign w:val="center"/>
                </w:tcPr>
                <w:p w14:paraId="0165B1DC">
                  <w:pPr>
                    <w:pStyle w:val="72"/>
                    <w:spacing w:line="240" w:lineRule="auto"/>
                    <w:rPr>
                      <w:rFonts w:ascii="Times New Roman" w:hAnsi="Times New Roman"/>
                      <w:color w:val="auto"/>
                      <w:sz w:val="21"/>
                    </w:rPr>
                  </w:pPr>
                  <w:r>
                    <w:rPr>
                      <w:rFonts w:ascii="Times New Roman" w:hAnsi="Times New Roman"/>
                      <w:color w:val="auto"/>
                      <w:sz w:val="21"/>
                    </w:rPr>
                    <w:t>最大浓度占标率%</w:t>
                  </w:r>
                </w:p>
              </w:tc>
              <w:tc>
                <w:tcPr>
                  <w:tcW w:w="850" w:type="dxa"/>
                  <w:vMerge w:val="restart"/>
                  <w:vAlign w:val="center"/>
                </w:tcPr>
                <w:p w14:paraId="3BC3730E">
                  <w:pPr>
                    <w:pStyle w:val="72"/>
                    <w:spacing w:line="240" w:lineRule="auto"/>
                    <w:rPr>
                      <w:rFonts w:ascii="Times New Roman" w:hAnsi="Times New Roman"/>
                      <w:color w:val="auto"/>
                      <w:sz w:val="21"/>
                    </w:rPr>
                  </w:pPr>
                  <w:r>
                    <w:rPr>
                      <w:rFonts w:ascii="Times New Roman" w:hAnsi="Times New Roman"/>
                      <w:color w:val="auto"/>
                      <w:sz w:val="21"/>
                    </w:rPr>
                    <w:t>超标率</w:t>
                  </w:r>
                </w:p>
                <w:p w14:paraId="5D21F8FF">
                  <w:pPr>
                    <w:pStyle w:val="72"/>
                    <w:spacing w:line="240" w:lineRule="auto"/>
                    <w:rPr>
                      <w:rFonts w:ascii="Times New Roman" w:hAnsi="Times New Roman"/>
                      <w:color w:val="auto"/>
                      <w:sz w:val="21"/>
                    </w:rPr>
                  </w:pPr>
                  <w:r>
                    <w:rPr>
                      <w:rFonts w:ascii="Times New Roman" w:hAnsi="Times New Roman"/>
                      <w:color w:val="auto"/>
                      <w:sz w:val="21"/>
                    </w:rPr>
                    <w:t>%</w:t>
                  </w:r>
                </w:p>
              </w:tc>
              <w:tc>
                <w:tcPr>
                  <w:tcW w:w="817" w:type="dxa"/>
                  <w:vMerge w:val="restart"/>
                  <w:vAlign w:val="center"/>
                </w:tcPr>
                <w:p w14:paraId="73806CC4">
                  <w:pPr>
                    <w:pStyle w:val="72"/>
                    <w:spacing w:line="240" w:lineRule="auto"/>
                    <w:rPr>
                      <w:rFonts w:ascii="Times New Roman" w:hAnsi="Times New Roman"/>
                      <w:color w:val="auto"/>
                      <w:sz w:val="21"/>
                    </w:rPr>
                  </w:pPr>
                  <w:r>
                    <w:rPr>
                      <w:rFonts w:ascii="Times New Roman" w:hAnsi="Times New Roman"/>
                      <w:color w:val="auto"/>
                      <w:sz w:val="21"/>
                    </w:rPr>
                    <w:t>达标情况</w:t>
                  </w:r>
                </w:p>
              </w:tc>
            </w:tr>
            <w:tr w14:paraId="6665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vAlign w:val="center"/>
                </w:tcPr>
                <w:p w14:paraId="001C157F">
                  <w:pPr>
                    <w:pStyle w:val="72"/>
                    <w:spacing w:line="240" w:lineRule="auto"/>
                    <w:rPr>
                      <w:rFonts w:ascii="Times New Roman" w:hAnsi="Times New Roman"/>
                      <w:color w:val="auto"/>
                      <w:sz w:val="21"/>
                    </w:rPr>
                  </w:pPr>
                </w:p>
              </w:tc>
              <w:tc>
                <w:tcPr>
                  <w:tcW w:w="936" w:type="dxa"/>
                  <w:vMerge w:val="continue"/>
                  <w:vAlign w:val="center"/>
                </w:tcPr>
                <w:p w14:paraId="6E7CB83F">
                  <w:pPr>
                    <w:pStyle w:val="72"/>
                    <w:spacing w:line="240" w:lineRule="auto"/>
                    <w:rPr>
                      <w:rFonts w:ascii="Times New Roman" w:hAnsi="Times New Roman"/>
                      <w:color w:val="auto"/>
                      <w:sz w:val="21"/>
                    </w:rPr>
                  </w:pPr>
                </w:p>
              </w:tc>
              <w:tc>
                <w:tcPr>
                  <w:tcW w:w="745" w:type="dxa"/>
                  <w:vMerge w:val="continue"/>
                  <w:vAlign w:val="center"/>
                </w:tcPr>
                <w:p w14:paraId="2A4ED293">
                  <w:pPr>
                    <w:pStyle w:val="72"/>
                    <w:spacing w:line="240" w:lineRule="auto"/>
                    <w:rPr>
                      <w:rFonts w:ascii="Times New Roman" w:hAnsi="Times New Roman"/>
                      <w:color w:val="auto"/>
                      <w:sz w:val="21"/>
                    </w:rPr>
                  </w:pPr>
                </w:p>
              </w:tc>
              <w:tc>
                <w:tcPr>
                  <w:tcW w:w="1137" w:type="dxa"/>
                  <w:vMerge w:val="continue"/>
                  <w:vAlign w:val="center"/>
                </w:tcPr>
                <w:p w14:paraId="4B170B20">
                  <w:pPr>
                    <w:pStyle w:val="72"/>
                    <w:spacing w:line="240" w:lineRule="auto"/>
                    <w:rPr>
                      <w:rFonts w:ascii="Times New Roman" w:hAnsi="Times New Roman"/>
                      <w:color w:val="auto"/>
                      <w:sz w:val="21"/>
                    </w:rPr>
                  </w:pPr>
                </w:p>
              </w:tc>
              <w:tc>
                <w:tcPr>
                  <w:tcW w:w="1553" w:type="dxa"/>
                  <w:vMerge w:val="continue"/>
                  <w:vAlign w:val="center"/>
                </w:tcPr>
                <w:p w14:paraId="61D48A9D">
                  <w:pPr>
                    <w:pStyle w:val="72"/>
                    <w:spacing w:line="240" w:lineRule="auto"/>
                    <w:rPr>
                      <w:rFonts w:ascii="Times New Roman" w:hAnsi="Times New Roman"/>
                      <w:color w:val="auto"/>
                      <w:sz w:val="21"/>
                    </w:rPr>
                  </w:pPr>
                </w:p>
              </w:tc>
              <w:tc>
                <w:tcPr>
                  <w:tcW w:w="991" w:type="dxa"/>
                  <w:vMerge w:val="continue"/>
                  <w:vAlign w:val="center"/>
                </w:tcPr>
                <w:p w14:paraId="00F92B8C">
                  <w:pPr>
                    <w:pStyle w:val="72"/>
                    <w:spacing w:line="240" w:lineRule="auto"/>
                    <w:rPr>
                      <w:rFonts w:ascii="Times New Roman" w:hAnsi="Times New Roman"/>
                      <w:color w:val="auto"/>
                      <w:sz w:val="21"/>
                    </w:rPr>
                  </w:pPr>
                </w:p>
              </w:tc>
              <w:tc>
                <w:tcPr>
                  <w:tcW w:w="850" w:type="dxa"/>
                  <w:vMerge w:val="continue"/>
                  <w:vAlign w:val="center"/>
                </w:tcPr>
                <w:p w14:paraId="4A08D560">
                  <w:pPr>
                    <w:pStyle w:val="72"/>
                    <w:spacing w:line="240" w:lineRule="auto"/>
                    <w:rPr>
                      <w:rFonts w:ascii="Times New Roman" w:hAnsi="Times New Roman"/>
                      <w:color w:val="auto"/>
                      <w:sz w:val="21"/>
                    </w:rPr>
                  </w:pPr>
                </w:p>
              </w:tc>
              <w:tc>
                <w:tcPr>
                  <w:tcW w:w="817" w:type="dxa"/>
                  <w:vMerge w:val="continue"/>
                  <w:vAlign w:val="center"/>
                </w:tcPr>
                <w:p w14:paraId="4DB66ACB">
                  <w:pPr>
                    <w:pStyle w:val="72"/>
                    <w:spacing w:line="240" w:lineRule="auto"/>
                    <w:rPr>
                      <w:rFonts w:ascii="Times New Roman" w:hAnsi="Times New Roman"/>
                      <w:color w:val="auto"/>
                      <w:sz w:val="21"/>
                    </w:rPr>
                  </w:pPr>
                </w:p>
              </w:tc>
            </w:tr>
            <w:tr w14:paraId="1CCF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35" w:type="dxa"/>
                  <w:vAlign w:val="center"/>
                </w:tcPr>
                <w:p w14:paraId="595CCD1C">
                  <w:pPr>
                    <w:pStyle w:val="72"/>
                    <w:spacing w:line="240" w:lineRule="auto"/>
                    <w:rPr>
                      <w:rFonts w:ascii="Times New Roman" w:hAnsi="Times New Roman"/>
                      <w:color w:val="auto"/>
                      <w:sz w:val="21"/>
                    </w:rPr>
                  </w:pPr>
                  <w:r>
                    <w:rPr>
                      <w:rFonts w:ascii="Times New Roman" w:hAnsi="Times New Roman"/>
                      <w:color w:val="auto"/>
                      <w:sz w:val="21"/>
                    </w:rPr>
                    <w:t>非甲烷总烃</w:t>
                  </w:r>
                  <w:r>
                    <w:rPr>
                      <w:rFonts w:hint="eastAsia" w:ascii="Times New Roman" w:hAnsi="Times New Roman"/>
                      <w:color w:val="auto"/>
                      <w:sz w:val="21"/>
                    </w:rPr>
                    <w:t>监测点位</w:t>
                  </w:r>
                </w:p>
              </w:tc>
              <w:tc>
                <w:tcPr>
                  <w:tcW w:w="936" w:type="dxa"/>
                  <w:vAlign w:val="center"/>
                </w:tcPr>
                <w:p w14:paraId="0D5B68E7">
                  <w:pPr>
                    <w:pStyle w:val="72"/>
                    <w:spacing w:line="240" w:lineRule="auto"/>
                    <w:rPr>
                      <w:rFonts w:ascii="Times New Roman" w:hAnsi="Times New Roman"/>
                      <w:color w:val="auto"/>
                      <w:sz w:val="21"/>
                    </w:rPr>
                  </w:pPr>
                  <w:r>
                    <w:rPr>
                      <w:rFonts w:ascii="Times New Roman" w:hAnsi="Times New Roman"/>
                      <w:color w:val="auto"/>
                      <w:sz w:val="21"/>
                    </w:rPr>
                    <w:t>非甲烷总烃</w:t>
                  </w:r>
                </w:p>
              </w:tc>
              <w:tc>
                <w:tcPr>
                  <w:tcW w:w="745" w:type="dxa"/>
                  <w:vAlign w:val="center"/>
                </w:tcPr>
                <w:p w14:paraId="455866D7">
                  <w:pPr>
                    <w:pStyle w:val="72"/>
                    <w:spacing w:line="240" w:lineRule="auto"/>
                    <w:rPr>
                      <w:rFonts w:ascii="Times New Roman" w:hAnsi="Times New Roman"/>
                      <w:color w:val="auto"/>
                      <w:sz w:val="21"/>
                    </w:rPr>
                  </w:pPr>
                  <w:r>
                    <w:rPr>
                      <w:rFonts w:ascii="Times New Roman" w:hAnsi="Times New Roman"/>
                      <w:color w:val="auto"/>
                      <w:sz w:val="21"/>
                    </w:rPr>
                    <w:t>小时平均</w:t>
                  </w:r>
                </w:p>
              </w:tc>
              <w:tc>
                <w:tcPr>
                  <w:tcW w:w="1137" w:type="dxa"/>
                  <w:vAlign w:val="center"/>
                </w:tcPr>
                <w:p w14:paraId="05F771A5">
                  <w:pPr>
                    <w:pStyle w:val="72"/>
                    <w:spacing w:line="240" w:lineRule="auto"/>
                    <w:rPr>
                      <w:rFonts w:ascii="Times New Roman" w:hAnsi="Times New Roman"/>
                      <w:color w:val="auto"/>
                      <w:sz w:val="21"/>
                    </w:rPr>
                  </w:pPr>
                  <w:r>
                    <w:rPr>
                      <w:rFonts w:ascii="Times New Roman" w:hAnsi="Times New Roman"/>
                      <w:color w:val="auto"/>
                      <w:sz w:val="21"/>
                    </w:rPr>
                    <w:t>2.0mg/m</w:t>
                  </w:r>
                  <w:r>
                    <w:rPr>
                      <w:rFonts w:ascii="Times New Roman" w:hAnsi="Times New Roman"/>
                      <w:color w:val="auto"/>
                      <w:sz w:val="21"/>
                      <w:vertAlign w:val="superscript"/>
                    </w:rPr>
                    <w:t>3</w:t>
                  </w:r>
                </w:p>
              </w:tc>
              <w:tc>
                <w:tcPr>
                  <w:tcW w:w="1553" w:type="dxa"/>
                  <w:vAlign w:val="center"/>
                </w:tcPr>
                <w:p w14:paraId="53543181">
                  <w:pPr>
                    <w:pStyle w:val="72"/>
                    <w:spacing w:line="240" w:lineRule="auto"/>
                    <w:rPr>
                      <w:rFonts w:ascii="Times New Roman" w:hAnsi="Times New Roman"/>
                      <w:color w:val="auto"/>
                      <w:sz w:val="21"/>
                    </w:rPr>
                  </w:pPr>
                  <w:r>
                    <w:rPr>
                      <w:rFonts w:ascii="Times New Roman" w:hAnsi="Times New Roman"/>
                      <w:color w:val="auto"/>
                      <w:sz w:val="21"/>
                    </w:rPr>
                    <w:t>0.30~0.55mg/m</w:t>
                  </w:r>
                  <w:r>
                    <w:rPr>
                      <w:rFonts w:ascii="Times New Roman" w:hAnsi="Times New Roman"/>
                      <w:color w:val="auto"/>
                      <w:sz w:val="21"/>
                      <w:vertAlign w:val="superscript"/>
                    </w:rPr>
                    <w:t>3</w:t>
                  </w:r>
                </w:p>
              </w:tc>
              <w:tc>
                <w:tcPr>
                  <w:tcW w:w="991" w:type="dxa"/>
                  <w:vAlign w:val="center"/>
                </w:tcPr>
                <w:p w14:paraId="128EDCB0">
                  <w:pPr>
                    <w:pStyle w:val="72"/>
                    <w:spacing w:line="240" w:lineRule="auto"/>
                    <w:rPr>
                      <w:rFonts w:ascii="Times New Roman" w:hAnsi="Times New Roman"/>
                      <w:color w:val="auto"/>
                      <w:sz w:val="21"/>
                    </w:rPr>
                  </w:pPr>
                  <w:r>
                    <w:rPr>
                      <w:rFonts w:ascii="Times New Roman" w:hAnsi="Times New Roman"/>
                      <w:color w:val="auto"/>
                      <w:sz w:val="21"/>
                    </w:rPr>
                    <w:t>27.5</w:t>
                  </w:r>
                </w:p>
              </w:tc>
              <w:tc>
                <w:tcPr>
                  <w:tcW w:w="850" w:type="dxa"/>
                  <w:vAlign w:val="center"/>
                </w:tcPr>
                <w:p w14:paraId="154534A6">
                  <w:pPr>
                    <w:pStyle w:val="72"/>
                    <w:spacing w:line="240" w:lineRule="auto"/>
                    <w:rPr>
                      <w:rFonts w:ascii="Times New Roman" w:hAnsi="Times New Roman"/>
                      <w:color w:val="auto"/>
                      <w:sz w:val="21"/>
                    </w:rPr>
                  </w:pPr>
                  <w:r>
                    <w:rPr>
                      <w:rFonts w:ascii="Times New Roman" w:hAnsi="Times New Roman"/>
                      <w:color w:val="auto"/>
                      <w:sz w:val="21"/>
                    </w:rPr>
                    <w:t>0</w:t>
                  </w:r>
                </w:p>
              </w:tc>
              <w:tc>
                <w:tcPr>
                  <w:tcW w:w="817" w:type="dxa"/>
                  <w:vAlign w:val="center"/>
                </w:tcPr>
                <w:p w14:paraId="76D46E60">
                  <w:pPr>
                    <w:pStyle w:val="72"/>
                    <w:spacing w:line="240" w:lineRule="auto"/>
                    <w:rPr>
                      <w:rFonts w:ascii="Times New Roman" w:hAnsi="Times New Roman"/>
                      <w:color w:val="auto"/>
                      <w:sz w:val="21"/>
                    </w:rPr>
                  </w:pPr>
                  <w:r>
                    <w:rPr>
                      <w:rFonts w:ascii="Times New Roman" w:hAnsi="Times New Roman"/>
                      <w:color w:val="auto"/>
                      <w:sz w:val="21"/>
                    </w:rPr>
                    <w:t>达标</w:t>
                  </w:r>
                </w:p>
              </w:tc>
            </w:tr>
          </w:tbl>
          <w:p w14:paraId="128B501B">
            <w:pPr>
              <w:adjustRightInd w:val="0"/>
              <w:snapToGrid w:val="0"/>
              <w:spacing w:line="360" w:lineRule="auto"/>
              <w:ind w:firstLine="482" w:firstLineChars="200"/>
              <w:rPr>
                <w:b/>
                <w:bCs/>
                <w:sz w:val="24"/>
                <w:szCs w:val="26"/>
              </w:rPr>
            </w:pPr>
            <w:r>
              <w:rPr>
                <w:rFonts w:hint="eastAsia" w:ascii="宋体" w:hAnsi="宋体" w:cs="宋体"/>
                <w:b/>
                <w:bCs/>
                <w:sz w:val="24"/>
                <w:szCs w:val="26"/>
              </w:rPr>
              <w:t>⑦</w:t>
            </w:r>
            <w:r>
              <w:rPr>
                <w:b/>
                <w:bCs/>
                <w:sz w:val="24"/>
                <w:szCs w:val="26"/>
              </w:rPr>
              <w:t>大气环境质量现状评价：</w:t>
            </w:r>
          </w:p>
          <w:p w14:paraId="3B2A11D4">
            <w:pPr>
              <w:widowControl/>
              <w:spacing w:line="360" w:lineRule="auto"/>
              <w:ind w:firstLine="480" w:firstLineChars="200"/>
              <w:rPr>
                <w:bCs/>
                <w:sz w:val="32"/>
              </w:rPr>
            </w:pPr>
            <w:r>
              <w:rPr>
                <w:sz w:val="24"/>
                <w:szCs w:val="26"/>
              </w:rPr>
              <w:t>由表3-2可知：项目</w:t>
            </w:r>
            <w:r>
              <w:rPr>
                <w:rFonts w:hint="eastAsia"/>
                <w:sz w:val="24"/>
                <w:szCs w:val="26"/>
              </w:rPr>
              <w:t>所在区域</w:t>
            </w:r>
            <w:r>
              <w:rPr>
                <w:snapToGrid w:val="0"/>
                <w:sz w:val="24"/>
                <w:szCs w:val="26"/>
              </w:rPr>
              <w:t>非甲烷总烃</w:t>
            </w:r>
            <w:r>
              <w:rPr>
                <w:sz w:val="24"/>
                <w:szCs w:val="26"/>
              </w:rPr>
              <w:t>小时平均浓度值满足河北省地方标准《环境空气质量 非甲烷总烃限值》</w:t>
            </w:r>
            <w:r>
              <w:rPr>
                <w:sz w:val="24"/>
                <w:szCs w:val="22"/>
              </w:rPr>
              <w:t>（DB13/1577-2012）</w:t>
            </w:r>
            <w:r>
              <w:rPr>
                <w:rFonts w:hint="eastAsia"/>
                <w:sz w:val="24"/>
                <w:szCs w:val="22"/>
              </w:rPr>
              <w:t>二级标准限值</w:t>
            </w:r>
            <w:r>
              <w:rPr>
                <w:sz w:val="24"/>
                <w:szCs w:val="26"/>
              </w:rPr>
              <w:t>。</w:t>
            </w:r>
          </w:p>
          <w:p w14:paraId="6B3651F0">
            <w:pPr>
              <w:adjustRightInd w:val="0"/>
              <w:snapToGrid w:val="0"/>
              <w:spacing w:line="360" w:lineRule="auto"/>
              <w:rPr>
                <w:b/>
                <w:kern w:val="0"/>
                <w:sz w:val="24"/>
              </w:rPr>
            </w:pPr>
            <w:r>
              <w:rPr>
                <w:b/>
                <w:kern w:val="0"/>
                <w:sz w:val="24"/>
              </w:rPr>
              <w:t>2、地表水环境</w:t>
            </w:r>
          </w:p>
          <w:p w14:paraId="17217FF5">
            <w:pPr>
              <w:adjustRightInd w:val="0"/>
              <w:snapToGrid w:val="0"/>
              <w:spacing w:line="360" w:lineRule="auto"/>
              <w:ind w:firstLine="480" w:firstLineChars="200"/>
              <w:rPr>
                <w:sz w:val="24"/>
              </w:rPr>
            </w:pPr>
            <w:r>
              <w:rPr>
                <w:sz w:val="24"/>
              </w:rPr>
              <w:t>本项目废水经</w:t>
            </w:r>
            <w:r>
              <w:rPr>
                <w:rFonts w:hint="eastAsia"/>
                <w:sz w:val="24"/>
              </w:rPr>
              <w:t>厂区污水处理设施</w:t>
            </w:r>
            <w:r>
              <w:rPr>
                <w:sz w:val="24"/>
              </w:rPr>
              <w:t>处理后进入</w:t>
            </w:r>
            <w:r>
              <w:rPr>
                <w:rFonts w:hint="eastAsia"/>
                <w:sz w:val="24"/>
              </w:rPr>
              <w:t>李渡大耍坝污水处理厂</w:t>
            </w:r>
            <w:r>
              <w:rPr>
                <w:sz w:val="24"/>
              </w:rPr>
              <w:t>处理达标后</w:t>
            </w:r>
            <w:r>
              <w:rPr>
                <w:rFonts w:hint="eastAsia"/>
                <w:sz w:val="24"/>
              </w:rPr>
              <w:t>最终</w:t>
            </w:r>
            <w:r>
              <w:rPr>
                <w:sz w:val="24"/>
              </w:rPr>
              <w:t>排入</w:t>
            </w:r>
            <w:r>
              <w:rPr>
                <w:rFonts w:hint="eastAsia"/>
                <w:sz w:val="24"/>
              </w:rPr>
              <w:t>长江，故项目废水最终受纳水体为长江。</w:t>
            </w:r>
            <w:r>
              <w:rPr>
                <w:sz w:val="24"/>
              </w:rPr>
              <w:t>根据《重庆市人民政府批转重庆市地表水环境功能类别调整方案的通知》（渝府发[2012]4号），</w:t>
            </w:r>
            <w:r>
              <w:rPr>
                <w:rFonts w:hint="eastAsia"/>
                <w:sz w:val="24"/>
              </w:rPr>
              <w:t>长江涪陵区“河凤滩~三堆子”段</w:t>
            </w:r>
            <w:r>
              <w:rPr>
                <w:sz w:val="24"/>
              </w:rPr>
              <w:t>属于</w:t>
            </w:r>
            <w:r>
              <w:rPr>
                <w:rFonts w:hint="eastAsia"/>
                <w:sz w:val="24"/>
              </w:rPr>
              <w:t>Ⅲ</w:t>
            </w:r>
            <w:r>
              <w:rPr>
                <w:sz w:val="24"/>
              </w:rPr>
              <w:t>类水域</w:t>
            </w:r>
            <w:r>
              <w:rPr>
                <w:rFonts w:hint="eastAsia"/>
                <w:sz w:val="24"/>
              </w:rPr>
              <w:t>，</w:t>
            </w:r>
            <w:r>
              <w:rPr>
                <w:sz w:val="24"/>
              </w:rPr>
              <w:t>执行《地表水环境质量标准》（GB3838-2002）Ⅲ类水域水质标准。根据涪陵区生态环境局发布的</w:t>
            </w:r>
            <w:r>
              <w:rPr>
                <w:rFonts w:hint="eastAsia"/>
                <w:sz w:val="24"/>
              </w:rPr>
              <w:t>《涪陵区2022年1月地表水水质状况》，2</w:t>
            </w:r>
            <w:r>
              <w:rPr>
                <w:sz w:val="24"/>
              </w:rPr>
              <w:t>022年</w:t>
            </w:r>
            <w:r>
              <w:rPr>
                <w:rFonts w:hint="eastAsia"/>
                <w:sz w:val="24"/>
              </w:rPr>
              <w:t>1月，涪陵区地表水总体水质为优。监测的11个断面中，Ⅰ~Ⅲ类水质断面占100%。因此，项目所在地地表水水质满足</w:t>
            </w:r>
            <w:r>
              <w:rPr>
                <w:sz w:val="24"/>
              </w:rPr>
              <w:t>《地表水环境质量标准》（GB3838-2002）Ⅲ类标准</w:t>
            </w:r>
            <w:r>
              <w:rPr>
                <w:rFonts w:hint="eastAsia"/>
                <w:sz w:val="24"/>
              </w:rPr>
              <w:t>，</w:t>
            </w:r>
            <w:r>
              <w:rPr>
                <w:sz w:val="24"/>
              </w:rPr>
              <w:t>水质良好</w:t>
            </w:r>
            <w:r>
              <w:rPr>
                <w:rFonts w:hint="eastAsia"/>
                <w:sz w:val="24"/>
              </w:rPr>
              <w:t>。</w:t>
            </w:r>
          </w:p>
          <w:p w14:paraId="5D823218">
            <w:pPr>
              <w:adjustRightInd w:val="0"/>
              <w:snapToGrid w:val="0"/>
              <w:spacing w:line="360" w:lineRule="auto"/>
              <w:rPr>
                <w:b/>
                <w:kern w:val="0"/>
                <w:sz w:val="24"/>
              </w:rPr>
            </w:pPr>
            <w:r>
              <w:rPr>
                <w:b/>
                <w:kern w:val="0"/>
                <w:sz w:val="24"/>
              </w:rPr>
              <w:t>3、声环境</w:t>
            </w:r>
          </w:p>
          <w:p w14:paraId="429E9C1B">
            <w:pPr>
              <w:adjustRightInd w:val="0"/>
              <w:snapToGrid w:val="0"/>
              <w:spacing w:line="360" w:lineRule="auto"/>
              <w:ind w:firstLine="720" w:firstLineChars="300"/>
              <w:jc w:val="left"/>
              <w:rPr>
                <w:sz w:val="24"/>
              </w:rPr>
            </w:pPr>
            <w:r>
              <w:rPr>
                <w:sz w:val="24"/>
              </w:rPr>
              <w:t>根据</w:t>
            </w:r>
            <w:r>
              <w:rPr>
                <w:rFonts w:hint="eastAsia"/>
                <w:sz w:val="24"/>
              </w:rPr>
              <w:t>《建设项目环境影响报告表编制技术指南》（污染影响类）（试行），厂界外周围5</w:t>
            </w:r>
            <w:r>
              <w:rPr>
                <w:sz w:val="24"/>
              </w:rPr>
              <w:t>0m范围内不存在声环境保护目标</w:t>
            </w:r>
            <w:r>
              <w:rPr>
                <w:rFonts w:hint="eastAsia"/>
                <w:sz w:val="24"/>
              </w:rPr>
              <w:t>，故本评价不需进行声环境现状达标评价。</w:t>
            </w:r>
          </w:p>
          <w:p w14:paraId="5EA25B97">
            <w:pPr>
              <w:adjustRightInd w:val="0"/>
              <w:snapToGrid w:val="0"/>
              <w:spacing w:line="360" w:lineRule="auto"/>
              <w:jc w:val="left"/>
              <w:rPr>
                <w:rFonts w:ascii="宋体" w:hAnsi="宋体" w:cs="宋体"/>
                <w:b/>
                <w:kern w:val="0"/>
                <w:sz w:val="24"/>
              </w:rPr>
            </w:pPr>
            <w:r>
              <w:rPr>
                <w:b/>
                <w:kern w:val="0"/>
                <w:sz w:val="24"/>
              </w:rPr>
              <w:t>4</w:t>
            </w:r>
            <w:r>
              <w:rPr>
                <w:rFonts w:hint="eastAsia" w:ascii="宋体" w:hAnsi="宋体" w:cs="宋体"/>
                <w:b/>
                <w:kern w:val="0"/>
                <w:sz w:val="24"/>
              </w:rPr>
              <w:t>、地下水环境</w:t>
            </w:r>
          </w:p>
          <w:p w14:paraId="53A838F7">
            <w:pPr>
              <w:spacing w:line="360" w:lineRule="auto"/>
              <w:ind w:firstLine="480" w:firstLineChars="200"/>
              <w:rPr>
                <w:rFonts w:hAnsi="宋体"/>
                <w:kern w:val="0"/>
                <w:sz w:val="24"/>
              </w:rPr>
            </w:pPr>
            <w:r>
              <w:rPr>
                <w:rFonts w:hint="eastAsia" w:hAnsi="宋体"/>
                <w:kern w:val="0"/>
                <w:sz w:val="24"/>
              </w:rPr>
              <w:t>项目位于</w:t>
            </w:r>
            <w:r>
              <w:rPr>
                <w:rFonts w:hint="eastAsia" w:hAnsi="宋体"/>
                <w:sz w:val="24"/>
              </w:rPr>
              <w:t>涪陵工业园区李渡内</w:t>
            </w:r>
            <w:r>
              <w:rPr>
                <w:rFonts w:hint="eastAsia" w:hAnsi="宋体"/>
                <w:kern w:val="0"/>
                <w:sz w:val="24"/>
              </w:rPr>
              <w:t>，为了解项目所在区域地下水环境质量现状，引用重庆开创环境监测有限公司对涪陵综合保税区规划环评项目环境质量现状监测数据，监测时间为</w:t>
            </w:r>
            <w:r>
              <w:rPr>
                <w:rFonts w:hAnsi="宋体"/>
                <w:kern w:val="0"/>
                <w:sz w:val="24"/>
              </w:rPr>
              <w:t>2021</w:t>
            </w:r>
            <w:r>
              <w:rPr>
                <w:rFonts w:hint="eastAsia" w:hAnsi="宋体"/>
                <w:kern w:val="0"/>
                <w:sz w:val="24"/>
              </w:rPr>
              <w:t>年</w:t>
            </w:r>
            <w:r>
              <w:rPr>
                <w:rFonts w:hAnsi="宋体"/>
                <w:kern w:val="0"/>
                <w:sz w:val="24"/>
              </w:rPr>
              <w:t>2</w:t>
            </w:r>
            <w:r>
              <w:rPr>
                <w:rFonts w:hint="eastAsia" w:hAnsi="宋体"/>
                <w:kern w:val="0"/>
                <w:sz w:val="24"/>
              </w:rPr>
              <w:t>月</w:t>
            </w:r>
            <w:r>
              <w:rPr>
                <w:rFonts w:hAnsi="宋体"/>
                <w:kern w:val="0"/>
                <w:sz w:val="24"/>
              </w:rPr>
              <w:t>26</w:t>
            </w:r>
            <w:r>
              <w:rPr>
                <w:rFonts w:hint="eastAsia" w:hAnsi="宋体"/>
                <w:kern w:val="0"/>
                <w:sz w:val="24"/>
              </w:rPr>
              <w:t>日，在三年有效期内，与项目选址处于同一水文地质单元中，引用合理可行。</w:t>
            </w:r>
          </w:p>
          <w:p w14:paraId="31A0E784">
            <w:pPr>
              <w:spacing w:line="360" w:lineRule="auto"/>
              <w:ind w:firstLine="480" w:firstLineChars="200"/>
              <w:rPr>
                <w:kern w:val="0"/>
                <w:sz w:val="24"/>
              </w:rPr>
            </w:pPr>
            <w:r>
              <w:rPr>
                <w:rFonts w:hint="eastAsia"/>
                <w:kern w:val="0"/>
                <w:sz w:val="24"/>
              </w:rPr>
              <w:t>（</w:t>
            </w:r>
            <w:r>
              <w:rPr>
                <w:kern w:val="0"/>
                <w:sz w:val="24"/>
              </w:rPr>
              <w:t>1</w:t>
            </w:r>
            <w:r>
              <w:rPr>
                <w:rFonts w:hint="eastAsia"/>
                <w:kern w:val="0"/>
                <w:sz w:val="24"/>
              </w:rPr>
              <w:t>）监测方案</w:t>
            </w:r>
          </w:p>
          <w:p w14:paraId="5E486774">
            <w:pPr>
              <w:spacing w:line="360" w:lineRule="auto"/>
              <w:ind w:firstLine="480" w:firstLineChars="200"/>
              <w:rPr>
                <w:kern w:val="0"/>
                <w:sz w:val="24"/>
              </w:rPr>
            </w:pPr>
            <w:r>
              <w:rPr>
                <w:rFonts w:hint="eastAsia"/>
                <w:kern w:val="0"/>
                <w:sz w:val="24"/>
              </w:rPr>
              <w:t>监测点位：</w:t>
            </w:r>
            <w:r>
              <w:rPr>
                <w:kern w:val="0"/>
                <w:sz w:val="24"/>
              </w:rPr>
              <w:t>1</w:t>
            </w:r>
            <w:r>
              <w:rPr>
                <w:rFonts w:hint="eastAsia"/>
                <w:kern w:val="0"/>
                <w:sz w:val="24"/>
              </w:rPr>
              <w:t>个监测点，</w:t>
            </w:r>
            <w:r>
              <w:rPr>
                <w:kern w:val="0"/>
                <w:sz w:val="24"/>
              </w:rPr>
              <w:t>D1</w:t>
            </w:r>
            <w:r>
              <w:rPr>
                <w:rFonts w:hint="eastAsia"/>
                <w:kern w:val="0"/>
                <w:sz w:val="24"/>
              </w:rPr>
              <w:t>位于项目东南侧约1</w:t>
            </w:r>
            <w:r>
              <w:rPr>
                <w:kern w:val="0"/>
                <w:sz w:val="24"/>
              </w:rPr>
              <w:t>.3km</w:t>
            </w:r>
            <w:r>
              <w:rPr>
                <w:rFonts w:hint="eastAsia"/>
                <w:kern w:val="0"/>
                <w:sz w:val="24"/>
              </w:rPr>
              <w:t>处。</w:t>
            </w:r>
          </w:p>
          <w:p w14:paraId="4A75C00D">
            <w:pPr>
              <w:spacing w:line="360" w:lineRule="auto"/>
              <w:ind w:firstLine="480" w:firstLineChars="200"/>
              <w:rPr>
                <w:kern w:val="0"/>
                <w:sz w:val="24"/>
              </w:rPr>
            </w:pPr>
            <w:r>
              <w:rPr>
                <w:rFonts w:hint="eastAsia"/>
                <w:kern w:val="0"/>
                <w:sz w:val="24"/>
              </w:rPr>
              <w:t>监测因子：</w:t>
            </w:r>
            <w:r>
              <w:rPr>
                <w:kern w:val="0"/>
                <w:sz w:val="24"/>
              </w:rPr>
              <w:t>pH</w:t>
            </w:r>
            <w:r>
              <w:rPr>
                <w:rFonts w:hint="eastAsia"/>
                <w:kern w:val="0"/>
                <w:sz w:val="24"/>
              </w:rPr>
              <w:t>、氨氨、耗氧量、六价铬、挥发酚、氰化物、总硬度、</w:t>
            </w:r>
            <w:r>
              <w:rPr>
                <w:kern w:val="0"/>
                <w:sz w:val="24"/>
              </w:rPr>
              <w:t>Cl</w:t>
            </w:r>
            <w:r>
              <w:rPr>
                <w:kern w:val="0"/>
                <w:sz w:val="24"/>
                <w:vertAlign w:val="superscript"/>
              </w:rPr>
              <w:t>-</w:t>
            </w:r>
            <w:r>
              <w:rPr>
                <w:rFonts w:hint="eastAsia"/>
                <w:kern w:val="0"/>
                <w:sz w:val="24"/>
              </w:rPr>
              <w:t>、</w:t>
            </w:r>
            <w:r>
              <w:rPr>
                <w:kern w:val="0"/>
                <w:sz w:val="24"/>
              </w:rPr>
              <w:t>SO</w:t>
            </w:r>
            <w:r>
              <w:rPr>
                <w:kern w:val="0"/>
                <w:sz w:val="24"/>
                <w:vertAlign w:val="subscript"/>
              </w:rPr>
              <w:t>4</w:t>
            </w:r>
            <w:r>
              <w:rPr>
                <w:kern w:val="0"/>
                <w:sz w:val="24"/>
                <w:vertAlign w:val="superscript"/>
              </w:rPr>
              <w:t>2-</w:t>
            </w:r>
            <w:r>
              <w:rPr>
                <w:rFonts w:hint="eastAsia"/>
                <w:kern w:val="0"/>
                <w:sz w:val="24"/>
              </w:rPr>
              <w:t>、铁、锰、总大肠菌群、溶解性总固体、砷、汞、铜、锌、阴离子表面活性剂、铅、镉、镍、细菌总数、石油类、氟化物。</w:t>
            </w:r>
          </w:p>
          <w:p w14:paraId="2E70C889">
            <w:pPr>
              <w:spacing w:line="360" w:lineRule="auto"/>
              <w:ind w:firstLine="480" w:firstLineChars="200"/>
              <w:rPr>
                <w:kern w:val="0"/>
                <w:sz w:val="24"/>
              </w:rPr>
            </w:pPr>
            <w:r>
              <w:rPr>
                <w:rFonts w:hint="eastAsia"/>
                <w:kern w:val="0"/>
                <w:sz w:val="24"/>
              </w:rPr>
              <w:t>监测时间及频次：监测时间为</w:t>
            </w:r>
            <w:r>
              <w:rPr>
                <w:rFonts w:hAnsi="宋体"/>
                <w:kern w:val="0"/>
                <w:sz w:val="24"/>
              </w:rPr>
              <w:t>2021</w:t>
            </w:r>
            <w:r>
              <w:rPr>
                <w:rFonts w:hint="eastAsia" w:hAnsi="宋体"/>
                <w:kern w:val="0"/>
                <w:sz w:val="24"/>
              </w:rPr>
              <w:t>年</w:t>
            </w:r>
            <w:r>
              <w:rPr>
                <w:rFonts w:hAnsi="宋体"/>
                <w:kern w:val="0"/>
                <w:sz w:val="24"/>
              </w:rPr>
              <w:t>2</w:t>
            </w:r>
            <w:r>
              <w:rPr>
                <w:rFonts w:hint="eastAsia" w:hAnsi="宋体"/>
                <w:kern w:val="0"/>
                <w:sz w:val="24"/>
              </w:rPr>
              <w:t>月</w:t>
            </w:r>
            <w:r>
              <w:rPr>
                <w:rFonts w:hAnsi="宋体"/>
                <w:kern w:val="0"/>
                <w:sz w:val="24"/>
              </w:rPr>
              <w:t>26</w:t>
            </w:r>
            <w:r>
              <w:rPr>
                <w:rFonts w:hint="eastAsia" w:hAnsi="宋体"/>
                <w:kern w:val="0"/>
                <w:sz w:val="24"/>
              </w:rPr>
              <w:t>日</w:t>
            </w:r>
            <w:r>
              <w:rPr>
                <w:rFonts w:hint="eastAsia"/>
                <w:kern w:val="0"/>
                <w:sz w:val="24"/>
              </w:rPr>
              <w:t>，采样频率</w:t>
            </w:r>
            <w:r>
              <w:rPr>
                <w:kern w:val="0"/>
                <w:sz w:val="24"/>
              </w:rPr>
              <w:t>1</w:t>
            </w:r>
            <w:r>
              <w:rPr>
                <w:rFonts w:hint="eastAsia"/>
                <w:kern w:val="0"/>
                <w:sz w:val="24"/>
              </w:rPr>
              <w:t>天</w:t>
            </w:r>
            <w:r>
              <w:rPr>
                <w:kern w:val="0"/>
                <w:sz w:val="24"/>
              </w:rPr>
              <w:t>1</w:t>
            </w:r>
            <w:r>
              <w:rPr>
                <w:rFonts w:hint="eastAsia"/>
                <w:kern w:val="0"/>
                <w:sz w:val="24"/>
              </w:rPr>
              <w:t>次。</w:t>
            </w:r>
          </w:p>
          <w:p w14:paraId="3209A202">
            <w:pPr>
              <w:spacing w:line="360" w:lineRule="auto"/>
              <w:ind w:firstLine="480" w:firstLineChars="200"/>
              <w:rPr>
                <w:kern w:val="0"/>
                <w:sz w:val="24"/>
              </w:rPr>
            </w:pPr>
            <w:r>
              <w:rPr>
                <w:rFonts w:hint="eastAsia"/>
                <w:kern w:val="0"/>
                <w:sz w:val="24"/>
              </w:rPr>
              <w:t>（</w:t>
            </w:r>
            <w:r>
              <w:rPr>
                <w:kern w:val="0"/>
                <w:sz w:val="24"/>
              </w:rPr>
              <w:t>2</w:t>
            </w:r>
            <w:r>
              <w:rPr>
                <w:rFonts w:hint="eastAsia"/>
                <w:kern w:val="0"/>
                <w:sz w:val="24"/>
              </w:rPr>
              <w:t>）评价标准和评价方法</w:t>
            </w:r>
          </w:p>
          <w:p w14:paraId="423C9C1E">
            <w:pPr>
              <w:spacing w:line="360" w:lineRule="auto"/>
              <w:ind w:firstLine="480" w:firstLineChars="200"/>
              <w:rPr>
                <w:kern w:val="0"/>
                <w:sz w:val="24"/>
              </w:rPr>
            </w:pPr>
            <w:r>
              <w:rPr>
                <w:rFonts w:hint="eastAsia"/>
                <w:kern w:val="0"/>
                <w:sz w:val="24"/>
              </w:rPr>
              <w:t>地下水现状执行《地下水质量标准》（</w:t>
            </w:r>
            <w:r>
              <w:rPr>
                <w:kern w:val="0"/>
                <w:sz w:val="24"/>
              </w:rPr>
              <w:t>GB/T14848-2017</w:t>
            </w:r>
            <w:r>
              <w:rPr>
                <w:rFonts w:hint="eastAsia"/>
                <w:kern w:val="0"/>
                <w:sz w:val="24"/>
              </w:rPr>
              <w:t>）</w:t>
            </w:r>
            <w:r>
              <w:rPr>
                <w:rFonts w:hint="eastAsia" w:ascii="宋体" w:hAnsi="宋体" w:cs="宋体"/>
                <w:bCs/>
                <w:kern w:val="0"/>
                <w:sz w:val="24"/>
              </w:rPr>
              <w:t>Ⅲ</w:t>
            </w:r>
            <w:r>
              <w:rPr>
                <w:rFonts w:hint="eastAsia"/>
                <w:kern w:val="0"/>
                <w:sz w:val="24"/>
              </w:rPr>
              <w:t>类水域标准。</w:t>
            </w:r>
          </w:p>
          <w:p w14:paraId="3B9E5D62">
            <w:pPr>
              <w:spacing w:line="360" w:lineRule="auto"/>
              <w:ind w:firstLine="480" w:firstLineChars="200"/>
              <w:rPr>
                <w:kern w:val="0"/>
                <w:sz w:val="24"/>
              </w:rPr>
            </w:pPr>
            <w:r>
              <w:rPr>
                <w:rFonts w:hint="eastAsia"/>
                <w:kern w:val="0"/>
                <w:sz w:val="24"/>
              </w:rPr>
              <w:t>采用水质指数法进行现状评价，其计算公式如下：</w:t>
            </w:r>
          </w:p>
          <w:p w14:paraId="54430292">
            <w:pPr>
              <w:snapToGrid w:val="0"/>
              <w:spacing w:line="360" w:lineRule="auto"/>
              <w:ind w:firstLine="200"/>
              <w:jc w:val="center"/>
              <w:rPr>
                <w:bCs/>
                <w:sz w:val="24"/>
              </w:rPr>
            </w:pPr>
            <w:r>
              <w:rPr>
                <w:bCs/>
                <w:sz w:val="24"/>
              </w:rPr>
              <w:t>P</w:t>
            </w:r>
            <w:r>
              <w:rPr>
                <w:bCs/>
                <w:sz w:val="24"/>
                <w:vertAlign w:val="subscript"/>
              </w:rPr>
              <w:t>i</w:t>
            </w:r>
            <w:r>
              <w:rPr>
                <w:bCs/>
                <w:sz w:val="24"/>
              </w:rPr>
              <w:t>=C</w:t>
            </w:r>
            <w:r>
              <w:rPr>
                <w:bCs/>
                <w:sz w:val="24"/>
                <w:vertAlign w:val="subscript"/>
              </w:rPr>
              <w:t>i</w:t>
            </w:r>
            <w:r>
              <w:rPr>
                <w:bCs/>
                <w:sz w:val="24"/>
              </w:rPr>
              <w:t>/C</w:t>
            </w:r>
            <w:r>
              <w:rPr>
                <w:bCs/>
                <w:sz w:val="24"/>
                <w:vertAlign w:val="subscript"/>
              </w:rPr>
              <w:t>si</w:t>
            </w:r>
          </w:p>
          <w:p w14:paraId="00D93F3B">
            <w:pPr>
              <w:spacing w:line="360" w:lineRule="auto"/>
              <w:ind w:firstLine="480" w:firstLineChars="200"/>
              <w:rPr>
                <w:kern w:val="0"/>
                <w:sz w:val="24"/>
              </w:rPr>
            </w:pPr>
            <w:r>
              <w:rPr>
                <w:rFonts w:hint="eastAsia"/>
                <w:kern w:val="0"/>
                <w:sz w:val="24"/>
              </w:rPr>
              <w:t>式中：</w:t>
            </w:r>
            <w:r>
              <w:rPr>
                <w:kern w:val="0"/>
                <w:sz w:val="24"/>
              </w:rPr>
              <w:t>P</w:t>
            </w:r>
            <w:r>
              <w:rPr>
                <w:kern w:val="0"/>
                <w:sz w:val="24"/>
                <w:vertAlign w:val="subscript"/>
              </w:rPr>
              <w:t>i</w:t>
            </w:r>
            <w:r>
              <w:rPr>
                <w:rFonts w:hint="eastAsia"/>
                <w:kern w:val="0"/>
                <w:sz w:val="24"/>
              </w:rPr>
              <w:t>—第</w:t>
            </w:r>
            <w:r>
              <w:rPr>
                <w:kern w:val="0"/>
                <w:sz w:val="24"/>
              </w:rPr>
              <w:t>i</w:t>
            </w:r>
            <w:r>
              <w:rPr>
                <w:rFonts w:hint="eastAsia"/>
                <w:kern w:val="0"/>
                <w:sz w:val="24"/>
              </w:rPr>
              <w:t>个水质单因子的标准指数；无量纲；</w:t>
            </w:r>
          </w:p>
          <w:p w14:paraId="2B5EF7A0">
            <w:pPr>
              <w:spacing w:line="360" w:lineRule="auto"/>
              <w:ind w:firstLine="1200" w:firstLineChars="500"/>
              <w:rPr>
                <w:kern w:val="0"/>
                <w:sz w:val="24"/>
              </w:rPr>
            </w:pPr>
            <w:r>
              <w:rPr>
                <w:kern w:val="0"/>
                <w:sz w:val="24"/>
              </w:rPr>
              <w:t>C</w:t>
            </w:r>
            <w:r>
              <w:rPr>
                <w:kern w:val="0"/>
                <w:sz w:val="24"/>
                <w:vertAlign w:val="subscript"/>
              </w:rPr>
              <w:t>i</w:t>
            </w:r>
            <w:r>
              <w:rPr>
                <w:rFonts w:hint="eastAsia"/>
                <w:kern w:val="0"/>
                <w:sz w:val="24"/>
              </w:rPr>
              <w:t>—第</w:t>
            </w:r>
            <w:r>
              <w:rPr>
                <w:kern w:val="0"/>
                <w:sz w:val="24"/>
              </w:rPr>
              <w:t>i</w:t>
            </w:r>
            <w:r>
              <w:rPr>
                <w:rFonts w:hint="eastAsia"/>
                <w:kern w:val="0"/>
                <w:sz w:val="24"/>
              </w:rPr>
              <w:t>个水质因子的监测浓度值，（</w:t>
            </w:r>
            <w:r>
              <w:rPr>
                <w:kern w:val="0"/>
                <w:sz w:val="24"/>
              </w:rPr>
              <w:t>mg/L</w:t>
            </w:r>
            <w:r>
              <w:rPr>
                <w:rFonts w:hint="eastAsia"/>
                <w:kern w:val="0"/>
                <w:sz w:val="24"/>
              </w:rPr>
              <w:t>）；</w:t>
            </w:r>
          </w:p>
          <w:p w14:paraId="05A1A1CC">
            <w:pPr>
              <w:spacing w:line="360" w:lineRule="auto"/>
              <w:ind w:firstLine="1200" w:firstLineChars="500"/>
              <w:rPr>
                <w:kern w:val="0"/>
                <w:sz w:val="24"/>
              </w:rPr>
            </w:pPr>
            <w:r>
              <w:rPr>
                <w:kern w:val="0"/>
                <w:sz w:val="24"/>
              </w:rPr>
              <w:t>C</w:t>
            </w:r>
            <w:r>
              <w:rPr>
                <w:kern w:val="0"/>
                <w:sz w:val="24"/>
                <w:vertAlign w:val="subscript"/>
              </w:rPr>
              <w:t>si</w:t>
            </w:r>
            <w:r>
              <w:rPr>
                <w:rFonts w:hint="eastAsia"/>
                <w:kern w:val="0"/>
                <w:sz w:val="24"/>
              </w:rPr>
              <w:t>—第</w:t>
            </w:r>
            <w:r>
              <w:rPr>
                <w:kern w:val="0"/>
                <w:sz w:val="24"/>
              </w:rPr>
              <w:t>i</w:t>
            </w:r>
            <w:r>
              <w:rPr>
                <w:rFonts w:hint="eastAsia"/>
                <w:kern w:val="0"/>
                <w:sz w:val="24"/>
              </w:rPr>
              <w:t>个水质因子的标准浓度值，（</w:t>
            </w:r>
            <w:r>
              <w:rPr>
                <w:kern w:val="0"/>
                <w:sz w:val="24"/>
              </w:rPr>
              <w:t>mg/L</w:t>
            </w:r>
            <w:r>
              <w:rPr>
                <w:rFonts w:hint="eastAsia"/>
                <w:kern w:val="0"/>
                <w:sz w:val="24"/>
              </w:rPr>
              <w:t>）。</w:t>
            </w:r>
          </w:p>
          <w:p w14:paraId="20B96161">
            <w:pPr>
              <w:spacing w:line="360" w:lineRule="auto"/>
              <w:ind w:firstLine="480" w:firstLineChars="200"/>
              <w:rPr>
                <w:kern w:val="0"/>
                <w:sz w:val="24"/>
              </w:rPr>
            </w:pPr>
            <w:r>
              <w:rPr>
                <w:kern w:val="0"/>
                <w:sz w:val="24"/>
              </w:rPr>
              <w:t>pH</w:t>
            </w:r>
            <w:r>
              <w:rPr>
                <w:rFonts w:hint="eastAsia"/>
                <w:kern w:val="0"/>
                <w:sz w:val="24"/>
              </w:rPr>
              <w:t>的标准指数用下式计算：</w:t>
            </w:r>
          </w:p>
          <w:p w14:paraId="3FEC6FAC">
            <w:pPr>
              <w:spacing w:line="360" w:lineRule="auto"/>
              <w:ind w:firstLine="480" w:firstLineChars="200"/>
              <w:jc w:val="center"/>
              <w:rPr>
                <w:kern w:val="0"/>
                <w:sz w:val="24"/>
              </w:rPr>
            </w:pPr>
            <w:r>
              <w:rPr>
                <w:kern w:val="0"/>
                <w:position w:val="-28"/>
                <w:sz w:val="24"/>
              </w:rPr>
              <w:object>
                <v:shape id="_x0000_i1029" o:spt="75" type="#_x0000_t75" style="height:35.45pt;width:150.3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p>
          <w:p w14:paraId="7441419D">
            <w:pPr>
              <w:spacing w:line="360" w:lineRule="auto"/>
              <w:ind w:firstLine="480" w:firstLineChars="200"/>
              <w:rPr>
                <w:kern w:val="0"/>
                <w:sz w:val="24"/>
              </w:rPr>
            </w:pPr>
            <w:r>
              <w:rPr>
                <w:rFonts w:hint="eastAsia"/>
                <w:kern w:val="0"/>
                <w:sz w:val="24"/>
              </w:rPr>
              <w:t>式中：</w:t>
            </w:r>
            <w:r>
              <w:rPr>
                <w:i/>
                <w:kern w:val="0"/>
                <w:sz w:val="24"/>
              </w:rPr>
              <w:t>S</w:t>
            </w:r>
            <w:r>
              <w:rPr>
                <w:i/>
                <w:kern w:val="0"/>
                <w:sz w:val="24"/>
                <w:vertAlign w:val="subscript"/>
              </w:rPr>
              <w:t>pH</w:t>
            </w:r>
            <w:r>
              <w:rPr>
                <w:kern w:val="0"/>
                <w:sz w:val="24"/>
                <w:vertAlign w:val="subscript"/>
              </w:rPr>
              <w:t>,j</w:t>
            </w:r>
            <w:r>
              <w:rPr>
                <w:kern w:val="0"/>
                <w:sz w:val="24"/>
              </w:rPr>
              <w:t>——pH</w:t>
            </w:r>
            <w:r>
              <w:rPr>
                <w:rFonts w:hint="eastAsia"/>
                <w:kern w:val="0"/>
                <w:sz w:val="24"/>
              </w:rPr>
              <w:t>在第</w:t>
            </w:r>
            <w:r>
              <w:rPr>
                <w:kern w:val="0"/>
                <w:sz w:val="24"/>
              </w:rPr>
              <w:t>j</w:t>
            </w:r>
            <w:r>
              <w:rPr>
                <w:rFonts w:hint="eastAsia"/>
                <w:kern w:val="0"/>
                <w:sz w:val="24"/>
              </w:rPr>
              <w:t>点的标准指数；</w:t>
            </w:r>
          </w:p>
          <w:p w14:paraId="681C810F">
            <w:pPr>
              <w:spacing w:line="360" w:lineRule="auto"/>
              <w:ind w:left="630" w:leftChars="300" w:firstLine="480" w:firstLineChars="200"/>
              <w:rPr>
                <w:kern w:val="0"/>
                <w:sz w:val="24"/>
              </w:rPr>
            </w:pPr>
            <w:r>
              <w:rPr>
                <w:i/>
                <w:kern w:val="0"/>
                <w:sz w:val="24"/>
              </w:rPr>
              <w:t>p</w:t>
            </w:r>
            <w:r>
              <w:rPr>
                <w:kern w:val="0"/>
                <w:sz w:val="24"/>
              </w:rPr>
              <w:t>H</w:t>
            </w:r>
            <w:r>
              <w:rPr>
                <w:kern w:val="0"/>
                <w:sz w:val="24"/>
                <w:vertAlign w:val="subscript"/>
              </w:rPr>
              <w:t>su</w:t>
            </w:r>
            <w:r>
              <w:rPr>
                <w:kern w:val="0"/>
                <w:sz w:val="24"/>
              </w:rPr>
              <w:t>——</w:t>
            </w:r>
            <w:r>
              <w:rPr>
                <w:rFonts w:hint="eastAsia"/>
                <w:kern w:val="0"/>
                <w:sz w:val="24"/>
              </w:rPr>
              <w:t>水质标准中</w:t>
            </w:r>
            <w:r>
              <w:rPr>
                <w:kern w:val="0"/>
                <w:sz w:val="24"/>
              </w:rPr>
              <w:t>pH</w:t>
            </w:r>
            <w:r>
              <w:rPr>
                <w:rFonts w:hint="eastAsia"/>
                <w:kern w:val="0"/>
                <w:sz w:val="24"/>
              </w:rPr>
              <w:t>值的下限；</w:t>
            </w:r>
          </w:p>
          <w:p w14:paraId="33F6C895">
            <w:pPr>
              <w:spacing w:line="360" w:lineRule="auto"/>
              <w:ind w:left="630" w:leftChars="300" w:firstLine="480" w:firstLineChars="200"/>
              <w:rPr>
                <w:kern w:val="0"/>
                <w:sz w:val="24"/>
              </w:rPr>
            </w:pPr>
            <w:r>
              <w:rPr>
                <w:i/>
                <w:kern w:val="0"/>
                <w:sz w:val="24"/>
              </w:rPr>
              <w:t>p</w:t>
            </w:r>
            <w:r>
              <w:rPr>
                <w:kern w:val="0"/>
                <w:sz w:val="24"/>
              </w:rPr>
              <w:t>H</w:t>
            </w:r>
            <w:r>
              <w:rPr>
                <w:kern w:val="0"/>
                <w:sz w:val="24"/>
                <w:vertAlign w:val="subscript"/>
              </w:rPr>
              <w:t>j</w:t>
            </w:r>
            <w:r>
              <w:rPr>
                <w:kern w:val="0"/>
                <w:sz w:val="24"/>
              </w:rPr>
              <w:t>——</w:t>
            </w:r>
            <w:r>
              <w:rPr>
                <w:rFonts w:hint="eastAsia"/>
                <w:kern w:val="0"/>
                <w:sz w:val="24"/>
              </w:rPr>
              <w:t>第</w:t>
            </w:r>
            <w:r>
              <w:rPr>
                <w:kern w:val="0"/>
                <w:sz w:val="24"/>
              </w:rPr>
              <w:t>j</w:t>
            </w:r>
            <w:r>
              <w:rPr>
                <w:rFonts w:hint="eastAsia"/>
                <w:kern w:val="0"/>
                <w:sz w:val="24"/>
              </w:rPr>
              <w:t>点</w:t>
            </w:r>
            <w:r>
              <w:rPr>
                <w:kern w:val="0"/>
                <w:sz w:val="24"/>
              </w:rPr>
              <w:t>pH</w:t>
            </w:r>
            <w:r>
              <w:rPr>
                <w:rFonts w:hint="eastAsia"/>
                <w:kern w:val="0"/>
                <w:sz w:val="24"/>
              </w:rPr>
              <w:t>值的平均值。</w:t>
            </w:r>
          </w:p>
          <w:p w14:paraId="3438AD97">
            <w:pPr>
              <w:spacing w:line="360" w:lineRule="auto"/>
              <w:ind w:firstLine="480" w:firstLineChars="200"/>
              <w:rPr>
                <w:kern w:val="0"/>
                <w:sz w:val="24"/>
              </w:rPr>
            </w:pPr>
            <w:r>
              <w:rPr>
                <w:rFonts w:hint="eastAsia"/>
                <w:kern w:val="0"/>
                <w:sz w:val="24"/>
              </w:rPr>
              <w:t>（</w:t>
            </w:r>
            <w:r>
              <w:rPr>
                <w:kern w:val="0"/>
                <w:sz w:val="24"/>
              </w:rPr>
              <w:t>3</w:t>
            </w:r>
            <w:r>
              <w:rPr>
                <w:rFonts w:hint="eastAsia"/>
                <w:kern w:val="0"/>
                <w:sz w:val="24"/>
              </w:rPr>
              <w:t>）监测结果统计分析</w:t>
            </w:r>
          </w:p>
          <w:p w14:paraId="3567796D">
            <w:pPr>
              <w:spacing w:line="360" w:lineRule="auto"/>
              <w:ind w:firstLine="480" w:firstLineChars="200"/>
              <w:rPr>
                <w:kern w:val="0"/>
                <w:sz w:val="24"/>
              </w:rPr>
            </w:pPr>
            <w:r>
              <w:rPr>
                <w:rFonts w:hint="eastAsia"/>
                <w:kern w:val="0"/>
                <w:sz w:val="24"/>
              </w:rPr>
              <w:t>地下水水质监测数据统计结果见下表</w:t>
            </w:r>
            <w:r>
              <w:rPr>
                <w:kern w:val="0"/>
                <w:sz w:val="24"/>
              </w:rPr>
              <w:t>3-3</w:t>
            </w:r>
            <w:r>
              <w:rPr>
                <w:rFonts w:hint="eastAsia"/>
                <w:kern w:val="0"/>
                <w:sz w:val="24"/>
              </w:rPr>
              <w:t>所示：</w:t>
            </w:r>
          </w:p>
          <w:p w14:paraId="7F0D1DA6">
            <w:pPr>
              <w:spacing w:line="360" w:lineRule="auto"/>
              <w:ind w:firstLine="480" w:firstLineChars="200"/>
              <w:jc w:val="center"/>
              <w:rPr>
                <w:kern w:val="0"/>
                <w:sz w:val="24"/>
              </w:rPr>
            </w:pPr>
            <w:r>
              <w:rPr>
                <w:rFonts w:hint="eastAsia"/>
                <w:kern w:val="0"/>
                <w:sz w:val="24"/>
              </w:rPr>
              <w:t>表</w:t>
            </w:r>
            <w:r>
              <w:rPr>
                <w:kern w:val="0"/>
                <w:sz w:val="24"/>
              </w:rPr>
              <w:t xml:space="preserve">3-3  </w:t>
            </w:r>
            <w:r>
              <w:rPr>
                <w:rFonts w:hint="eastAsia"/>
                <w:kern w:val="0"/>
                <w:sz w:val="24"/>
              </w:rPr>
              <w:t>地下水现状监测及评价结果</w:t>
            </w:r>
            <w:r>
              <w:rPr>
                <w:kern w:val="0"/>
                <w:sz w:val="24"/>
              </w:rPr>
              <w:t xml:space="preserve">   </w:t>
            </w:r>
            <w:r>
              <w:rPr>
                <w:rFonts w:hint="eastAsia"/>
                <w:kern w:val="0"/>
                <w:sz w:val="24"/>
              </w:rPr>
              <w:t>单位：</w:t>
            </w:r>
            <w:r>
              <w:rPr>
                <w:kern w:val="0"/>
                <w:sz w:val="24"/>
              </w:rPr>
              <w:t>mg/L</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0"/>
              <w:gridCol w:w="1966"/>
              <w:gridCol w:w="1424"/>
              <w:gridCol w:w="1504"/>
            </w:tblGrid>
            <w:tr w14:paraId="5710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927" w:type="pct"/>
                  <w:vMerge w:val="restart"/>
                  <w:tcBorders>
                    <w:top w:val="single" w:color="000000" w:sz="4" w:space="0"/>
                    <w:left w:val="single" w:color="000000" w:sz="4" w:space="0"/>
                    <w:bottom w:val="single" w:color="000000" w:sz="4" w:space="0"/>
                    <w:right w:val="single" w:color="000000" w:sz="4" w:space="0"/>
                  </w:tcBorders>
                  <w:vAlign w:val="center"/>
                </w:tcPr>
                <w:p w14:paraId="5A6025BA">
                  <w:pPr>
                    <w:adjustRightInd w:val="0"/>
                    <w:snapToGrid w:val="0"/>
                    <w:jc w:val="center"/>
                  </w:pPr>
                  <w:r>
                    <w:rPr>
                      <w:rFonts w:hint="eastAsia" w:hAnsi="宋体"/>
                    </w:rPr>
                    <w:t>点位</w:t>
                  </w:r>
                </w:p>
                <w:p w14:paraId="4F51924C">
                  <w:pPr>
                    <w:adjustRightInd w:val="0"/>
                    <w:snapToGrid w:val="0"/>
                    <w:jc w:val="center"/>
                  </w:pPr>
                  <w:r>
                    <w:rPr>
                      <w:rFonts w:hint="eastAsia" w:hAnsi="宋体"/>
                    </w:rPr>
                    <w:t>监测因子</w:t>
                  </w:r>
                </w:p>
              </w:tc>
              <w:tc>
                <w:tcPr>
                  <w:tcW w:w="2128" w:type="pct"/>
                  <w:gridSpan w:val="2"/>
                  <w:tcBorders>
                    <w:top w:val="single" w:color="000000" w:sz="4" w:space="0"/>
                    <w:left w:val="single" w:color="000000" w:sz="4" w:space="0"/>
                    <w:bottom w:val="single" w:color="auto" w:sz="4" w:space="0"/>
                    <w:right w:val="single" w:color="000000" w:sz="4" w:space="0"/>
                  </w:tcBorders>
                  <w:vAlign w:val="center"/>
                </w:tcPr>
                <w:p w14:paraId="1613FE89">
                  <w:pPr>
                    <w:adjustRightInd w:val="0"/>
                    <w:snapToGrid w:val="0"/>
                    <w:jc w:val="center"/>
                  </w:pPr>
                  <w:r>
                    <w:t>D1</w:t>
                  </w:r>
                </w:p>
              </w:tc>
              <w:tc>
                <w:tcPr>
                  <w:tcW w:w="944" w:type="pct"/>
                  <w:vMerge w:val="restart"/>
                  <w:tcBorders>
                    <w:top w:val="single" w:color="000000" w:sz="4" w:space="0"/>
                    <w:left w:val="single" w:color="000000" w:sz="4" w:space="0"/>
                    <w:bottom w:val="single" w:color="000000" w:sz="4" w:space="0"/>
                    <w:right w:val="single" w:color="000000" w:sz="4" w:space="0"/>
                  </w:tcBorders>
                  <w:vAlign w:val="center"/>
                </w:tcPr>
                <w:p w14:paraId="226487CF">
                  <w:pPr>
                    <w:adjustRightInd w:val="0"/>
                    <w:snapToGrid w:val="0"/>
                    <w:jc w:val="center"/>
                  </w:pPr>
                  <w:r>
                    <w:rPr>
                      <w:rFonts w:hint="eastAsia" w:hAnsi="宋体"/>
                    </w:rPr>
                    <w:t>标准值</w:t>
                  </w:r>
                </w:p>
              </w:tc>
            </w:tr>
            <w:tr w14:paraId="7F620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927" w:type="pct"/>
                  <w:vMerge w:val="continue"/>
                  <w:tcBorders>
                    <w:top w:val="single" w:color="000000" w:sz="4" w:space="0"/>
                    <w:left w:val="single" w:color="000000" w:sz="4" w:space="0"/>
                    <w:bottom w:val="single" w:color="000000" w:sz="4" w:space="0"/>
                    <w:right w:val="single" w:color="000000" w:sz="4" w:space="0"/>
                  </w:tcBorders>
                  <w:vAlign w:val="center"/>
                </w:tcPr>
                <w:p w14:paraId="1270F022">
                  <w:pPr>
                    <w:widowControl/>
                    <w:jc w:val="left"/>
                    <w:rPr>
                      <w:szCs w:val="21"/>
                    </w:rPr>
                  </w:pPr>
                </w:p>
              </w:tc>
              <w:tc>
                <w:tcPr>
                  <w:tcW w:w="1234" w:type="pct"/>
                  <w:tcBorders>
                    <w:top w:val="single" w:color="auto" w:sz="4" w:space="0"/>
                    <w:left w:val="single" w:color="000000" w:sz="4" w:space="0"/>
                    <w:bottom w:val="single" w:color="000000" w:sz="4" w:space="0"/>
                    <w:right w:val="single" w:color="auto" w:sz="4" w:space="0"/>
                  </w:tcBorders>
                  <w:vAlign w:val="center"/>
                </w:tcPr>
                <w:p w14:paraId="4BB5DDE1">
                  <w:pPr>
                    <w:adjustRightInd w:val="0"/>
                    <w:snapToGrid w:val="0"/>
                    <w:jc w:val="center"/>
                  </w:pPr>
                  <w:r>
                    <w:rPr>
                      <w:rFonts w:hint="eastAsia" w:hAnsi="宋体"/>
                    </w:rPr>
                    <w:t>监测值</w:t>
                  </w:r>
                </w:p>
              </w:tc>
              <w:tc>
                <w:tcPr>
                  <w:tcW w:w="894" w:type="pct"/>
                  <w:tcBorders>
                    <w:top w:val="single" w:color="auto" w:sz="4" w:space="0"/>
                    <w:left w:val="single" w:color="auto" w:sz="4" w:space="0"/>
                    <w:bottom w:val="single" w:color="000000" w:sz="4" w:space="0"/>
                    <w:right w:val="single" w:color="000000" w:sz="4" w:space="0"/>
                  </w:tcBorders>
                  <w:vAlign w:val="center"/>
                </w:tcPr>
                <w:p w14:paraId="36C54FF4">
                  <w:pPr>
                    <w:adjustRightInd w:val="0"/>
                    <w:snapToGrid w:val="0"/>
                    <w:jc w:val="center"/>
                  </w:pPr>
                  <w:r>
                    <w:t>Sij</w:t>
                  </w:r>
                  <w:r>
                    <w:rPr>
                      <w:rFonts w:hint="eastAsia" w:hAnsi="宋体"/>
                    </w:rPr>
                    <w:t>值</w:t>
                  </w:r>
                </w:p>
              </w:tc>
              <w:tc>
                <w:tcPr>
                  <w:tcW w:w="944" w:type="pct"/>
                  <w:vMerge w:val="continue"/>
                  <w:tcBorders>
                    <w:top w:val="single" w:color="000000" w:sz="4" w:space="0"/>
                    <w:left w:val="single" w:color="000000" w:sz="4" w:space="0"/>
                    <w:bottom w:val="single" w:color="000000" w:sz="4" w:space="0"/>
                    <w:right w:val="single" w:color="000000" w:sz="4" w:space="0"/>
                  </w:tcBorders>
                  <w:vAlign w:val="center"/>
                </w:tcPr>
                <w:p w14:paraId="6B7CA710">
                  <w:pPr>
                    <w:widowControl/>
                    <w:jc w:val="left"/>
                    <w:rPr>
                      <w:szCs w:val="21"/>
                    </w:rPr>
                  </w:pPr>
                </w:p>
              </w:tc>
            </w:tr>
            <w:tr w14:paraId="757B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6235CB36">
                  <w:pPr>
                    <w:adjustRightInd w:val="0"/>
                    <w:snapToGrid w:val="0"/>
                    <w:jc w:val="center"/>
                  </w:pPr>
                  <w:r>
                    <w:t>pH</w:t>
                  </w:r>
                  <w:r>
                    <w:rPr>
                      <w:rFonts w:hint="eastAsia" w:hAnsi="宋体"/>
                    </w:rPr>
                    <w:t>（无量纲）</w:t>
                  </w:r>
                </w:p>
              </w:tc>
              <w:tc>
                <w:tcPr>
                  <w:tcW w:w="1234" w:type="pct"/>
                  <w:tcBorders>
                    <w:top w:val="single" w:color="000000" w:sz="4" w:space="0"/>
                    <w:left w:val="single" w:color="000000" w:sz="4" w:space="0"/>
                    <w:bottom w:val="single" w:color="000000" w:sz="4" w:space="0"/>
                    <w:right w:val="single" w:color="auto" w:sz="4" w:space="0"/>
                  </w:tcBorders>
                  <w:vAlign w:val="center"/>
                </w:tcPr>
                <w:p w14:paraId="6DB9DB19">
                  <w:pPr>
                    <w:adjustRightInd w:val="0"/>
                    <w:snapToGrid w:val="0"/>
                    <w:jc w:val="center"/>
                  </w:pPr>
                  <w:r>
                    <w:rPr>
                      <w:rFonts w:hint="eastAsia"/>
                    </w:rPr>
                    <w:t>6</w:t>
                  </w:r>
                  <w:r>
                    <w:t>.94</w:t>
                  </w:r>
                </w:p>
              </w:tc>
              <w:tc>
                <w:tcPr>
                  <w:tcW w:w="894" w:type="pct"/>
                  <w:tcBorders>
                    <w:top w:val="single" w:color="000000" w:sz="4" w:space="0"/>
                    <w:left w:val="single" w:color="auto" w:sz="4" w:space="0"/>
                    <w:bottom w:val="single" w:color="000000" w:sz="4" w:space="0"/>
                    <w:right w:val="single" w:color="000000" w:sz="4" w:space="0"/>
                  </w:tcBorders>
                  <w:vAlign w:val="center"/>
                </w:tcPr>
                <w:p w14:paraId="7664B87F">
                  <w:pPr>
                    <w:widowControl/>
                    <w:jc w:val="center"/>
                    <w:rPr>
                      <w:rFonts w:eastAsia="等线"/>
                      <w:kern w:val="0"/>
                      <w:szCs w:val="21"/>
                    </w:rPr>
                  </w:pPr>
                  <w:r>
                    <w:rPr>
                      <w:rFonts w:eastAsia="等线"/>
                      <w:szCs w:val="21"/>
                    </w:rPr>
                    <w:t xml:space="preserve">0.12 </w:t>
                  </w:r>
                </w:p>
              </w:tc>
              <w:tc>
                <w:tcPr>
                  <w:tcW w:w="944" w:type="pct"/>
                  <w:tcBorders>
                    <w:top w:val="single" w:color="000000" w:sz="4" w:space="0"/>
                    <w:left w:val="single" w:color="auto" w:sz="4" w:space="0"/>
                    <w:bottom w:val="single" w:color="000000" w:sz="4" w:space="0"/>
                    <w:right w:val="single" w:color="000000" w:sz="4" w:space="0"/>
                  </w:tcBorders>
                  <w:vAlign w:val="center"/>
                </w:tcPr>
                <w:p w14:paraId="3FAC59D9">
                  <w:pPr>
                    <w:tabs>
                      <w:tab w:val="left" w:pos="5745"/>
                    </w:tabs>
                    <w:adjustRightInd w:val="0"/>
                    <w:snapToGrid w:val="0"/>
                    <w:jc w:val="center"/>
                  </w:pPr>
                  <w:r>
                    <w:t>6.5~8.5</w:t>
                  </w:r>
                </w:p>
              </w:tc>
            </w:tr>
            <w:tr w14:paraId="62BF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27" w:type="pct"/>
                  <w:tcBorders>
                    <w:top w:val="single" w:color="000000" w:sz="4" w:space="0"/>
                    <w:left w:val="single" w:color="000000" w:sz="4" w:space="0"/>
                    <w:bottom w:val="single" w:color="000000" w:sz="4" w:space="0"/>
                    <w:right w:val="single" w:color="000000" w:sz="4" w:space="0"/>
                  </w:tcBorders>
                  <w:vAlign w:val="center"/>
                </w:tcPr>
                <w:p w14:paraId="72E81A26">
                  <w:pPr>
                    <w:adjustRightInd w:val="0"/>
                    <w:snapToGrid w:val="0"/>
                    <w:jc w:val="center"/>
                  </w:pPr>
                  <w:r>
                    <w:rPr>
                      <w:rFonts w:hint="eastAsia" w:hAnsi="宋体"/>
                    </w:rPr>
                    <w:t>氨氮</w:t>
                  </w:r>
                </w:p>
              </w:tc>
              <w:tc>
                <w:tcPr>
                  <w:tcW w:w="1234" w:type="pct"/>
                  <w:tcBorders>
                    <w:top w:val="single" w:color="000000" w:sz="4" w:space="0"/>
                    <w:left w:val="single" w:color="000000" w:sz="4" w:space="0"/>
                    <w:bottom w:val="single" w:color="000000" w:sz="4" w:space="0"/>
                    <w:right w:val="single" w:color="auto" w:sz="4" w:space="0"/>
                  </w:tcBorders>
                  <w:vAlign w:val="center"/>
                </w:tcPr>
                <w:p w14:paraId="335C8684">
                  <w:pPr>
                    <w:adjustRightInd w:val="0"/>
                    <w:snapToGrid w:val="0"/>
                    <w:jc w:val="center"/>
                  </w:pPr>
                  <w:r>
                    <w:rPr>
                      <w:rFonts w:hint="eastAsia"/>
                    </w:rPr>
                    <w:t>0</w:t>
                  </w:r>
                  <w:r>
                    <w:t>.032</w:t>
                  </w:r>
                </w:p>
              </w:tc>
              <w:tc>
                <w:tcPr>
                  <w:tcW w:w="894" w:type="pct"/>
                  <w:tcBorders>
                    <w:top w:val="single" w:color="000000" w:sz="4" w:space="0"/>
                    <w:left w:val="single" w:color="auto" w:sz="4" w:space="0"/>
                    <w:bottom w:val="single" w:color="000000" w:sz="4" w:space="0"/>
                    <w:right w:val="single" w:color="000000" w:sz="4" w:space="0"/>
                  </w:tcBorders>
                  <w:vAlign w:val="center"/>
                </w:tcPr>
                <w:p w14:paraId="4D1DA3FC">
                  <w:pPr>
                    <w:jc w:val="center"/>
                    <w:rPr>
                      <w:rFonts w:eastAsia="等线"/>
                      <w:szCs w:val="21"/>
                    </w:rPr>
                  </w:pPr>
                  <w:r>
                    <w:rPr>
                      <w:rFonts w:eastAsia="等线"/>
                      <w:szCs w:val="21"/>
                    </w:rPr>
                    <w:t xml:space="preserve">0.06 </w:t>
                  </w:r>
                </w:p>
              </w:tc>
              <w:tc>
                <w:tcPr>
                  <w:tcW w:w="944" w:type="pct"/>
                  <w:tcBorders>
                    <w:top w:val="single" w:color="000000" w:sz="4" w:space="0"/>
                    <w:left w:val="single" w:color="auto" w:sz="4" w:space="0"/>
                    <w:bottom w:val="single" w:color="000000" w:sz="4" w:space="0"/>
                    <w:right w:val="single" w:color="000000" w:sz="4" w:space="0"/>
                  </w:tcBorders>
                  <w:vAlign w:val="center"/>
                </w:tcPr>
                <w:p w14:paraId="169F154A">
                  <w:pPr>
                    <w:adjustRightInd w:val="0"/>
                    <w:snapToGrid w:val="0"/>
                    <w:jc w:val="center"/>
                  </w:pPr>
                  <w:r>
                    <w:t>≤0.5</w:t>
                  </w:r>
                </w:p>
              </w:tc>
            </w:tr>
            <w:tr w14:paraId="2E2C4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612273B6">
                  <w:pPr>
                    <w:adjustRightInd w:val="0"/>
                    <w:snapToGrid w:val="0"/>
                    <w:jc w:val="center"/>
                    <w:rPr>
                      <w:rFonts w:hAnsi="宋体"/>
                    </w:rPr>
                  </w:pPr>
                  <w:r>
                    <w:rPr>
                      <w:rFonts w:hint="eastAsia" w:hAnsi="宋体"/>
                    </w:rPr>
                    <w:t>耗氧量</w:t>
                  </w:r>
                </w:p>
              </w:tc>
              <w:tc>
                <w:tcPr>
                  <w:tcW w:w="1234" w:type="pct"/>
                  <w:tcBorders>
                    <w:top w:val="single" w:color="000000" w:sz="4" w:space="0"/>
                    <w:left w:val="single" w:color="000000" w:sz="4" w:space="0"/>
                    <w:bottom w:val="single" w:color="000000" w:sz="4" w:space="0"/>
                    <w:right w:val="single" w:color="auto" w:sz="4" w:space="0"/>
                  </w:tcBorders>
                  <w:vAlign w:val="center"/>
                </w:tcPr>
                <w:p w14:paraId="166D4F8C">
                  <w:pPr>
                    <w:adjustRightInd w:val="0"/>
                    <w:snapToGrid w:val="0"/>
                    <w:jc w:val="center"/>
                  </w:pPr>
                  <w:r>
                    <w:rPr>
                      <w:rFonts w:hint="eastAsia"/>
                    </w:rPr>
                    <w:t>1</w:t>
                  </w:r>
                  <w:r>
                    <w:t>.9</w:t>
                  </w:r>
                </w:p>
              </w:tc>
              <w:tc>
                <w:tcPr>
                  <w:tcW w:w="894" w:type="pct"/>
                  <w:tcBorders>
                    <w:top w:val="single" w:color="000000" w:sz="4" w:space="0"/>
                    <w:left w:val="single" w:color="auto" w:sz="4" w:space="0"/>
                    <w:bottom w:val="single" w:color="000000" w:sz="4" w:space="0"/>
                    <w:right w:val="single" w:color="000000" w:sz="4" w:space="0"/>
                  </w:tcBorders>
                  <w:vAlign w:val="center"/>
                </w:tcPr>
                <w:p w14:paraId="0A4CFEAC">
                  <w:pPr>
                    <w:jc w:val="center"/>
                    <w:rPr>
                      <w:rFonts w:eastAsia="等线"/>
                      <w:szCs w:val="21"/>
                    </w:rPr>
                  </w:pPr>
                  <w:r>
                    <w:rPr>
                      <w:rFonts w:eastAsia="等线"/>
                      <w:szCs w:val="21"/>
                    </w:rPr>
                    <w:t xml:space="preserve">0.63 </w:t>
                  </w:r>
                </w:p>
              </w:tc>
              <w:tc>
                <w:tcPr>
                  <w:tcW w:w="944" w:type="pct"/>
                  <w:tcBorders>
                    <w:top w:val="single" w:color="000000" w:sz="4" w:space="0"/>
                    <w:left w:val="single" w:color="auto" w:sz="4" w:space="0"/>
                    <w:bottom w:val="single" w:color="000000" w:sz="4" w:space="0"/>
                    <w:right w:val="single" w:color="000000" w:sz="4" w:space="0"/>
                  </w:tcBorders>
                  <w:vAlign w:val="center"/>
                </w:tcPr>
                <w:p w14:paraId="3A0BA538">
                  <w:pPr>
                    <w:adjustRightInd w:val="0"/>
                    <w:snapToGrid w:val="0"/>
                    <w:jc w:val="center"/>
                  </w:pPr>
                  <w:r>
                    <w:t>≤3.0</w:t>
                  </w:r>
                </w:p>
              </w:tc>
            </w:tr>
            <w:tr w14:paraId="28C8F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65A880D1">
                  <w:pPr>
                    <w:adjustRightInd w:val="0"/>
                    <w:snapToGrid w:val="0"/>
                    <w:jc w:val="center"/>
                  </w:pPr>
                  <w:r>
                    <w:rPr>
                      <w:rFonts w:hint="eastAsia" w:hAnsi="宋体"/>
                    </w:rPr>
                    <w:t>六价铬</w:t>
                  </w:r>
                </w:p>
              </w:tc>
              <w:tc>
                <w:tcPr>
                  <w:tcW w:w="1234" w:type="pct"/>
                  <w:tcBorders>
                    <w:top w:val="single" w:color="000000" w:sz="4" w:space="0"/>
                    <w:left w:val="single" w:color="000000" w:sz="4" w:space="0"/>
                    <w:bottom w:val="single" w:color="000000" w:sz="4" w:space="0"/>
                    <w:right w:val="single" w:color="auto" w:sz="4" w:space="0"/>
                  </w:tcBorders>
                  <w:vAlign w:val="center"/>
                </w:tcPr>
                <w:p w14:paraId="4AC307AA">
                  <w:pPr>
                    <w:adjustRightInd w:val="0"/>
                    <w:snapToGrid w:val="0"/>
                    <w:jc w:val="center"/>
                  </w:pPr>
                  <w:r>
                    <w:rPr>
                      <w:rFonts w:hint="eastAsia"/>
                    </w:rPr>
                    <w:t>0</w:t>
                  </w:r>
                  <w:r>
                    <w:t>.004L</w:t>
                  </w:r>
                </w:p>
              </w:tc>
              <w:tc>
                <w:tcPr>
                  <w:tcW w:w="894" w:type="pct"/>
                  <w:tcBorders>
                    <w:top w:val="single" w:color="000000" w:sz="4" w:space="0"/>
                    <w:left w:val="single" w:color="auto" w:sz="4" w:space="0"/>
                    <w:bottom w:val="single" w:color="000000" w:sz="4" w:space="0"/>
                    <w:right w:val="single" w:color="000000" w:sz="4" w:space="0"/>
                  </w:tcBorders>
                  <w:vAlign w:val="center"/>
                </w:tcPr>
                <w:p w14:paraId="297FF272">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7FAAA4D0">
                  <w:pPr>
                    <w:adjustRightInd w:val="0"/>
                    <w:snapToGrid w:val="0"/>
                    <w:jc w:val="center"/>
                  </w:pPr>
                  <w:r>
                    <w:t>≤0.05</w:t>
                  </w:r>
                </w:p>
              </w:tc>
            </w:tr>
            <w:tr w14:paraId="2FA4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25F9C6A8">
                  <w:pPr>
                    <w:adjustRightInd w:val="0"/>
                    <w:snapToGrid w:val="0"/>
                    <w:jc w:val="center"/>
                  </w:pPr>
                  <w:r>
                    <w:rPr>
                      <w:rFonts w:hint="eastAsia" w:hAnsi="宋体"/>
                    </w:rPr>
                    <w:t>挥发酚</w:t>
                  </w:r>
                </w:p>
              </w:tc>
              <w:tc>
                <w:tcPr>
                  <w:tcW w:w="1234" w:type="pct"/>
                  <w:tcBorders>
                    <w:top w:val="single" w:color="000000" w:sz="4" w:space="0"/>
                    <w:left w:val="single" w:color="000000" w:sz="4" w:space="0"/>
                    <w:bottom w:val="single" w:color="000000" w:sz="4" w:space="0"/>
                    <w:right w:val="single" w:color="auto" w:sz="4" w:space="0"/>
                  </w:tcBorders>
                  <w:vAlign w:val="center"/>
                </w:tcPr>
                <w:p w14:paraId="6796D719">
                  <w:pPr>
                    <w:adjustRightInd w:val="0"/>
                    <w:snapToGrid w:val="0"/>
                    <w:jc w:val="center"/>
                  </w:pPr>
                  <w:r>
                    <w:rPr>
                      <w:rFonts w:hint="eastAsia"/>
                    </w:rPr>
                    <w:t>0</w:t>
                  </w:r>
                  <w:r>
                    <w:t>.0004</w:t>
                  </w:r>
                </w:p>
              </w:tc>
              <w:tc>
                <w:tcPr>
                  <w:tcW w:w="894" w:type="pct"/>
                  <w:tcBorders>
                    <w:top w:val="single" w:color="000000" w:sz="4" w:space="0"/>
                    <w:left w:val="single" w:color="auto" w:sz="4" w:space="0"/>
                    <w:bottom w:val="single" w:color="000000" w:sz="4" w:space="0"/>
                    <w:right w:val="single" w:color="000000" w:sz="4" w:space="0"/>
                  </w:tcBorders>
                  <w:vAlign w:val="center"/>
                </w:tcPr>
                <w:p w14:paraId="7F5C0629">
                  <w:pPr>
                    <w:jc w:val="center"/>
                    <w:rPr>
                      <w:rFonts w:eastAsia="等线"/>
                      <w:szCs w:val="21"/>
                    </w:rPr>
                  </w:pPr>
                  <w:r>
                    <w:rPr>
                      <w:rFonts w:eastAsia="等线"/>
                      <w:szCs w:val="21"/>
                    </w:rPr>
                    <w:t xml:space="preserve">0.20 </w:t>
                  </w:r>
                </w:p>
              </w:tc>
              <w:tc>
                <w:tcPr>
                  <w:tcW w:w="944" w:type="pct"/>
                  <w:tcBorders>
                    <w:top w:val="single" w:color="000000" w:sz="4" w:space="0"/>
                    <w:left w:val="single" w:color="auto" w:sz="4" w:space="0"/>
                    <w:bottom w:val="single" w:color="000000" w:sz="4" w:space="0"/>
                    <w:right w:val="single" w:color="000000" w:sz="4" w:space="0"/>
                  </w:tcBorders>
                  <w:vAlign w:val="center"/>
                </w:tcPr>
                <w:p w14:paraId="5907680C">
                  <w:pPr>
                    <w:adjustRightInd w:val="0"/>
                    <w:snapToGrid w:val="0"/>
                    <w:jc w:val="center"/>
                  </w:pPr>
                  <w:r>
                    <w:t>≤0.002</w:t>
                  </w:r>
                </w:p>
              </w:tc>
            </w:tr>
            <w:tr w14:paraId="2A17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29C42F49">
                  <w:pPr>
                    <w:adjustRightInd w:val="0"/>
                    <w:snapToGrid w:val="0"/>
                    <w:jc w:val="center"/>
                  </w:pPr>
                  <w:r>
                    <w:rPr>
                      <w:rFonts w:hint="eastAsia" w:hAnsi="宋体"/>
                    </w:rPr>
                    <w:t>氰化物</w:t>
                  </w:r>
                </w:p>
              </w:tc>
              <w:tc>
                <w:tcPr>
                  <w:tcW w:w="1234" w:type="pct"/>
                  <w:tcBorders>
                    <w:top w:val="single" w:color="000000" w:sz="4" w:space="0"/>
                    <w:left w:val="single" w:color="000000" w:sz="4" w:space="0"/>
                    <w:bottom w:val="single" w:color="000000" w:sz="4" w:space="0"/>
                    <w:right w:val="single" w:color="auto" w:sz="4" w:space="0"/>
                  </w:tcBorders>
                  <w:vAlign w:val="center"/>
                </w:tcPr>
                <w:p w14:paraId="58AA378F">
                  <w:pPr>
                    <w:adjustRightInd w:val="0"/>
                    <w:snapToGrid w:val="0"/>
                    <w:jc w:val="center"/>
                  </w:pPr>
                  <w:r>
                    <w:rPr>
                      <w:rFonts w:hint="eastAsia"/>
                    </w:rPr>
                    <w:t>0</w:t>
                  </w:r>
                  <w:r>
                    <w:t>.002L</w:t>
                  </w:r>
                </w:p>
              </w:tc>
              <w:tc>
                <w:tcPr>
                  <w:tcW w:w="894" w:type="pct"/>
                  <w:tcBorders>
                    <w:top w:val="single" w:color="000000" w:sz="4" w:space="0"/>
                    <w:left w:val="single" w:color="auto" w:sz="4" w:space="0"/>
                    <w:bottom w:val="single" w:color="000000" w:sz="4" w:space="0"/>
                    <w:right w:val="single" w:color="000000" w:sz="4" w:space="0"/>
                  </w:tcBorders>
                  <w:vAlign w:val="center"/>
                </w:tcPr>
                <w:p w14:paraId="61F5BE90">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254111AE">
                  <w:pPr>
                    <w:adjustRightInd w:val="0"/>
                    <w:snapToGrid w:val="0"/>
                    <w:jc w:val="center"/>
                  </w:pPr>
                  <w:r>
                    <w:t>≤0.05</w:t>
                  </w:r>
                </w:p>
              </w:tc>
            </w:tr>
            <w:tr w14:paraId="7DF97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4E129305">
                  <w:pPr>
                    <w:adjustRightInd w:val="0"/>
                    <w:snapToGrid w:val="0"/>
                    <w:jc w:val="center"/>
                  </w:pPr>
                  <w:r>
                    <w:rPr>
                      <w:rFonts w:hint="eastAsia" w:hAnsi="宋体"/>
                    </w:rPr>
                    <w:t>总硬度</w:t>
                  </w:r>
                </w:p>
              </w:tc>
              <w:tc>
                <w:tcPr>
                  <w:tcW w:w="1234" w:type="pct"/>
                  <w:tcBorders>
                    <w:top w:val="single" w:color="000000" w:sz="4" w:space="0"/>
                    <w:left w:val="single" w:color="000000" w:sz="4" w:space="0"/>
                    <w:bottom w:val="single" w:color="000000" w:sz="4" w:space="0"/>
                    <w:right w:val="single" w:color="auto" w:sz="4" w:space="0"/>
                  </w:tcBorders>
                  <w:vAlign w:val="center"/>
                </w:tcPr>
                <w:p w14:paraId="16277CA7">
                  <w:pPr>
                    <w:adjustRightInd w:val="0"/>
                    <w:snapToGrid w:val="0"/>
                    <w:jc w:val="center"/>
                  </w:pPr>
                  <w:r>
                    <w:rPr>
                      <w:rFonts w:hint="eastAsia"/>
                    </w:rPr>
                    <w:t>1</w:t>
                  </w:r>
                  <w:r>
                    <w:t>95</w:t>
                  </w:r>
                </w:p>
              </w:tc>
              <w:tc>
                <w:tcPr>
                  <w:tcW w:w="894" w:type="pct"/>
                  <w:tcBorders>
                    <w:top w:val="single" w:color="000000" w:sz="4" w:space="0"/>
                    <w:left w:val="single" w:color="auto" w:sz="4" w:space="0"/>
                    <w:bottom w:val="single" w:color="000000" w:sz="4" w:space="0"/>
                    <w:right w:val="single" w:color="000000" w:sz="4" w:space="0"/>
                  </w:tcBorders>
                  <w:vAlign w:val="center"/>
                </w:tcPr>
                <w:p w14:paraId="09C74C7A">
                  <w:pPr>
                    <w:jc w:val="center"/>
                    <w:rPr>
                      <w:rFonts w:eastAsia="等线"/>
                      <w:szCs w:val="21"/>
                    </w:rPr>
                  </w:pPr>
                  <w:r>
                    <w:rPr>
                      <w:rFonts w:eastAsia="等线"/>
                      <w:szCs w:val="21"/>
                    </w:rPr>
                    <w:t xml:space="preserve">0.43 </w:t>
                  </w:r>
                </w:p>
              </w:tc>
              <w:tc>
                <w:tcPr>
                  <w:tcW w:w="944" w:type="pct"/>
                  <w:tcBorders>
                    <w:top w:val="single" w:color="000000" w:sz="4" w:space="0"/>
                    <w:left w:val="single" w:color="auto" w:sz="4" w:space="0"/>
                    <w:bottom w:val="single" w:color="000000" w:sz="4" w:space="0"/>
                    <w:right w:val="single" w:color="000000" w:sz="4" w:space="0"/>
                  </w:tcBorders>
                  <w:vAlign w:val="center"/>
                </w:tcPr>
                <w:p w14:paraId="454CB060">
                  <w:pPr>
                    <w:adjustRightInd w:val="0"/>
                    <w:snapToGrid w:val="0"/>
                    <w:jc w:val="center"/>
                  </w:pPr>
                  <w:r>
                    <w:t>≤450</w:t>
                  </w:r>
                </w:p>
              </w:tc>
            </w:tr>
            <w:tr w14:paraId="35619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7E1AC9BB">
                  <w:pPr>
                    <w:adjustRightInd w:val="0"/>
                    <w:snapToGrid w:val="0"/>
                    <w:jc w:val="center"/>
                  </w:pPr>
                  <w:r>
                    <w:rPr>
                      <w:kern w:val="0"/>
                    </w:rPr>
                    <w:t>Cl</w:t>
                  </w:r>
                  <w:r>
                    <w:rPr>
                      <w:kern w:val="0"/>
                      <w:vertAlign w:val="superscript"/>
                    </w:rPr>
                    <w:t>-</w:t>
                  </w:r>
                </w:p>
              </w:tc>
              <w:tc>
                <w:tcPr>
                  <w:tcW w:w="1234" w:type="pct"/>
                  <w:tcBorders>
                    <w:top w:val="single" w:color="000000" w:sz="4" w:space="0"/>
                    <w:left w:val="single" w:color="000000" w:sz="4" w:space="0"/>
                    <w:bottom w:val="single" w:color="000000" w:sz="4" w:space="0"/>
                    <w:right w:val="single" w:color="auto" w:sz="4" w:space="0"/>
                  </w:tcBorders>
                  <w:vAlign w:val="center"/>
                </w:tcPr>
                <w:p w14:paraId="4BA239E4">
                  <w:pPr>
                    <w:adjustRightInd w:val="0"/>
                    <w:snapToGrid w:val="0"/>
                    <w:jc w:val="center"/>
                  </w:pPr>
                  <w:r>
                    <w:rPr>
                      <w:rFonts w:hint="eastAsia"/>
                    </w:rPr>
                    <w:t>2</w:t>
                  </w:r>
                  <w:r>
                    <w:t>4.6</w:t>
                  </w:r>
                </w:p>
              </w:tc>
              <w:tc>
                <w:tcPr>
                  <w:tcW w:w="894" w:type="pct"/>
                  <w:tcBorders>
                    <w:top w:val="single" w:color="000000" w:sz="4" w:space="0"/>
                    <w:left w:val="single" w:color="auto" w:sz="4" w:space="0"/>
                    <w:bottom w:val="single" w:color="000000" w:sz="4" w:space="0"/>
                    <w:right w:val="single" w:color="000000" w:sz="4" w:space="0"/>
                  </w:tcBorders>
                  <w:vAlign w:val="center"/>
                </w:tcPr>
                <w:p w14:paraId="3CFBFD6E">
                  <w:pPr>
                    <w:jc w:val="center"/>
                    <w:rPr>
                      <w:rFonts w:eastAsia="等线"/>
                      <w:szCs w:val="21"/>
                    </w:rPr>
                  </w:pPr>
                  <w:r>
                    <w:rPr>
                      <w:rFonts w:eastAsia="等线"/>
                      <w:szCs w:val="21"/>
                    </w:rPr>
                    <w:t xml:space="preserve">0.10 </w:t>
                  </w:r>
                </w:p>
              </w:tc>
              <w:tc>
                <w:tcPr>
                  <w:tcW w:w="944" w:type="pct"/>
                  <w:tcBorders>
                    <w:top w:val="single" w:color="000000" w:sz="4" w:space="0"/>
                    <w:left w:val="single" w:color="auto" w:sz="4" w:space="0"/>
                    <w:bottom w:val="single" w:color="000000" w:sz="4" w:space="0"/>
                    <w:right w:val="single" w:color="000000" w:sz="4" w:space="0"/>
                  </w:tcBorders>
                  <w:vAlign w:val="center"/>
                </w:tcPr>
                <w:p w14:paraId="416DEE8F">
                  <w:pPr>
                    <w:adjustRightInd w:val="0"/>
                    <w:snapToGrid w:val="0"/>
                    <w:jc w:val="center"/>
                  </w:pPr>
                  <w:r>
                    <w:t>≤250</w:t>
                  </w:r>
                </w:p>
              </w:tc>
            </w:tr>
            <w:tr w14:paraId="2D4C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19FF8DC9">
                  <w:pPr>
                    <w:adjustRightInd w:val="0"/>
                    <w:snapToGrid w:val="0"/>
                    <w:jc w:val="center"/>
                  </w:pPr>
                  <w:r>
                    <w:rPr>
                      <w:kern w:val="0"/>
                    </w:rPr>
                    <w:t>SO</w:t>
                  </w:r>
                  <w:r>
                    <w:rPr>
                      <w:kern w:val="0"/>
                      <w:vertAlign w:val="subscript"/>
                    </w:rPr>
                    <w:t>4</w:t>
                  </w:r>
                  <w:r>
                    <w:rPr>
                      <w:kern w:val="0"/>
                      <w:vertAlign w:val="superscript"/>
                    </w:rPr>
                    <w:t>2-</w:t>
                  </w:r>
                </w:p>
              </w:tc>
              <w:tc>
                <w:tcPr>
                  <w:tcW w:w="1234" w:type="pct"/>
                  <w:tcBorders>
                    <w:top w:val="single" w:color="000000" w:sz="4" w:space="0"/>
                    <w:left w:val="single" w:color="000000" w:sz="4" w:space="0"/>
                    <w:bottom w:val="single" w:color="000000" w:sz="4" w:space="0"/>
                    <w:right w:val="single" w:color="auto" w:sz="4" w:space="0"/>
                  </w:tcBorders>
                  <w:vAlign w:val="center"/>
                </w:tcPr>
                <w:p w14:paraId="56FD59A1">
                  <w:pPr>
                    <w:adjustRightInd w:val="0"/>
                    <w:snapToGrid w:val="0"/>
                    <w:jc w:val="center"/>
                  </w:pPr>
                  <w:r>
                    <w:rPr>
                      <w:rFonts w:hint="eastAsia"/>
                    </w:rPr>
                    <w:t>4</w:t>
                  </w:r>
                  <w:r>
                    <w:t>0.6</w:t>
                  </w:r>
                </w:p>
              </w:tc>
              <w:tc>
                <w:tcPr>
                  <w:tcW w:w="894" w:type="pct"/>
                  <w:tcBorders>
                    <w:top w:val="single" w:color="000000" w:sz="4" w:space="0"/>
                    <w:left w:val="single" w:color="auto" w:sz="4" w:space="0"/>
                    <w:bottom w:val="single" w:color="000000" w:sz="4" w:space="0"/>
                    <w:right w:val="single" w:color="000000" w:sz="4" w:space="0"/>
                  </w:tcBorders>
                  <w:vAlign w:val="center"/>
                </w:tcPr>
                <w:p w14:paraId="6AE093D0">
                  <w:pPr>
                    <w:jc w:val="center"/>
                    <w:rPr>
                      <w:rFonts w:eastAsia="等线"/>
                      <w:szCs w:val="21"/>
                    </w:rPr>
                  </w:pPr>
                  <w:r>
                    <w:rPr>
                      <w:rFonts w:eastAsia="等线"/>
                      <w:szCs w:val="21"/>
                    </w:rPr>
                    <w:t xml:space="preserve">0.16 </w:t>
                  </w:r>
                </w:p>
              </w:tc>
              <w:tc>
                <w:tcPr>
                  <w:tcW w:w="944" w:type="pct"/>
                  <w:tcBorders>
                    <w:top w:val="single" w:color="000000" w:sz="4" w:space="0"/>
                    <w:left w:val="single" w:color="auto" w:sz="4" w:space="0"/>
                    <w:bottom w:val="single" w:color="000000" w:sz="4" w:space="0"/>
                    <w:right w:val="single" w:color="000000" w:sz="4" w:space="0"/>
                  </w:tcBorders>
                  <w:vAlign w:val="center"/>
                </w:tcPr>
                <w:p w14:paraId="72F62A6B">
                  <w:pPr>
                    <w:adjustRightInd w:val="0"/>
                    <w:snapToGrid w:val="0"/>
                    <w:jc w:val="center"/>
                  </w:pPr>
                  <w:r>
                    <w:t>≤250</w:t>
                  </w:r>
                </w:p>
              </w:tc>
            </w:tr>
            <w:tr w14:paraId="5777A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211E2F31">
                  <w:pPr>
                    <w:adjustRightInd w:val="0"/>
                    <w:snapToGrid w:val="0"/>
                    <w:jc w:val="center"/>
                  </w:pPr>
                  <w:r>
                    <w:rPr>
                      <w:rFonts w:hint="eastAsia"/>
                      <w:kern w:val="0"/>
                    </w:rPr>
                    <w:t>铁</w:t>
                  </w:r>
                </w:p>
              </w:tc>
              <w:tc>
                <w:tcPr>
                  <w:tcW w:w="1234" w:type="pct"/>
                  <w:tcBorders>
                    <w:top w:val="single" w:color="000000" w:sz="4" w:space="0"/>
                    <w:left w:val="single" w:color="000000" w:sz="4" w:space="0"/>
                    <w:bottom w:val="single" w:color="000000" w:sz="4" w:space="0"/>
                    <w:right w:val="single" w:color="auto" w:sz="4" w:space="0"/>
                  </w:tcBorders>
                  <w:vAlign w:val="center"/>
                </w:tcPr>
                <w:p w14:paraId="6919CB24">
                  <w:pPr>
                    <w:adjustRightInd w:val="0"/>
                    <w:snapToGrid w:val="0"/>
                    <w:jc w:val="center"/>
                  </w:pPr>
                  <w:r>
                    <w:rPr>
                      <w:rFonts w:hint="eastAsia"/>
                    </w:rPr>
                    <w:t>0</w:t>
                  </w:r>
                  <w:r>
                    <w:t>.03L</w:t>
                  </w:r>
                </w:p>
              </w:tc>
              <w:tc>
                <w:tcPr>
                  <w:tcW w:w="894" w:type="pct"/>
                  <w:tcBorders>
                    <w:top w:val="single" w:color="000000" w:sz="4" w:space="0"/>
                    <w:left w:val="single" w:color="auto" w:sz="4" w:space="0"/>
                    <w:bottom w:val="single" w:color="000000" w:sz="4" w:space="0"/>
                    <w:right w:val="single" w:color="000000" w:sz="4" w:space="0"/>
                  </w:tcBorders>
                  <w:vAlign w:val="center"/>
                </w:tcPr>
                <w:p w14:paraId="5EA449D0">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534817B4">
                  <w:pPr>
                    <w:adjustRightInd w:val="0"/>
                    <w:snapToGrid w:val="0"/>
                    <w:jc w:val="center"/>
                  </w:pPr>
                  <w:r>
                    <w:t>≤0.3</w:t>
                  </w:r>
                </w:p>
              </w:tc>
            </w:tr>
            <w:tr w14:paraId="05DF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046257B6">
                  <w:pPr>
                    <w:adjustRightInd w:val="0"/>
                    <w:snapToGrid w:val="0"/>
                    <w:jc w:val="center"/>
                  </w:pPr>
                  <w:r>
                    <w:rPr>
                      <w:rFonts w:hint="eastAsia"/>
                      <w:kern w:val="0"/>
                    </w:rPr>
                    <w:t>锰</w:t>
                  </w:r>
                </w:p>
              </w:tc>
              <w:tc>
                <w:tcPr>
                  <w:tcW w:w="1234" w:type="pct"/>
                  <w:tcBorders>
                    <w:top w:val="single" w:color="000000" w:sz="4" w:space="0"/>
                    <w:left w:val="single" w:color="000000" w:sz="4" w:space="0"/>
                    <w:bottom w:val="single" w:color="000000" w:sz="4" w:space="0"/>
                    <w:right w:val="single" w:color="auto" w:sz="4" w:space="0"/>
                  </w:tcBorders>
                  <w:vAlign w:val="center"/>
                </w:tcPr>
                <w:p w14:paraId="258DE195">
                  <w:pPr>
                    <w:adjustRightInd w:val="0"/>
                    <w:snapToGrid w:val="0"/>
                    <w:jc w:val="center"/>
                  </w:pPr>
                  <w:r>
                    <w:rPr>
                      <w:rFonts w:hint="eastAsia"/>
                    </w:rPr>
                    <w:t>0</w:t>
                  </w:r>
                  <w:r>
                    <w:t>.01L</w:t>
                  </w:r>
                </w:p>
              </w:tc>
              <w:tc>
                <w:tcPr>
                  <w:tcW w:w="894" w:type="pct"/>
                  <w:tcBorders>
                    <w:top w:val="single" w:color="000000" w:sz="4" w:space="0"/>
                    <w:left w:val="single" w:color="auto" w:sz="4" w:space="0"/>
                    <w:bottom w:val="single" w:color="000000" w:sz="4" w:space="0"/>
                    <w:right w:val="single" w:color="000000" w:sz="4" w:space="0"/>
                  </w:tcBorders>
                  <w:vAlign w:val="center"/>
                </w:tcPr>
                <w:p w14:paraId="28D4420D">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632446CD">
                  <w:pPr>
                    <w:adjustRightInd w:val="0"/>
                    <w:snapToGrid w:val="0"/>
                    <w:jc w:val="center"/>
                  </w:pPr>
                  <w:r>
                    <w:t>≤0.10</w:t>
                  </w:r>
                </w:p>
              </w:tc>
            </w:tr>
            <w:tr w14:paraId="4EBD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04E98E8E">
                  <w:pPr>
                    <w:adjustRightInd w:val="0"/>
                    <w:snapToGrid w:val="0"/>
                    <w:jc w:val="center"/>
                  </w:pPr>
                  <w:r>
                    <w:rPr>
                      <w:rFonts w:hint="eastAsia"/>
                      <w:kern w:val="0"/>
                    </w:rPr>
                    <w:t>总大肠菌群</w:t>
                  </w:r>
                </w:p>
              </w:tc>
              <w:tc>
                <w:tcPr>
                  <w:tcW w:w="1234" w:type="pct"/>
                  <w:tcBorders>
                    <w:top w:val="single" w:color="000000" w:sz="4" w:space="0"/>
                    <w:left w:val="single" w:color="000000" w:sz="4" w:space="0"/>
                    <w:bottom w:val="single" w:color="000000" w:sz="4" w:space="0"/>
                    <w:right w:val="single" w:color="auto" w:sz="4" w:space="0"/>
                  </w:tcBorders>
                  <w:vAlign w:val="center"/>
                </w:tcPr>
                <w:p w14:paraId="027055F9">
                  <w:pPr>
                    <w:adjustRightInd w:val="0"/>
                    <w:snapToGrid w:val="0"/>
                    <w:jc w:val="center"/>
                  </w:pPr>
                  <w:r>
                    <w:t>未检出</w:t>
                  </w:r>
                </w:p>
              </w:tc>
              <w:tc>
                <w:tcPr>
                  <w:tcW w:w="894" w:type="pct"/>
                  <w:tcBorders>
                    <w:top w:val="single" w:color="000000" w:sz="4" w:space="0"/>
                    <w:left w:val="single" w:color="auto" w:sz="4" w:space="0"/>
                    <w:bottom w:val="single" w:color="000000" w:sz="4" w:space="0"/>
                    <w:right w:val="single" w:color="000000" w:sz="4" w:space="0"/>
                  </w:tcBorders>
                  <w:vAlign w:val="center"/>
                </w:tcPr>
                <w:p w14:paraId="4916E0E4">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6B1A1CE9">
                  <w:pPr>
                    <w:adjustRightInd w:val="0"/>
                    <w:snapToGrid w:val="0"/>
                    <w:jc w:val="center"/>
                  </w:pPr>
                  <w:r>
                    <w:t>≤3.0</w:t>
                  </w:r>
                </w:p>
              </w:tc>
            </w:tr>
            <w:tr w14:paraId="18A3A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657D8202">
                  <w:pPr>
                    <w:adjustRightInd w:val="0"/>
                    <w:snapToGrid w:val="0"/>
                    <w:jc w:val="center"/>
                  </w:pPr>
                  <w:r>
                    <w:rPr>
                      <w:rFonts w:hint="eastAsia"/>
                      <w:kern w:val="0"/>
                    </w:rPr>
                    <w:t>溶解性总固体</w:t>
                  </w:r>
                </w:p>
              </w:tc>
              <w:tc>
                <w:tcPr>
                  <w:tcW w:w="1234" w:type="pct"/>
                  <w:tcBorders>
                    <w:top w:val="single" w:color="000000" w:sz="4" w:space="0"/>
                    <w:left w:val="single" w:color="000000" w:sz="4" w:space="0"/>
                    <w:bottom w:val="single" w:color="000000" w:sz="4" w:space="0"/>
                    <w:right w:val="single" w:color="auto" w:sz="4" w:space="0"/>
                  </w:tcBorders>
                  <w:vAlign w:val="center"/>
                </w:tcPr>
                <w:p w14:paraId="38304AE7">
                  <w:pPr>
                    <w:adjustRightInd w:val="0"/>
                    <w:snapToGrid w:val="0"/>
                    <w:jc w:val="center"/>
                  </w:pPr>
                  <w:r>
                    <w:rPr>
                      <w:rFonts w:hint="eastAsia"/>
                    </w:rPr>
                    <w:t>3</w:t>
                  </w:r>
                  <w:r>
                    <w:t>58</w:t>
                  </w:r>
                </w:p>
              </w:tc>
              <w:tc>
                <w:tcPr>
                  <w:tcW w:w="894" w:type="pct"/>
                  <w:tcBorders>
                    <w:top w:val="single" w:color="000000" w:sz="4" w:space="0"/>
                    <w:left w:val="single" w:color="auto" w:sz="4" w:space="0"/>
                    <w:bottom w:val="single" w:color="000000" w:sz="4" w:space="0"/>
                    <w:right w:val="single" w:color="000000" w:sz="4" w:space="0"/>
                  </w:tcBorders>
                  <w:vAlign w:val="center"/>
                </w:tcPr>
                <w:p w14:paraId="58C91933">
                  <w:pPr>
                    <w:jc w:val="center"/>
                    <w:rPr>
                      <w:rFonts w:eastAsia="等线"/>
                      <w:szCs w:val="21"/>
                    </w:rPr>
                  </w:pPr>
                  <w:r>
                    <w:rPr>
                      <w:rFonts w:eastAsia="等线"/>
                      <w:szCs w:val="21"/>
                    </w:rPr>
                    <w:t xml:space="preserve">0.36 </w:t>
                  </w:r>
                </w:p>
              </w:tc>
              <w:tc>
                <w:tcPr>
                  <w:tcW w:w="944" w:type="pct"/>
                  <w:tcBorders>
                    <w:top w:val="single" w:color="000000" w:sz="4" w:space="0"/>
                    <w:left w:val="single" w:color="auto" w:sz="4" w:space="0"/>
                    <w:bottom w:val="single" w:color="000000" w:sz="4" w:space="0"/>
                    <w:right w:val="single" w:color="000000" w:sz="4" w:space="0"/>
                  </w:tcBorders>
                  <w:vAlign w:val="center"/>
                </w:tcPr>
                <w:p w14:paraId="30CCF977">
                  <w:pPr>
                    <w:adjustRightInd w:val="0"/>
                    <w:snapToGrid w:val="0"/>
                    <w:jc w:val="center"/>
                  </w:pPr>
                  <w:r>
                    <w:t>≤1000</w:t>
                  </w:r>
                </w:p>
              </w:tc>
            </w:tr>
            <w:tr w14:paraId="6181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225E6A2A">
                  <w:pPr>
                    <w:adjustRightInd w:val="0"/>
                    <w:snapToGrid w:val="0"/>
                    <w:jc w:val="center"/>
                  </w:pPr>
                  <w:r>
                    <w:rPr>
                      <w:rFonts w:hint="eastAsia"/>
                      <w:kern w:val="0"/>
                    </w:rPr>
                    <w:t>砷</w:t>
                  </w:r>
                </w:p>
              </w:tc>
              <w:tc>
                <w:tcPr>
                  <w:tcW w:w="1234" w:type="pct"/>
                  <w:tcBorders>
                    <w:top w:val="single" w:color="000000" w:sz="4" w:space="0"/>
                    <w:left w:val="single" w:color="000000" w:sz="4" w:space="0"/>
                    <w:bottom w:val="single" w:color="000000" w:sz="4" w:space="0"/>
                    <w:right w:val="single" w:color="auto" w:sz="4" w:space="0"/>
                  </w:tcBorders>
                  <w:vAlign w:val="center"/>
                </w:tcPr>
                <w:p w14:paraId="18911B51">
                  <w:pPr>
                    <w:adjustRightInd w:val="0"/>
                    <w:snapToGrid w:val="0"/>
                    <w:jc w:val="center"/>
                  </w:pPr>
                  <w:r>
                    <w:rPr>
                      <w:rFonts w:hint="eastAsia"/>
                    </w:rPr>
                    <w:t>3</w:t>
                  </w:r>
                  <w:r>
                    <w:t>.00</w:t>
                  </w:r>
                  <w:r>
                    <w:rPr>
                      <w:rFonts w:hint="eastAsia"/>
                    </w:rPr>
                    <w:t>×1</w:t>
                  </w:r>
                  <w:r>
                    <w:t>0</w:t>
                  </w:r>
                  <w:r>
                    <w:rPr>
                      <w:vertAlign w:val="superscript"/>
                    </w:rPr>
                    <w:t>-4</w:t>
                  </w:r>
                  <w:r>
                    <w:t>L</w:t>
                  </w:r>
                </w:p>
              </w:tc>
              <w:tc>
                <w:tcPr>
                  <w:tcW w:w="894" w:type="pct"/>
                  <w:tcBorders>
                    <w:top w:val="single" w:color="000000" w:sz="4" w:space="0"/>
                    <w:left w:val="single" w:color="auto" w:sz="4" w:space="0"/>
                    <w:bottom w:val="single" w:color="000000" w:sz="4" w:space="0"/>
                    <w:right w:val="single" w:color="000000" w:sz="4" w:space="0"/>
                  </w:tcBorders>
                  <w:vAlign w:val="center"/>
                </w:tcPr>
                <w:p w14:paraId="6967C9F1">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6739FA89">
                  <w:pPr>
                    <w:adjustRightInd w:val="0"/>
                    <w:snapToGrid w:val="0"/>
                    <w:jc w:val="center"/>
                  </w:pPr>
                  <w:r>
                    <w:t>≤0.01</w:t>
                  </w:r>
                </w:p>
              </w:tc>
            </w:tr>
            <w:tr w14:paraId="5918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70A95CF2">
                  <w:pPr>
                    <w:adjustRightInd w:val="0"/>
                    <w:snapToGrid w:val="0"/>
                    <w:jc w:val="center"/>
                  </w:pPr>
                  <w:r>
                    <w:rPr>
                      <w:rFonts w:hint="eastAsia"/>
                      <w:kern w:val="0"/>
                    </w:rPr>
                    <w:t>汞</w:t>
                  </w:r>
                </w:p>
              </w:tc>
              <w:tc>
                <w:tcPr>
                  <w:tcW w:w="1234" w:type="pct"/>
                  <w:tcBorders>
                    <w:top w:val="single" w:color="000000" w:sz="4" w:space="0"/>
                    <w:left w:val="single" w:color="000000" w:sz="4" w:space="0"/>
                    <w:bottom w:val="single" w:color="000000" w:sz="4" w:space="0"/>
                    <w:right w:val="single" w:color="auto" w:sz="4" w:space="0"/>
                  </w:tcBorders>
                  <w:vAlign w:val="center"/>
                </w:tcPr>
                <w:p w14:paraId="493452B1">
                  <w:pPr>
                    <w:adjustRightInd w:val="0"/>
                    <w:snapToGrid w:val="0"/>
                    <w:jc w:val="center"/>
                  </w:pPr>
                  <w:r>
                    <w:t>4.00</w:t>
                  </w:r>
                  <w:r>
                    <w:rPr>
                      <w:rFonts w:hint="eastAsia"/>
                    </w:rPr>
                    <w:t>×1</w:t>
                  </w:r>
                  <w:r>
                    <w:t>0</w:t>
                  </w:r>
                  <w:r>
                    <w:rPr>
                      <w:vertAlign w:val="superscript"/>
                    </w:rPr>
                    <w:t>-5</w:t>
                  </w:r>
                  <w:r>
                    <w:t>L</w:t>
                  </w:r>
                </w:p>
              </w:tc>
              <w:tc>
                <w:tcPr>
                  <w:tcW w:w="894" w:type="pct"/>
                  <w:tcBorders>
                    <w:top w:val="single" w:color="000000" w:sz="4" w:space="0"/>
                    <w:left w:val="single" w:color="auto" w:sz="4" w:space="0"/>
                    <w:bottom w:val="single" w:color="000000" w:sz="4" w:space="0"/>
                    <w:right w:val="single" w:color="000000" w:sz="4" w:space="0"/>
                  </w:tcBorders>
                  <w:vAlign w:val="center"/>
                </w:tcPr>
                <w:p w14:paraId="2F0185A2">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4D06B93F">
                  <w:pPr>
                    <w:adjustRightInd w:val="0"/>
                    <w:snapToGrid w:val="0"/>
                    <w:jc w:val="center"/>
                  </w:pPr>
                  <w:r>
                    <w:t>≤0.001</w:t>
                  </w:r>
                </w:p>
              </w:tc>
            </w:tr>
            <w:tr w14:paraId="518D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2D1DFF3A">
                  <w:pPr>
                    <w:adjustRightInd w:val="0"/>
                    <w:snapToGrid w:val="0"/>
                    <w:jc w:val="center"/>
                  </w:pPr>
                  <w:r>
                    <w:rPr>
                      <w:rFonts w:hint="eastAsia"/>
                      <w:kern w:val="0"/>
                    </w:rPr>
                    <w:t>铜</w:t>
                  </w:r>
                </w:p>
              </w:tc>
              <w:tc>
                <w:tcPr>
                  <w:tcW w:w="1234" w:type="pct"/>
                  <w:tcBorders>
                    <w:top w:val="single" w:color="000000" w:sz="4" w:space="0"/>
                    <w:left w:val="single" w:color="000000" w:sz="4" w:space="0"/>
                    <w:bottom w:val="single" w:color="000000" w:sz="4" w:space="0"/>
                    <w:right w:val="single" w:color="auto" w:sz="4" w:space="0"/>
                  </w:tcBorders>
                  <w:vAlign w:val="center"/>
                </w:tcPr>
                <w:p w14:paraId="0A298981">
                  <w:pPr>
                    <w:adjustRightInd w:val="0"/>
                    <w:snapToGrid w:val="0"/>
                    <w:jc w:val="center"/>
                  </w:pPr>
                  <w:r>
                    <w:rPr>
                      <w:rFonts w:hint="eastAsia"/>
                    </w:rPr>
                    <w:t>0</w:t>
                  </w:r>
                  <w:r>
                    <w:t>.01L</w:t>
                  </w:r>
                </w:p>
              </w:tc>
              <w:tc>
                <w:tcPr>
                  <w:tcW w:w="894" w:type="pct"/>
                  <w:tcBorders>
                    <w:top w:val="single" w:color="000000" w:sz="4" w:space="0"/>
                    <w:left w:val="single" w:color="auto" w:sz="4" w:space="0"/>
                    <w:bottom w:val="single" w:color="000000" w:sz="4" w:space="0"/>
                    <w:right w:val="single" w:color="000000" w:sz="4" w:space="0"/>
                  </w:tcBorders>
                  <w:vAlign w:val="center"/>
                </w:tcPr>
                <w:p w14:paraId="0DEBB24C">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210E9AD8">
                  <w:pPr>
                    <w:adjustRightInd w:val="0"/>
                    <w:snapToGrid w:val="0"/>
                    <w:jc w:val="center"/>
                  </w:pPr>
                  <w:r>
                    <w:t>≤1.0</w:t>
                  </w:r>
                </w:p>
              </w:tc>
            </w:tr>
            <w:tr w14:paraId="29D7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4EC79498">
                  <w:pPr>
                    <w:adjustRightInd w:val="0"/>
                    <w:snapToGrid w:val="0"/>
                    <w:jc w:val="center"/>
                  </w:pPr>
                  <w:r>
                    <w:rPr>
                      <w:rFonts w:hint="eastAsia"/>
                      <w:kern w:val="0"/>
                    </w:rPr>
                    <w:t>锌</w:t>
                  </w:r>
                </w:p>
              </w:tc>
              <w:tc>
                <w:tcPr>
                  <w:tcW w:w="1234" w:type="pct"/>
                  <w:tcBorders>
                    <w:top w:val="single" w:color="000000" w:sz="4" w:space="0"/>
                    <w:left w:val="single" w:color="000000" w:sz="4" w:space="0"/>
                    <w:bottom w:val="single" w:color="000000" w:sz="4" w:space="0"/>
                    <w:right w:val="single" w:color="auto" w:sz="4" w:space="0"/>
                  </w:tcBorders>
                  <w:vAlign w:val="center"/>
                </w:tcPr>
                <w:p w14:paraId="545DD873">
                  <w:pPr>
                    <w:adjustRightInd w:val="0"/>
                    <w:snapToGrid w:val="0"/>
                    <w:jc w:val="center"/>
                  </w:pPr>
                  <w:r>
                    <w:rPr>
                      <w:rFonts w:hint="eastAsia"/>
                    </w:rPr>
                    <w:t>0</w:t>
                  </w:r>
                  <w:r>
                    <w:t>.01L</w:t>
                  </w:r>
                </w:p>
              </w:tc>
              <w:tc>
                <w:tcPr>
                  <w:tcW w:w="894" w:type="pct"/>
                  <w:tcBorders>
                    <w:top w:val="single" w:color="000000" w:sz="4" w:space="0"/>
                    <w:left w:val="single" w:color="auto" w:sz="4" w:space="0"/>
                    <w:bottom w:val="single" w:color="000000" w:sz="4" w:space="0"/>
                    <w:right w:val="single" w:color="000000" w:sz="4" w:space="0"/>
                  </w:tcBorders>
                  <w:vAlign w:val="center"/>
                </w:tcPr>
                <w:p w14:paraId="60E9EF61">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5B29C07D">
                  <w:pPr>
                    <w:adjustRightInd w:val="0"/>
                    <w:snapToGrid w:val="0"/>
                    <w:jc w:val="center"/>
                  </w:pPr>
                  <w:r>
                    <w:t>≤1.0</w:t>
                  </w:r>
                </w:p>
              </w:tc>
            </w:tr>
            <w:tr w14:paraId="3A39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33F49737">
                  <w:pPr>
                    <w:adjustRightInd w:val="0"/>
                    <w:snapToGrid w:val="0"/>
                    <w:jc w:val="center"/>
                  </w:pPr>
                  <w:r>
                    <w:rPr>
                      <w:rFonts w:hint="eastAsia"/>
                      <w:kern w:val="0"/>
                    </w:rPr>
                    <w:t>阴离子表面活性剂</w:t>
                  </w:r>
                </w:p>
              </w:tc>
              <w:tc>
                <w:tcPr>
                  <w:tcW w:w="1234" w:type="pct"/>
                  <w:tcBorders>
                    <w:top w:val="single" w:color="000000" w:sz="4" w:space="0"/>
                    <w:left w:val="single" w:color="000000" w:sz="4" w:space="0"/>
                    <w:bottom w:val="single" w:color="000000" w:sz="4" w:space="0"/>
                    <w:right w:val="single" w:color="auto" w:sz="4" w:space="0"/>
                  </w:tcBorders>
                  <w:vAlign w:val="center"/>
                </w:tcPr>
                <w:p w14:paraId="4A455ECE">
                  <w:pPr>
                    <w:adjustRightInd w:val="0"/>
                    <w:snapToGrid w:val="0"/>
                    <w:jc w:val="center"/>
                  </w:pPr>
                  <w:r>
                    <w:rPr>
                      <w:rFonts w:hint="eastAsia"/>
                    </w:rPr>
                    <w:t>0</w:t>
                  </w:r>
                  <w:r>
                    <w:t>.05L</w:t>
                  </w:r>
                </w:p>
              </w:tc>
              <w:tc>
                <w:tcPr>
                  <w:tcW w:w="894" w:type="pct"/>
                  <w:tcBorders>
                    <w:top w:val="single" w:color="000000" w:sz="4" w:space="0"/>
                    <w:left w:val="single" w:color="auto" w:sz="4" w:space="0"/>
                    <w:bottom w:val="single" w:color="000000" w:sz="4" w:space="0"/>
                    <w:right w:val="single" w:color="000000" w:sz="4" w:space="0"/>
                  </w:tcBorders>
                  <w:vAlign w:val="center"/>
                </w:tcPr>
                <w:p w14:paraId="38C246C8">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4C2D8C28">
                  <w:pPr>
                    <w:adjustRightInd w:val="0"/>
                    <w:snapToGrid w:val="0"/>
                    <w:jc w:val="center"/>
                  </w:pPr>
                  <w:r>
                    <w:t>≤0.3</w:t>
                  </w:r>
                </w:p>
              </w:tc>
            </w:tr>
            <w:tr w14:paraId="1708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1AD9A1D2">
                  <w:pPr>
                    <w:adjustRightInd w:val="0"/>
                    <w:snapToGrid w:val="0"/>
                    <w:jc w:val="center"/>
                  </w:pPr>
                  <w:r>
                    <w:rPr>
                      <w:rFonts w:hint="eastAsia"/>
                      <w:kern w:val="0"/>
                    </w:rPr>
                    <w:t>铅</w:t>
                  </w:r>
                </w:p>
              </w:tc>
              <w:tc>
                <w:tcPr>
                  <w:tcW w:w="1234" w:type="pct"/>
                  <w:tcBorders>
                    <w:top w:val="single" w:color="000000" w:sz="4" w:space="0"/>
                    <w:left w:val="single" w:color="000000" w:sz="4" w:space="0"/>
                    <w:bottom w:val="single" w:color="000000" w:sz="4" w:space="0"/>
                    <w:right w:val="single" w:color="auto" w:sz="4" w:space="0"/>
                  </w:tcBorders>
                  <w:vAlign w:val="center"/>
                </w:tcPr>
                <w:p w14:paraId="264BCE3E">
                  <w:pPr>
                    <w:adjustRightInd w:val="0"/>
                    <w:snapToGrid w:val="0"/>
                    <w:jc w:val="center"/>
                  </w:pPr>
                  <w:r>
                    <w:t>2.5</w:t>
                  </w:r>
                  <w:r>
                    <w:rPr>
                      <w:rFonts w:hint="eastAsia"/>
                    </w:rPr>
                    <w:t>×1</w:t>
                  </w:r>
                  <w:r>
                    <w:t>0</w:t>
                  </w:r>
                  <w:r>
                    <w:rPr>
                      <w:vertAlign w:val="superscript"/>
                    </w:rPr>
                    <w:t>-3</w:t>
                  </w:r>
                  <w:r>
                    <w:t>L</w:t>
                  </w:r>
                </w:p>
              </w:tc>
              <w:tc>
                <w:tcPr>
                  <w:tcW w:w="894" w:type="pct"/>
                  <w:tcBorders>
                    <w:top w:val="single" w:color="000000" w:sz="4" w:space="0"/>
                    <w:left w:val="single" w:color="auto" w:sz="4" w:space="0"/>
                    <w:bottom w:val="single" w:color="000000" w:sz="4" w:space="0"/>
                    <w:right w:val="single" w:color="000000" w:sz="4" w:space="0"/>
                  </w:tcBorders>
                  <w:vAlign w:val="center"/>
                </w:tcPr>
                <w:p w14:paraId="483A06AD">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54CF6B18">
                  <w:pPr>
                    <w:adjustRightInd w:val="0"/>
                    <w:snapToGrid w:val="0"/>
                    <w:jc w:val="center"/>
                  </w:pPr>
                  <w:r>
                    <w:t>≤0.01</w:t>
                  </w:r>
                </w:p>
              </w:tc>
            </w:tr>
            <w:tr w14:paraId="1514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09DC3E47">
                  <w:pPr>
                    <w:adjustRightInd w:val="0"/>
                    <w:snapToGrid w:val="0"/>
                    <w:jc w:val="center"/>
                  </w:pPr>
                  <w:r>
                    <w:rPr>
                      <w:rFonts w:hint="eastAsia"/>
                      <w:kern w:val="0"/>
                    </w:rPr>
                    <w:t>镉</w:t>
                  </w:r>
                </w:p>
              </w:tc>
              <w:tc>
                <w:tcPr>
                  <w:tcW w:w="1234" w:type="pct"/>
                  <w:tcBorders>
                    <w:top w:val="single" w:color="000000" w:sz="4" w:space="0"/>
                    <w:left w:val="single" w:color="000000" w:sz="4" w:space="0"/>
                    <w:bottom w:val="single" w:color="000000" w:sz="4" w:space="0"/>
                    <w:right w:val="single" w:color="auto" w:sz="4" w:space="0"/>
                  </w:tcBorders>
                  <w:vAlign w:val="center"/>
                </w:tcPr>
                <w:p w14:paraId="7B581C4A">
                  <w:pPr>
                    <w:adjustRightInd w:val="0"/>
                    <w:snapToGrid w:val="0"/>
                    <w:jc w:val="center"/>
                  </w:pPr>
                  <w:r>
                    <w:t>5.0</w:t>
                  </w:r>
                  <w:r>
                    <w:rPr>
                      <w:rFonts w:hint="eastAsia"/>
                    </w:rPr>
                    <w:t>×1</w:t>
                  </w:r>
                  <w:r>
                    <w:t>0</w:t>
                  </w:r>
                  <w:r>
                    <w:rPr>
                      <w:vertAlign w:val="superscript"/>
                    </w:rPr>
                    <w:t>-4</w:t>
                  </w:r>
                  <w:r>
                    <w:t>L</w:t>
                  </w:r>
                </w:p>
              </w:tc>
              <w:tc>
                <w:tcPr>
                  <w:tcW w:w="894" w:type="pct"/>
                  <w:tcBorders>
                    <w:top w:val="single" w:color="000000" w:sz="4" w:space="0"/>
                    <w:left w:val="single" w:color="auto" w:sz="4" w:space="0"/>
                    <w:bottom w:val="single" w:color="000000" w:sz="4" w:space="0"/>
                    <w:right w:val="single" w:color="000000" w:sz="4" w:space="0"/>
                  </w:tcBorders>
                  <w:vAlign w:val="center"/>
                </w:tcPr>
                <w:p w14:paraId="0FA2493E">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24BDA0DA">
                  <w:pPr>
                    <w:adjustRightInd w:val="0"/>
                    <w:snapToGrid w:val="0"/>
                    <w:jc w:val="center"/>
                  </w:pPr>
                  <w:r>
                    <w:t>≤0.005</w:t>
                  </w:r>
                </w:p>
              </w:tc>
            </w:tr>
            <w:tr w14:paraId="3FA67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7331C6A0">
                  <w:pPr>
                    <w:adjustRightInd w:val="0"/>
                    <w:snapToGrid w:val="0"/>
                    <w:jc w:val="center"/>
                    <w:rPr>
                      <w:kern w:val="0"/>
                    </w:rPr>
                  </w:pPr>
                  <w:r>
                    <w:rPr>
                      <w:rFonts w:hint="eastAsia"/>
                      <w:kern w:val="0"/>
                    </w:rPr>
                    <w:t>镍</w:t>
                  </w:r>
                </w:p>
              </w:tc>
              <w:tc>
                <w:tcPr>
                  <w:tcW w:w="1234" w:type="pct"/>
                  <w:tcBorders>
                    <w:top w:val="single" w:color="000000" w:sz="4" w:space="0"/>
                    <w:left w:val="single" w:color="000000" w:sz="4" w:space="0"/>
                    <w:bottom w:val="single" w:color="000000" w:sz="4" w:space="0"/>
                    <w:right w:val="single" w:color="auto" w:sz="4" w:space="0"/>
                  </w:tcBorders>
                  <w:vAlign w:val="center"/>
                </w:tcPr>
                <w:p w14:paraId="0EAB8C93">
                  <w:pPr>
                    <w:adjustRightInd w:val="0"/>
                    <w:snapToGrid w:val="0"/>
                    <w:jc w:val="center"/>
                    <w:rPr>
                      <w:rFonts w:hAnsi="宋体"/>
                    </w:rPr>
                  </w:pPr>
                  <w:r>
                    <w:t>5.0</w:t>
                  </w:r>
                  <w:r>
                    <w:rPr>
                      <w:rFonts w:hint="eastAsia"/>
                    </w:rPr>
                    <w:t>×1</w:t>
                  </w:r>
                  <w:r>
                    <w:t>0</w:t>
                  </w:r>
                  <w:r>
                    <w:rPr>
                      <w:vertAlign w:val="superscript"/>
                    </w:rPr>
                    <w:t>-3</w:t>
                  </w:r>
                  <w:r>
                    <w:t>L</w:t>
                  </w:r>
                </w:p>
              </w:tc>
              <w:tc>
                <w:tcPr>
                  <w:tcW w:w="894" w:type="pct"/>
                  <w:tcBorders>
                    <w:top w:val="single" w:color="000000" w:sz="4" w:space="0"/>
                    <w:left w:val="single" w:color="auto" w:sz="4" w:space="0"/>
                    <w:bottom w:val="single" w:color="000000" w:sz="4" w:space="0"/>
                    <w:right w:val="single" w:color="000000" w:sz="4" w:space="0"/>
                  </w:tcBorders>
                  <w:vAlign w:val="center"/>
                </w:tcPr>
                <w:p w14:paraId="45B4AD9C">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35F6C0B0">
                  <w:pPr>
                    <w:adjustRightInd w:val="0"/>
                    <w:snapToGrid w:val="0"/>
                    <w:jc w:val="center"/>
                  </w:pPr>
                  <w:r>
                    <w:t>≤0.02</w:t>
                  </w:r>
                </w:p>
              </w:tc>
            </w:tr>
            <w:tr w14:paraId="085E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2DEA403D">
                  <w:pPr>
                    <w:adjustRightInd w:val="0"/>
                    <w:snapToGrid w:val="0"/>
                    <w:jc w:val="center"/>
                    <w:rPr>
                      <w:kern w:val="0"/>
                    </w:rPr>
                  </w:pPr>
                  <w:r>
                    <w:rPr>
                      <w:rFonts w:hint="eastAsia"/>
                      <w:kern w:val="0"/>
                    </w:rPr>
                    <w:t>细菌总数</w:t>
                  </w:r>
                </w:p>
              </w:tc>
              <w:tc>
                <w:tcPr>
                  <w:tcW w:w="1234" w:type="pct"/>
                  <w:tcBorders>
                    <w:top w:val="single" w:color="000000" w:sz="4" w:space="0"/>
                    <w:left w:val="single" w:color="000000" w:sz="4" w:space="0"/>
                    <w:bottom w:val="single" w:color="000000" w:sz="4" w:space="0"/>
                    <w:right w:val="single" w:color="auto" w:sz="4" w:space="0"/>
                  </w:tcBorders>
                  <w:vAlign w:val="center"/>
                </w:tcPr>
                <w:p w14:paraId="0631CD00">
                  <w:pPr>
                    <w:adjustRightInd w:val="0"/>
                    <w:snapToGrid w:val="0"/>
                    <w:jc w:val="center"/>
                    <w:rPr>
                      <w:rFonts w:hAnsi="宋体"/>
                    </w:rPr>
                  </w:pPr>
                  <w:r>
                    <w:rPr>
                      <w:rFonts w:hint="eastAsia" w:hAnsi="宋体"/>
                    </w:rPr>
                    <w:t>5</w:t>
                  </w:r>
                  <w:r>
                    <w:rPr>
                      <w:rFonts w:hAnsi="宋体"/>
                    </w:rPr>
                    <w:t>3</w:t>
                  </w:r>
                </w:p>
              </w:tc>
              <w:tc>
                <w:tcPr>
                  <w:tcW w:w="894" w:type="pct"/>
                  <w:tcBorders>
                    <w:top w:val="single" w:color="000000" w:sz="4" w:space="0"/>
                    <w:left w:val="single" w:color="auto" w:sz="4" w:space="0"/>
                    <w:bottom w:val="single" w:color="000000" w:sz="4" w:space="0"/>
                    <w:right w:val="single" w:color="000000" w:sz="4" w:space="0"/>
                  </w:tcBorders>
                  <w:vAlign w:val="center"/>
                </w:tcPr>
                <w:p w14:paraId="67B128F1">
                  <w:pPr>
                    <w:jc w:val="center"/>
                    <w:rPr>
                      <w:rFonts w:eastAsia="等线"/>
                      <w:szCs w:val="21"/>
                    </w:rPr>
                  </w:pPr>
                  <w:r>
                    <w:rPr>
                      <w:rFonts w:eastAsia="等线"/>
                      <w:szCs w:val="21"/>
                    </w:rPr>
                    <w:t xml:space="preserve">0.53 </w:t>
                  </w:r>
                </w:p>
              </w:tc>
              <w:tc>
                <w:tcPr>
                  <w:tcW w:w="944" w:type="pct"/>
                  <w:tcBorders>
                    <w:top w:val="single" w:color="000000" w:sz="4" w:space="0"/>
                    <w:left w:val="single" w:color="auto" w:sz="4" w:space="0"/>
                    <w:bottom w:val="single" w:color="000000" w:sz="4" w:space="0"/>
                    <w:right w:val="single" w:color="000000" w:sz="4" w:space="0"/>
                  </w:tcBorders>
                  <w:vAlign w:val="center"/>
                </w:tcPr>
                <w:p w14:paraId="19A9A1FD">
                  <w:pPr>
                    <w:adjustRightInd w:val="0"/>
                    <w:snapToGrid w:val="0"/>
                    <w:jc w:val="center"/>
                  </w:pPr>
                  <w:r>
                    <w:t>≤100</w:t>
                  </w:r>
                </w:p>
              </w:tc>
            </w:tr>
            <w:tr w14:paraId="5161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1DDC0BD7">
                  <w:pPr>
                    <w:adjustRightInd w:val="0"/>
                    <w:snapToGrid w:val="0"/>
                    <w:jc w:val="center"/>
                    <w:rPr>
                      <w:kern w:val="0"/>
                    </w:rPr>
                  </w:pPr>
                  <w:r>
                    <w:rPr>
                      <w:rFonts w:hint="eastAsia"/>
                      <w:kern w:val="0"/>
                    </w:rPr>
                    <w:t>石油类</w:t>
                  </w:r>
                </w:p>
              </w:tc>
              <w:tc>
                <w:tcPr>
                  <w:tcW w:w="1234" w:type="pct"/>
                  <w:tcBorders>
                    <w:top w:val="single" w:color="000000" w:sz="4" w:space="0"/>
                    <w:left w:val="single" w:color="000000" w:sz="4" w:space="0"/>
                    <w:bottom w:val="single" w:color="000000" w:sz="4" w:space="0"/>
                    <w:right w:val="single" w:color="auto" w:sz="4" w:space="0"/>
                  </w:tcBorders>
                  <w:vAlign w:val="center"/>
                </w:tcPr>
                <w:p w14:paraId="34C0D94C">
                  <w:pPr>
                    <w:adjustRightInd w:val="0"/>
                    <w:snapToGrid w:val="0"/>
                    <w:jc w:val="center"/>
                    <w:rPr>
                      <w:rFonts w:hAnsi="宋体"/>
                    </w:rPr>
                  </w:pPr>
                  <w:r>
                    <w:rPr>
                      <w:rFonts w:hint="eastAsia" w:hAnsi="宋体"/>
                    </w:rPr>
                    <w:t>0</w:t>
                  </w:r>
                  <w:r>
                    <w:rPr>
                      <w:rFonts w:hAnsi="宋体"/>
                    </w:rPr>
                    <w:t>.01L</w:t>
                  </w:r>
                </w:p>
              </w:tc>
              <w:tc>
                <w:tcPr>
                  <w:tcW w:w="894" w:type="pct"/>
                  <w:tcBorders>
                    <w:top w:val="single" w:color="000000" w:sz="4" w:space="0"/>
                    <w:left w:val="single" w:color="auto" w:sz="4" w:space="0"/>
                    <w:bottom w:val="single" w:color="000000" w:sz="4" w:space="0"/>
                    <w:right w:val="single" w:color="000000" w:sz="4" w:space="0"/>
                  </w:tcBorders>
                  <w:vAlign w:val="center"/>
                </w:tcPr>
                <w:p w14:paraId="604DD676">
                  <w:pPr>
                    <w:jc w:val="center"/>
                    <w:rPr>
                      <w:rFonts w:eastAsia="等线"/>
                      <w:szCs w:val="21"/>
                    </w:rPr>
                  </w:pPr>
                  <w:r>
                    <w:rPr>
                      <w:rFonts w:hint="eastAsia" w:eastAsia="等线"/>
                      <w:szCs w:val="21"/>
                    </w:rPr>
                    <w:t>/</w:t>
                  </w:r>
                </w:p>
              </w:tc>
              <w:tc>
                <w:tcPr>
                  <w:tcW w:w="944" w:type="pct"/>
                  <w:tcBorders>
                    <w:top w:val="single" w:color="000000" w:sz="4" w:space="0"/>
                    <w:left w:val="single" w:color="auto" w:sz="4" w:space="0"/>
                    <w:bottom w:val="single" w:color="000000" w:sz="4" w:space="0"/>
                    <w:right w:val="single" w:color="000000" w:sz="4" w:space="0"/>
                  </w:tcBorders>
                  <w:vAlign w:val="center"/>
                </w:tcPr>
                <w:p w14:paraId="5306A13F">
                  <w:pPr>
                    <w:adjustRightInd w:val="0"/>
                    <w:snapToGrid w:val="0"/>
                    <w:jc w:val="center"/>
                  </w:pPr>
                  <w:r>
                    <w:t>≤0.05</w:t>
                  </w:r>
                </w:p>
              </w:tc>
            </w:tr>
            <w:tr w14:paraId="7956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7" w:type="pct"/>
                  <w:tcBorders>
                    <w:top w:val="single" w:color="000000" w:sz="4" w:space="0"/>
                    <w:left w:val="single" w:color="000000" w:sz="4" w:space="0"/>
                    <w:bottom w:val="single" w:color="000000" w:sz="4" w:space="0"/>
                    <w:right w:val="single" w:color="000000" w:sz="4" w:space="0"/>
                  </w:tcBorders>
                  <w:vAlign w:val="center"/>
                </w:tcPr>
                <w:p w14:paraId="717F014D">
                  <w:pPr>
                    <w:adjustRightInd w:val="0"/>
                    <w:snapToGrid w:val="0"/>
                    <w:jc w:val="center"/>
                    <w:rPr>
                      <w:kern w:val="0"/>
                    </w:rPr>
                  </w:pPr>
                  <w:r>
                    <w:rPr>
                      <w:rFonts w:hint="eastAsia"/>
                      <w:kern w:val="0"/>
                    </w:rPr>
                    <w:t>氟化物</w:t>
                  </w:r>
                </w:p>
              </w:tc>
              <w:tc>
                <w:tcPr>
                  <w:tcW w:w="1234" w:type="pct"/>
                  <w:tcBorders>
                    <w:top w:val="single" w:color="000000" w:sz="4" w:space="0"/>
                    <w:left w:val="single" w:color="000000" w:sz="4" w:space="0"/>
                    <w:bottom w:val="single" w:color="000000" w:sz="4" w:space="0"/>
                    <w:right w:val="single" w:color="auto" w:sz="4" w:space="0"/>
                  </w:tcBorders>
                  <w:vAlign w:val="center"/>
                </w:tcPr>
                <w:p w14:paraId="351C2984">
                  <w:pPr>
                    <w:adjustRightInd w:val="0"/>
                    <w:snapToGrid w:val="0"/>
                    <w:jc w:val="center"/>
                    <w:rPr>
                      <w:rFonts w:hAnsi="宋体"/>
                    </w:rPr>
                  </w:pPr>
                  <w:r>
                    <w:rPr>
                      <w:rFonts w:hint="eastAsia" w:hAnsi="宋体"/>
                    </w:rPr>
                    <w:t>0</w:t>
                  </w:r>
                  <w:r>
                    <w:rPr>
                      <w:rFonts w:hAnsi="宋体"/>
                    </w:rPr>
                    <w:t>.266</w:t>
                  </w:r>
                </w:p>
              </w:tc>
              <w:tc>
                <w:tcPr>
                  <w:tcW w:w="894" w:type="pct"/>
                  <w:tcBorders>
                    <w:top w:val="single" w:color="000000" w:sz="4" w:space="0"/>
                    <w:left w:val="single" w:color="auto" w:sz="4" w:space="0"/>
                    <w:bottom w:val="single" w:color="000000" w:sz="4" w:space="0"/>
                    <w:right w:val="single" w:color="000000" w:sz="4" w:space="0"/>
                  </w:tcBorders>
                  <w:vAlign w:val="center"/>
                </w:tcPr>
                <w:p w14:paraId="542A0253">
                  <w:pPr>
                    <w:jc w:val="center"/>
                    <w:rPr>
                      <w:rFonts w:eastAsia="等线"/>
                      <w:szCs w:val="21"/>
                    </w:rPr>
                  </w:pPr>
                  <w:r>
                    <w:rPr>
                      <w:rFonts w:eastAsia="等线"/>
                      <w:szCs w:val="21"/>
                    </w:rPr>
                    <w:t xml:space="preserve">0.27 </w:t>
                  </w:r>
                </w:p>
              </w:tc>
              <w:tc>
                <w:tcPr>
                  <w:tcW w:w="944" w:type="pct"/>
                  <w:tcBorders>
                    <w:top w:val="single" w:color="000000" w:sz="4" w:space="0"/>
                    <w:left w:val="single" w:color="auto" w:sz="4" w:space="0"/>
                    <w:bottom w:val="single" w:color="000000" w:sz="4" w:space="0"/>
                    <w:right w:val="single" w:color="000000" w:sz="4" w:space="0"/>
                  </w:tcBorders>
                  <w:vAlign w:val="center"/>
                </w:tcPr>
                <w:p w14:paraId="7AAA37CC">
                  <w:pPr>
                    <w:adjustRightInd w:val="0"/>
                    <w:snapToGrid w:val="0"/>
                    <w:jc w:val="center"/>
                  </w:pPr>
                  <w:r>
                    <w:t>≤1.0</w:t>
                  </w:r>
                </w:p>
              </w:tc>
            </w:tr>
          </w:tbl>
          <w:p w14:paraId="6800624C">
            <w:pPr>
              <w:spacing w:line="360" w:lineRule="auto"/>
              <w:ind w:firstLine="480" w:firstLineChars="200"/>
              <w:rPr>
                <w:kern w:val="0"/>
                <w:sz w:val="24"/>
                <w:szCs w:val="21"/>
              </w:rPr>
            </w:pPr>
            <w:r>
              <w:rPr>
                <w:rFonts w:hint="eastAsia" w:hAnsi="宋体"/>
                <w:kern w:val="0"/>
                <w:sz w:val="24"/>
              </w:rPr>
              <w:t>由表</w:t>
            </w:r>
            <w:r>
              <w:rPr>
                <w:kern w:val="0"/>
                <w:sz w:val="24"/>
              </w:rPr>
              <w:t>3-3</w:t>
            </w:r>
            <w:r>
              <w:rPr>
                <w:rFonts w:hint="eastAsia" w:hAnsi="宋体"/>
                <w:kern w:val="0"/>
                <w:sz w:val="24"/>
              </w:rPr>
              <w:t>可知，监测点位地下水各项指标均满足《地下水环境质量标准》（</w:t>
            </w:r>
            <w:r>
              <w:rPr>
                <w:kern w:val="0"/>
                <w:sz w:val="24"/>
              </w:rPr>
              <w:t>GB/T14848-2017</w:t>
            </w:r>
            <w:r>
              <w:rPr>
                <w:rFonts w:hint="eastAsia" w:hAnsi="宋体"/>
                <w:kern w:val="0"/>
                <w:sz w:val="24"/>
              </w:rPr>
              <w:t>）</w:t>
            </w:r>
            <w:r>
              <w:rPr>
                <w:kern w:val="0"/>
                <w:sz w:val="24"/>
              </w:rPr>
              <w:fldChar w:fldCharType="begin"/>
            </w:r>
            <w:r>
              <w:rPr>
                <w:kern w:val="0"/>
                <w:sz w:val="24"/>
              </w:rPr>
              <w:instrText xml:space="preserve"> = 3 \* ROMAN </w:instrText>
            </w:r>
            <w:r>
              <w:rPr>
                <w:kern w:val="0"/>
                <w:sz w:val="24"/>
              </w:rPr>
              <w:fldChar w:fldCharType="separate"/>
            </w:r>
            <w:r>
              <w:rPr>
                <w:kern w:val="0"/>
                <w:sz w:val="24"/>
              </w:rPr>
              <w:t>III</w:t>
            </w:r>
            <w:r>
              <w:rPr>
                <w:kern w:val="0"/>
                <w:sz w:val="24"/>
              </w:rPr>
              <w:fldChar w:fldCharType="end"/>
            </w:r>
            <w:r>
              <w:rPr>
                <w:rFonts w:hint="eastAsia" w:hAnsi="宋体"/>
                <w:kern w:val="0"/>
                <w:sz w:val="24"/>
              </w:rPr>
              <w:t>类水域标准要求。</w:t>
            </w:r>
          </w:p>
          <w:p w14:paraId="604A667D">
            <w:pPr>
              <w:adjustRightInd w:val="0"/>
              <w:snapToGrid w:val="0"/>
              <w:spacing w:line="360" w:lineRule="auto"/>
              <w:jc w:val="left"/>
              <w:rPr>
                <w:rFonts w:ascii="宋体" w:hAnsi="宋体" w:cs="宋体"/>
                <w:b/>
                <w:kern w:val="0"/>
                <w:sz w:val="24"/>
              </w:rPr>
            </w:pPr>
            <w:r>
              <w:rPr>
                <w:b/>
                <w:kern w:val="0"/>
                <w:sz w:val="24"/>
              </w:rPr>
              <w:t>5</w:t>
            </w:r>
            <w:r>
              <w:rPr>
                <w:rFonts w:hint="eastAsia" w:ascii="宋体" w:hAnsi="宋体" w:cs="宋体"/>
                <w:b/>
                <w:kern w:val="0"/>
                <w:sz w:val="24"/>
              </w:rPr>
              <w:t>、土壤环境</w:t>
            </w:r>
          </w:p>
          <w:p w14:paraId="2C3B4D4D">
            <w:pPr>
              <w:spacing w:line="360" w:lineRule="auto"/>
              <w:ind w:firstLine="480" w:firstLineChars="200"/>
              <w:rPr>
                <w:sz w:val="24"/>
              </w:rPr>
            </w:pPr>
            <w:r>
              <w:rPr>
                <w:rFonts w:hint="eastAsia" w:hAnsi="宋体"/>
                <w:kern w:val="0"/>
                <w:sz w:val="24"/>
              </w:rPr>
              <w:t>为了解项目所在区域土壤环境质量现状，引用</w:t>
            </w:r>
            <w:r>
              <w:rPr>
                <w:rFonts w:hint="eastAsia"/>
                <w:sz w:val="24"/>
              </w:rPr>
              <w:t>《重庆万达薄板有限公司重庆万达薄板酸再生二期项目环境影响报告表》的监测数据，重庆万达薄板有限公司位于项目西侧，</w:t>
            </w:r>
            <w:r>
              <w:rPr>
                <w:rFonts w:hint="eastAsia" w:hAnsi="宋体"/>
                <w:kern w:val="0"/>
                <w:sz w:val="24"/>
              </w:rPr>
              <w:t>与项目仅间隔重庆均利密封公司，周边企业以汽车制造业为主，与项目周边环境相似，引用合理可行</w:t>
            </w:r>
            <w:r>
              <w:rPr>
                <w:rFonts w:hint="eastAsia"/>
                <w:sz w:val="24"/>
              </w:rPr>
              <w:t>。</w:t>
            </w:r>
          </w:p>
          <w:p w14:paraId="673BE454">
            <w:pPr>
              <w:pStyle w:val="166"/>
              <w:spacing w:line="360" w:lineRule="auto"/>
              <w:rPr>
                <w:rFonts w:hAnsi="Times New Roman"/>
                <w:bCs w:val="0"/>
              </w:rPr>
            </w:pPr>
            <w:r>
              <w:rPr>
                <w:rFonts w:hint="eastAsia" w:hAnsi="Times New Roman"/>
                <w:bCs w:val="0"/>
              </w:rPr>
              <w:t>（</w:t>
            </w:r>
            <w:r>
              <w:rPr>
                <w:rFonts w:hAnsi="Times New Roman"/>
                <w:bCs w:val="0"/>
              </w:rPr>
              <w:t>1</w:t>
            </w:r>
            <w:r>
              <w:rPr>
                <w:rFonts w:hint="eastAsia" w:hAnsi="Times New Roman"/>
                <w:bCs w:val="0"/>
              </w:rPr>
              <w:t>）监测布点：</w:t>
            </w:r>
            <w:r>
              <w:rPr>
                <w:rFonts w:hAnsi="Times New Roman"/>
                <w:bCs w:val="0"/>
              </w:rPr>
              <w:t>1</w:t>
            </w:r>
            <w:r>
              <w:rPr>
                <w:rFonts w:hint="eastAsia" w:hAnsi="Times New Roman"/>
                <w:bCs w:val="0"/>
              </w:rPr>
              <w:t>个监测点，取表层土样，</w:t>
            </w:r>
            <w:r>
              <w:rPr>
                <w:rFonts w:hAnsi="Times New Roman"/>
                <w:bCs w:val="0"/>
              </w:rPr>
              <w:t>T1</w:t>
            </w:r>
            <w:r>
              <w:rPr>
                <w:rFonts w:hint="eastAsia" w:hAnsi="Times New Roman"/>
                <w:bCs w:val="0"/>
              </w:rPr>
              <w:t>位于</w:t>
            </w:r>
            <w:r>
              <w:rPr>
                <w:rFonts w:hint="eastAsia"/>
              </w:rPr>
              <w:t>重庆万达薄板有限公司</w:t>
            </w:r>
            <w:r>
              <w:rPr>
                <w:rFonts w:hint="eastAsia" w:hAnsi="Times New Roman"/>
                <w:bCs w:val="0"/>
              </w:rPr>
              <w:t>场地内，</w:t>
            </w:r>
            <w:r>
              <w:rPr>
                <w:rFonts w:hint="eastAsia"/>
                <w:kern w:val="0"/>
              </w:rPr>
              <w:t>位于项目西北侧约</w:t>
            </w:r>
            <w:r>
              <w:rPr>
                <w:kern w:val="0"/>
              </w:rPr>
              <w:t>0.7km</w:t>
            </w:r>
            <w:r>
              <w:rPr>
                <w:rFonts w:hint="eastAsia"/>
                <w:kern w:val="0"/>
              </w:rPr>
              <w:t>处</w:t>
            </w:r>
            <w:r>
              <w:rPr>
                <w:rFonts w:hint="eastAsia" w:hAnsi="Times New Roman"/>
                <w:bCs w:val="0"/>
              </w:rPr>
              <w:t>；</w:t>
            </w:r>
          </w:p>
          <w:p w14:paraId="41A0BE7C">
            <w:pPr>
              <w:adjustRightInd w:val="0"/>
              <w:snapToGrid w:val="0"/>
              <w:spacing w:line="360" w:lineRule="auto"/>
              <w:ind w:firstLine="480" w:firstLineChars="200"/>
              <w:rPr>
                <w:sz w:val="24"/>
              </w:rPr>
            </w:pPr>
            <w:r>
              <w:rPr>
                <w:rFonts w:hint="eastAsia"/>
                <w:sz w:val="24"/>
              </w:rPr>
              <w:t>（</w:t>
            </w:r>
            <w:r>
              <w:rPr>
                <w:sz w:val="24"/>
              </w:rPr>
              <w:t>2</w:t>
            </w:r>
            <w:r>
              <w:rPr>
                <w:rFonts w:hint="eastAsia"/>
                <w:sz w:val="24"/>
              </w:rPr>
              <w:t>）监测项目：</w:t>
            </w:r>
            <w:r>
              <w:rPr>
                <w:sz w:val="24"/>
              </w:rPr>
              <w:t>pH</w:t>
            </w:r>
            <w:r>
              <w:rPr>
                <w:rFonts w:hint="eastAsia"/>
                <w:sz w:val="24"/>
              </w:rPr>
              <w:t>、镉、汞、砷、铜、铅、镍、（四氯化碳、氯仿、氯甲烷、</w:t>
            </w:r>
            <w:r>
              <w:rPr>
                <w:sz w:val="24"/>
              </w:rPr>
              <w:t>1,1-</w:t>
            </w:r>
            <w:r>
              <w:rPr>
                <w:rFonts w:hint="eastAsia"/>
                <w:sz w:val="24"/>
              </w:rPr>
              <w:t>二氯乙烷、</w:t>
            </w:r>
            <w:r>
              <w:rPr>
                <w:sz w:val="24"/>
              </w:rPr>
              <w:t>1,2-</w:t>
            </w:r>
            <w:r>
              <w:rPr>
                <w:rFonts w:hint="eastAsia"/>
                <w:sz w:val="24"/>
              </w:rPr>
              <w:t>二氯乙烷、</w:t>
            </w:r>
            <w:r>
              <w:rPr>
                <w:sz w:val="24"/>
              </w:rPr>
              <w:t>1,1-</w:t>
            </w:r>
            <w:r>
              <w:rPr>
                <w:rFonts w:hint="eastAsia"/>
                <w:sz w:val="24"/>
              </w:rPr>
              <w:t>二氯乙烯、顺</w:t>
            </w:r>
            <w:r>
              <w:rPr>
                <w:sz w:val="24"/>
              </w:rPr>
              <w:t>-1,2-</w:t>
            </w:r>
            <w:r>
              <w:rPr>
                <w:rFonts w:hint="eastAsia"/>
                <w:sz w:val="24"/>
              </w:rPr>
              <w:t>二氯乙烯、反</w:t>
            </w:r>
            <w:r>
              <w:rPr>
                <w:sz w:val="24"/>
              </w:rPr>
              <w:t>-1,2-</w:t>
            </w:r>
            <w:r>
              <w:rPr>
                <w:rFonts w:hint="eastAsia"/>
                <w:sz w:val="24"/>
              </w:rPr>
              <w:t>二氯乙烯、二氯甲烷、</w:t>
            </w:r>
            <w:r>
              <w:rPr>
                <w:sz w:val="24"/>
              </w:rPr>
              <w:t>1,2-</w:t>
            </w:r>
            <w:r>
              <w:rPr>
                <w:rFonts w:hint="eastAsia"/>
                <w:sz w:val="24"/>
              </w:rPr>
              <w:t>二氯丙烷、</w:t>
            </w:r>
            <w:r>
              <w:rPr>
                <w:sz w:val="24"/>
              </w:rPr>
              <w:t>1,1,1,2-</w:t>
            </w:r>
            <w:r>
              <w:rPr>
                <w:rFonts w:hint="eastAsia"/>
                <w:sz w:val="24"/>
              </w:rPr>
              <w:t>四氯乙烷、</w:t>
            </w:r>
            <w:r>
              <w:rPr>
                <w:sz w:val="24"/>
              </w:rPr>
              <w:t>1,1,2,2-</w:t>
            </w:r>
            <w:r>
              <w:rPr>
                <w:rFonts w:hint="eastAsia"/>
                <w:sz w:val="24"/>
              </w:rPr>
              <w:t>四氯乙烷、四氯乙烯、</w:t>
            </w:r>
            <w:r>
              <w:rPr>
                <w:sz w:val="24"/>
              </w:rPr>
              <w:t>1,1,1-</w:t>
            </w:r>
            <w:r>
              <w:rPr>
                <w:rFonts w:hint="eastAsia"/>
                <w:sz w:val="24"/>
              </w:rPr>
              <w:t>三氯乙烷、</w:t>
            </w:r>
            <w:r>
              <w:rPr>
                <w:sz w:val="24"/>
              </w:rPr>
              <w:t>1,1,2-</w:t>
            </w:r>
            <w:r>
              <w:rPr>
                <w:rFonts w:hint="eastAsia"/>
                <w:sz w:val="24"/>
              </w:rPr>
              <w:t>三氯乙烷、三氯乙烯、</w:t>
            </w:r>
            <w:r>
              <w:rPr>
                <w:sz w:val="24"/>
              </w:rPr>
              <w:t>1,2,3-</w:t>
            </w:r>
            <w:r>
              <w:rPr>
                <w:rFonts w:hint="eastAsia"/>
                <w:sz w:val="24"/>
              </w:rPr>
              <w:t>三氯丙烷、氯乙烯、苯、氯苯、</w:t>
            </w:r>
            <w:r>
              <w:rPr>
                <w:sz w:val="24"/>
              </w:rPr>
              <w:t>1,2-</w:t>
            </w:r>
            <w:r>
              <w:rPr>
                <w:rFonts w:hint="eastAsia"/>
                <w:sz w:val="24"/>
              </w:rPr>
              <w:t>二氯苯、</w:t>
            </w:r>
            <w:r>
              <w:rPr>
                <w:sz w:val="24"/>
              </w:rPr>
              <w:t>1,4-</w:t>
            </w:r>
            <w:r>
              <w:rPr>
                <w:rFonts w:hint="eastAsia"/>
                <w:sz w:val="24"/>
              </w:rPr>
              <w:t>二氯苯、乙苯、苯乙烯、甲苯、间二甲苯</w:t>
            </w:r>
            <w:r>
              <w:rPr>
                <w:sz w:val="24"/>
              </w:rPr>
              <w:t>+</w:t>
            </w:r>
            <w:r>
              <w:rPr>
                <w:rFonts w:hint="eastAsia"/>
                <w:sz w:val="24"/>
              </w:rPr>
              <w:t>对二甲苯、邻二甲苯、硝基苯、苯胺、</w:t>
            </w:r>
            <w:r>
              <w:rPr>
                <w:sz w:val="24"/>
              </w:rPr>
              <w:t>2-</w:t>
            </w:r>
            <w:r>
              <w:rPr>
                <w:rFonts w:hint="eastAsia"/>
                <w:sz w:val="24"/>
              </w:rPr>
              <w:t>氯酚、苯并〔</w:t>
            </w:r>
            <w:r>
              <w:rPr>
                <w:sz w:val="24"/>
              </w:rPr>
              <w:t>a</w:t>
            </w:r>
            <w:r>
              <w:rPr>
                <w:rFonts w:hint="eastAsia"/>
                <w:sz w:val="24"/>
              </w:rPr>
              <w:t>〕蒽、苯并〔</w:t>
            </w:r>
            <w:r>
              <w:rPr>
                <w:sz w:val="24"/>
              </w:rPr>
              <w:t>a</w:t>
            </w:r>
            <w:r>
              <w:rPr>
                <w:rFonts w:hint="eastAsia"/>
                <w:sz w:val="24"/>
              </w:rPr>
              <w:t>〕芘、苯并〔</w:t>
            </w:r>
            <w:r>
              <w:rPr>
                <w:sz w:val="24"/>
              </w:rPr>
              <w:t>b</w:t>
            </w:r>
            <w:r>
              <w:rPr>
                <w:rFonts w:hint="eastAsia"/>
                <w:sz w:val="24"/>
              </w:rPr>
              <w:t>〕荧蒽、苯并〔</w:t>
            </w:r>
            <w:r>
              <w:rPr>
                <w:sz w:val="24"/>
              </w:rPr>
              <w:t>k</w:t>
            </w:r>
            <w:r>
              <w:rPr>
                <w:rFonts w:hint="eastAsia"/>
                <w:sz w:val="24"/>
              </w:rPr>
              <w:t>〕荧蒽、䓛、二苯并〔</w:t>
            </w:r>
            <w:r>
              <w:rPr>
                <w:sz w:val="24"/>
              </w:rPr>
              <w:t>a,h</w:t>
            </w:r>
            <w:r>
              <w:rPr>
                <w:rFonts w:hint="eastAsia"/>
                <w:sz w:val="24"/>
              </w:rPr>
              <w:t>〕蒽、茚并〔</w:t>
            </w:r>
            <w:r>
              <w:rPr>
                <w:sz w:val="24"/>
              </w:rPr>
              <w:t>1,2,3-cd</w:t>
            </w:r>
            <w:r>
              <w:rPr>
                <w:rFonts w:hint="eastAsia"/>
                <w:sz w:val="24"/>
              </w:rPr>
              <w:t>〕芘、萘、六价铬；</w:t>
            </w:r>
          </w:p>
          <w:p w14:paraId="3F74DD94">
            <w:pPr>
              <w:pStyle w:val="166"/>
              <w:spacing w:line="360" w:lineRule="auto"/>
              <w:jc w:val="both"/>
              <w:rPr>
                <w:rFonts w:hAnsi="Times New Roman"/>
                <w:bCs w:val="0"/>
              </w:rPr>
            </w:pPr>
            <w:r>
              <w:rPr>
                <w:rFonts w:hint="eastAsia" w:hAnsi="Times New Roman"/>
                <w:bCs w:val="0"/>
              </w:rPr>
              <w:t>（</w:t>
            </w:r>
            <w:r>
              <w:rPr>
                <w:rFonts w:hAnsi="Times New Roman"/>
                <w:bCs w:val="0"/>
              </w:rPr>
              <w:t>3</w:t>
            </w:r>
            <w:r>
              <w:rPr>
                <w:rFonts w:hint="eastAsia" w:hAnsi="Times New Roman"/>
                <w:bCs w:val="0"/>
              </w:rPr>
              <w:t>）监测时间及监测频率：</w:t>
            </w:r>
            <w:r>
              <w:rPr>
                <w:rFonts w:hAnsi="Times New Roman"/>
                <w:bCs w:val="0"/>
              </w:rPr>
              <w:t>2021</w:t>
            </w:r>
            <w:r>
              <w:rPr>
                <w:rFonts w:hint="eastAsia" w:hAnsi="Times New Roman"/>
                <w:bCs w:val="0"/>
              </w:rPr>
              <w:t>年</w:t>
            </w:r>
            <w:r>
              <w:rPr>
                <w:rFonts w:hAnsi="Times New Roman"/>
                <w:bCs w:val="0"/>
              </w:rPr>
              <w:t>4</w:t>
            </w:r>
            <w:r>
              <w:rPr>
                <w:rFonts w:hint="eastAsia" w:hAnsi="Times New Roman"/>
                <w:bCs w:val="0"/>
              </w:rPr>
              <w:t>月</w:t>
            </w:r>
            <w:r>
              <w:rPr>
                <w:rFonts w:hAnsi="Times New Roman"/>
                <w:bCs w:val="0"/>
              </w:rPr>
              <w:t>12</w:t>
            </w:r>
            <w:r>
              <w:rPr>
                <w:rFonts w:hint="eastAsia" w:hAnsi="Times New Roman"/>
                <w:bCs w:val="0"/>
              </w:rPr>
              <w:t>日，监测</w:t>
            </w:r>
            <w:r>
              <w:rPr>
                <w:rFonts w:hAnsi="Times New Roman"/>
                <w:bCs w:val="0"/>
              </w:rPr>
              <w:t>1</w:t>
            </w:r>
            <w:r>
              <w:rPr>
                <w:rFonts w:hint="eastAsia" w:hAnsi="Times New Roman"/>
                <w:bCs w:val="0"/>
              </w:rPr>
              <w:t>次。</w:t>
            </w:r>
          </w:p>
          <w:p w14:paraId="281C5B5B">
            <w:pPr>
              <w:pStyle w:val="166"/>
              <w:spacing w:line="360" w:lineRule="auto"/>
              <w:jc w:val="both"/>
              <w:rPr>
                <w:rFonts w:hAnsi="Times New Roman"/>
                <w:bCs w:val="0"/>
              </w:rPr>
            </w:pPr>
            <w:r>
              <w:rPr>
                <w:rFonts w:hint="eastAsia" w:hAnsi="Times New Roman"/>
                <w:bCs w:val="0"/>
              </w:rPr>
              <w:t>（</w:t>
            </w:r>
            <w:r>
              <w:rPr>
                <w:rFonts w:hAnsi="Times New Roman"/>
                <w:bCs w:val="0"/>
              </w:rPr>
              <w:t>4</w:t>
            </w:r>
            <w:r>
              <w:rPr>
                <w:rFonts w:hint="eastAsia" w:hAnsi="Times New Roman"/>
                <w:bCs w:val="0"/>
              </w:rPr>
              <w:t>）评价标准：执行《土壤环境质量</w:t>
            </w:r>
            <w:r>
              <w:rPr>
                <w:rFonts w:hAnsi="Times New Roman"/>
                <w:bCs w:val="0"/>
              </w:rPr>
              <w:t xml:space="preserve"> </w:t>
            </w:r>
            <w:r>
              <w:rPr>
                <w:rFonts w:hint="eastAsia" w:hAnsi="Times New Roman"/>
                <w:bCs w:val="0"/>
              </w:rPr>
              <w:t>建设用地土壤污染风险管控标准（试行）》（</w:t>
            </w:r>
            <w:r>
              <w:rPr>
                <w:rFonts w:hAnsi="Times New Roman"/>
                <w:bCs w:val="0"/>
              </w:rPr>
              <w:t>GB36600-2018</w:t>
            </w:r>
            <w:r>
              <w:rPr>
                <w:rFonts w:hint="eastAsia" w:hAnsi="Times New Roman"/>
                <w:bCs w:val="0"/>
              </w:rPr>
              <w:t>）中建设用地土壤污染管控标准第二类用地筛选值。</w:t>
            </w:r>
          </w:p>
          <w:p w14:paraId="71C376EF">
            <w:pPr>
              <w:pStyle w:val="166"/>
              <w:spacing w:line="360" w:lineRule="auto"/>
              <w:jc w:val="both"/>
              <w:rPr>
                <w:rFonts w:hAnsi="Times New Roman"/>
                <w:bCs w:val="0"/>
              </w:rPr>
            </w:pPr>
            <w:r>
              <w:rPr>
                <w:rFonts w:hint="eastAsia" w:hAnsi="Times New Roman"/>
                <w:bCs w:val="0"/>
              </w:rPr>
              <w:t>（</w:t>
            </w:r>
            <w:r>
              <w:rPr>
                <w:rFonts w:hAnsi="Times New Roman"/>
                <w:bCs w:val="0"/>
              </w:rPr>
              <w:t>5</w:t>
            </w:r>
            <w:r>
              <w:rPr>
                <w:rFonts w:hint="eastAsia" w:hAnsi="Times New Roman"/>
                <w:bCs w:val="0"/>
              </w:rPr>
              <w:t>）监测及评价结果：详见表</w:t>
            </w:r>
            <w:r>
              <w:rPr>
                <w:rFonts w:hAnsi="Times New Roman"/>
                <w:bCs w:val="0"/>
              </w:rPr>
              <w:t>3-4</w:t>
            </w:r>
            <w:r>
              <w:rPr>
                <w:rFonts w:hint="eastAsia" w:hAnsi="Times New Roman"/>
                <w:bCs w:val="0"/>
              </w:rPr>
              <w:t>。</w:t>
            </w:r>
          </w:p>
          <w:p w14:paraId="614AC2D2">
            <w:pPr>
              <w:pStyle w:val="126"/>
              <w:ind w:left="105" w:right="105" w:firstLine="1200" w:firstLineChars="500"/>
              <w:jc w:val="center"/>
              <w:rPr>
                <w:rFonts w:ascii="Times New Roman" w:hAnsi="Times New Roman"/>
                <w:sz w:val="24"/>
                <w:szCs w:val="24"/>
              </w:rPr>
            </w:pPr>
            <w:r>
              <w:rPr>
                <w:rFonts w:hint="eastAsia" w:ascii="Times New Roman" w:hAnsi="Times New Roman"/>
                <w:sz w:val="24"/>
                <w:szCs w:val="24"/>
              </w:rPr>
              <w:t>表</w:t>
            </w:r>
            <w:r>
              <w:rPr>
                <w:rFonts w:ascii="Times New Roman" w:hAnsi="Times New Roman"/>
                <w:sz w:val="24"/>
                <w:szCs w:val="24"/>
              </w:rPr>
              <w:t xml:space="preserve">3-4  </w:t>
            </w:r>
            <w:r>
              <w:rPr>
                <w:rFonts w:hint="eastAsia" w:ascii="Times New Roman" w:hAnsi="Times New Roman"/>
                <w:sz w:val="24"/>
                <w:szCs w:val="24"/>
              </w:rPr>
              <w:t>土壤监测及评价结果一览表</w:t>
            </w:r>
            <w:r>
              <w:rPr>
                <w:rFonts w:ascii="Times New Roman" w:hAnsi="Times New Roman"/>
                <w:sz w:val="24"/>
                <w:szCs w:val="24"/>
              </w:rPr>
              <w:t xml:space="preserve">  </w:t>
            </w:r>
            <w:r>
              <w:rPr>
                <w:rFonts w:hint="eastAsia" w:ascii="Times New Roman" w:hAnsi="Times New Roman"/>
                <w:sz w:val="24"/>
                <w:szCs w:val="24"/>
              </w:rPr>
              <w:t>单位：</w:t>
            </w:r>
            <w:r>
              <w:rPr>
                <w:rFonts w:ascii="Times New Roman" w:hAnsi="Times New Roman"/>
                <w:sz w:val="24"/>
                <w:szCs w:val="24"/>
              </w:rPr>
              <w:t>mg/kg</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2017"/>
              <w:gridCol w:w="1779"/>
              <w:gridCol w:w="1912"/>
            </w:tblGrid>
            <w:tr w14:paraId="3C768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412" w:type="pct"/>
                  <w:vMerge w:val="restart"/>
                  <w:tcBorders>
                    <w:top w:val="single" w:color="auto" w:sz="8" w:space="0"/>
                    <w:left w:val="single" w:color="auto" w:sz="8" w:space="0"/>
                    <w:bottom w:val="single" w:color="auto" w:sz="4" w:space="0"/>
                    <w:right w:val="single" w:color="auto" w:sz="4" w:space="0"/>
                  </w:tcBorders>
                  <w:vAlign w:val="center"/>
                </w:tcPr>
                <w:p w14:paraId="68A7A2F2">
                  <w:pPr>
                    <w:pStyle w:val="177"/>
                    <w:spacing w:line="240" w:lineRule="auto"/>
                    <w:rPr>
                      <w:kern w:val="0"/>
                      <w:sz w:val="21"/>
                      <w:szCs w:val="21"/>
                    </w:rPr>
                  </w:pPr>
                  <w:r>
                    <w:rPr>
                      <w:rFonts w:hint="eastAsia"/>
                      <w:kern w:val="0"/>
                      <w:sz w:val="21"/>
                      <w:szCs w:val="21"/>
                    </w:rPr>
                    <w:t>监测项目</w:t>
                  </w:r>
                </w:p>
              </w:tc>
              <w:tc>
                <w:tcPr>
                  <w:tcW w:w="2386" w:type="pct"/>
                  <w:gridSpan w:val="2"/>
                  <w:tcBorders>
                    <w:top w:val="single" w:color="auto" w:sz="8" w:space="0"/>
                    <w:left w:val="single" w:color="auto" w:sz="4" w:space="0"/>
                    <w:bottom w:val="single" w:color="auto" w:sz="4" w:space="0"/>
                    <w:right w:val="single" w:color="auto" w:sz="4" w:space="0"/>
                  </w:tcBorders>
                  <w:vAlign w:val="center"/>
                </w:tcPr>
                <w:p w14:paraId="6751C0EA">
                  <w:pPr>
                    <w:pStyle w:val="177"/>
                    <w:spacing w:line="240" w:lineRule="auto"/>
                    <w:rPr>
                      <w:kern w:val="0"/>
                      <w:sz w:val="21"/>
                      <w:szCs w:val="21"/>
                    </w:rPr>
                  </w:pPr>
                  <w:r>
                    <w:rPr>
                      <w:kern w:val="0"/>
                      <w:sz w:val="21"/>
                      <w:szCs w:val="21"/>
                    </w:rPr>
                    <w:t>T1</w:t>
                  </w:r>
                </w:p>
              </w:tc>
              <w:tc>
                <w:tcPr>
                  <w:tcW w:w="1202" w:type="pct"/>
                  <w:vMerge w:val="restart"/>
                  <w:tcBorders>
                    <w:top w:val="single" w:color="auto" w:sz="8" w:space="0"/>
                    <w:left w:val="single" w:color="auto" w:sz="4" w:space="0"/>
                    <w:bottom w:val="single" w:color="auto" w:sz="4" w:space="0"/>
                    <w:right w:val="single" w:color="auto" w:sz="8" w:space="0"/>
                  </w:tcBorders>
                  <w:vAlign w:val="center"/>
                </w:tcPr>
                <w:p w14:paraId="3037B277">
                  <w:pPr>
                    <w:pStyle w:val="177"/>
                    <w:spacing w:line="240" w:lineRule="auto"/>
                    <w:rPr>
                      <w:kern w:val="0"/>
                      <w:sz w:val="21"/>
                      <w:szCs w:val="21"/>
                    </w:rPr>
                  </w:pPr>
                  <w:r>
                    <w:rPr>
                      <w:rFonts w:hint="eastAsia"/>
                      <w:sz w:val="21"/>
                      <w:szCs w:val="21"/>
                    </w:rPr>
                    <w:t>第二类用地筛选值</w:t>
                  </w:r>
                </w:p>
              </w:tc>
            </w:tr>
            <w:tr w14:paraId="48919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435" w:type="dxa"/>
                  <w:vMerge w:val="continue"/>
                  <w:tcBorders>
                    <w:top w:val="single" w:color="auto" w:sz="8" w:space="0"/>
                    <w:left w:val="single" w:color="auto" w:sz="8" w:space="0"/>
                    <w:bottom w:val="single" w:color="auto" w:sz="4" w:space="0"/>
                    <w:right w:val="single" w:color="auto" w:sz="4" w:space="0"/>
                  </w:tcBorders>
                  <w:vAlign w:val="center"/>
                </w:tcPr>
                <w:p w14:paraId="62EFEB95">
                  <w:pPr>
                    <w:widowControl/>
                    <w:jc w:val="left"/>
                    <w:rPr>
                      <w:kern w:val="0"/>
                      <w:szCs w:val="21"/>
                    </w:rPr>
                  </w:pPr>
                </w:p>
              </w:tc>
              <w:tc>
                <w:tcPr>
                  <w:tcW w:w="1268" w:type="pct"/>
                  <w:tcBorders>
                    <w:top w:val="single" w:color="auto" w:sz="4" w:space="0"/>
                    <w:left w:val="single" w:color="auto" w:sz="4" w:space="0"/>
                    <w:bottom w:val="single" w:color="auto" w:sz="4" w:space="0"/>
                    <w:right w:val="single" w:color="auto" w:sz="4" w:space="0"/>
                  </w:tcBorders>
                  <w:vAlign w:val="center"/>
                </w:tcPr>
                <w:p w14:paraId="1CD66A19">
                  <w:pPr>
                    <w:pStyle w:val="177"/>
                    <w:spacing w:line="240" w:lineRule="auto"/>
                    <w:rPr>
                      <w:kern w:val="0"/>
                      <w:sz w:val="21"/>
                      <w:szCs w:val="21"/>
                    </w:rPr>
                  </w:pPr>
                  <w:r>
                    <w:rPr>
                      <w:rFonts w:hint="eastAsia"/>
                      <w:kern w:val="0"/>
                      <w:sz w:val="21"/>
                      <w:szCs w:val="21"/>
                    </w:rPr>
                    <w:t>浓度值</w:t>
                  </w:r>
                </w:p>
              </w:tc>
              <w:tc>
                <w:tcPr>
                  <w:tcW w:w="1118" w:type="pct"/>
                  <w:tcBorders>
                    <w:top w:val="single" w:color="auto" w:sz="4" w:space="0"/>
                    <w:left w:val="single" w:color="auto" w:sz="4" w:space="0"/>
                    <w:bottom w:val="single" w:color="auto" w:sz="4" w:space="0"/>
                    <w:right w:val="single" w:color="auto" w:sz="4" w:space="0"/>
                  </w:tcBorders>
                  <w:vAlign w:val="center"/>
                </w:tcPr>
                <w:p w14:paraId="6613A5A4">
                  <w:pPr>
                    <w:pStyle w:val="177"/>
                    <w:spacing w:line="240" w:lineRule="auto"/>
                    <w:rPr>
                      <w:kern w:val="0"/>
                      <w:sz w:val="21"/>
                      <w:szCs w:val="21"/>
                    </w:rPr>
                  </w:pPr>
                  <w:r>
                    <w:rPr>
                      <w:kern w:val="0"/>
                      <w:sz w:val="21"/>
                      <w:szCs w:val="21"/>
                    </w:rPr>
                    <w:t>P1</w:t>
                  </w:r>
                </w:p>
              </w:tc>
              <w:tc>
                <w:tcPr>
                  <w:tcW w:w="2072" w:type="dxa"/>
                  <w:vMerge w:val="continue"/>
                  <w:tcBorders>
                    <w:top w:val="single" w:color="auto" w:sz="8" w:space="0"/>
                    <w:left w:val="single" w:color="auto" w:sz="4" w:space="0"/>
                    <w:bottom w:val="single" w:color="auto" w:sz="4" w:space="0"/>
                    <w:right w:val="single" w:color="auto" w:sz="8" w:space="0"/>
                  </w:tcBorders>
                  <w:vAlign w:val="center"/>
                </w:tcPr>
                <w:p w14:paraId="7029A407">
                  <w:pPr>
                    <w:widowControl/>
                    <w:jc w:val="left"/>
                    <w:rPr>
                      <w:kern w:val="0"/>
                      <w:szCs w:val="21"/>
                    </w:rPr>
                  </w:pPr>
                </w:p>
              </w:tc>
            </w:tr>
            <w:tr w14:paraId="147E1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FDB0731">
                  <w:pPr>
                    <w:pStyle w:val="177"/>
                    <w:spacing w:line="240" w:lineRule="auto"/>
                    <w:rPr>
                      <w:kern w:val="0"/>
                      <w:sz w:val="21"/>
                      <w:szCs w:val="21"/>
                    </w:rPr>
                  </w:pPr>
                  <w:r>
                    <w:rPr>
                      <w:kern w:val="0"/>
                      <w:sz w:val="21"/>
                      <w:szCs w:val="21"/>
                    </w:rPr>
                    <w:t>pH</w:t>
                  </w:r>
                </w:p>
              </w:tc>
              <w:tc>
                <w:tcPr>
                  <w:tcW w:w="1268" w:type="pct"/>
                  <w:tcBorders>
                    <w:top w:val="single" w:color="auto" w:sz="4" w:space="0"/>
                    <w:left w:val="single" w:color="auto" w:sz="4" w:space="0"/>
                    <w:bottom w:val="single" w:color="auto" w:sz="4" w:space="0"/>
                    <w:right w:val="single" w:color="auto" w:sz="4" w:space="0"/>
                  </w:tcBorders>
                  <w:vAlign w:val="center"/>
                </w:tcPr>
                <w:p w14:paraId="03CD7016">
                  <w:pPr>
                    <w:pStyle w:val="177"/>
                    <w:spacing w:line="240" w:lineRule="auto"/>
                    <w:rPr>
                      <w:kern w:val="0"/>
                      <w:sz w:val="21"/>
                      <w:szCs w:val="21"/>
                    </w:rPr>
                  </w:pPr>
                  <w:r>
                    <w:rPr>
                      <w:kern w:val="0"/>
                      <w:sz w:val="21"/>
                      <w:szCs w:val="21"/>
                    </w:rPr>
                    <w:t>7.6</w:t>
                  </w:r>
                </w:p>
              </w:tc>
              <w:tc>
                <w:tcPr>
                  <w:tcW w:w="1118" w:type="pct"/>
                  <w:tcBorders>
                    <w:top w:val="single" w:color="auto" w:sz="4" w:space="0"/>
                    <w:left w:val="single" w:color="auto" w:sz="4" w:space="0"/>
                    <w:bottom w:val="single" w:color="auto" w:sz="4" w:space="0"/>
                    <w:right w:val="single" w:color="auto" w:sz="4" w:space="0"/>
                  </w:tcBorders>
                  <w:vAlign w:val="center"/>
                </w:tcPr>
                <w:p w14:paraId="3DBA0760">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723628C5">
                  <w:pPr>
                    <w:pStyle w:val="177"/>
                    <w:spacing w:line="240" w:lineRule="auto"/>
                    <w:rPr>
                      <w:kern w:val="0"/>
                      <w:sz w:val="21"/>
                      <w:szCs w:val="21"/>
                    </w:rPr>
                  </w:pPr>
                  <w:r>
                    <w:rPr>
                      <w:kern w:val="0"/>
                      <w:sz w:val="21"/>
                      <w:szCs w:val="21"/>
                    </w:rPr>
                    <w:t>/</w:t>
                  </w:r>
                </w:p>
              </w:tc>
            </w:tr>
            <w:tr w14:paraId="44873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A80D36A">
                  <w:pPr>
                    <w:pStyle w:val="177"/>
                    <w:spacing w:line="240" w:lineRule="auto"/>
                    <w:rPr>
                      <w:kern w:val="0"/>
                      <w:sz w:val="21"/>
                      <w:szCs w:val="21"/>
                    </w:rPr>
                  </w:pPr>
                  <w:r>
                    <w:rPr>
                      <w:rFonts w:hint="eastAsia"/>
                      <w:kern w:val="0"/>
                      <w:sz w:val="21"/>
                      <w:szCs w:val="21"/>
                    </w:rPr>
                    <w:t>砷</w:t>
                  </w:r>
                </w:p>
              </w:tc>
              <w:tc>
                <w:tcPr>
                  <w:tcW w:w="1268" w:type="pct"/>
                  <w:tcBorders>
                    <w:top w:val="single" w:color="auto" w:sz="4" w:space="0"/>
                    <w:left w:val="single" w:color="auto" w:sz="4" w:space="0"/>
                    <w:bottom w:val="single" w:color="auto" w:sz="4" w:space="0"/>
                    <w:right w:val="single" w:color="auto" w:sz="4" w:space="0"/>
                  </w:tcBorders>
                  <w:vAlign w:val="center"/>
                </w:tcPr>
                <w:p w14:paraId="5AAA96B3">
                  <w:pPr>
                    <w:pStyle w:val="177"/>
                    <w:spacing w:line="240" w:lineRule="auto"/>
                    <w:rPr>
                      <w:kern w:val="0"/>
                      <w:sz w:val="21"/>
                      <w:szCs w:val="21"/>
                    </w:rPr>
                  </w:pPr>
                  <w:r>
                    <w:rPr>
                      <w:sz w:val="21"/>
                      <w:szCs w:val="21"/>
                    </w:rPr>
                    <w:t>3.77</w:t>
                  </w:r>
                </w:p>
              </w:tc>
              <w:tc>
                <w:tcPr>
                  <w:tcW w:w="1118" w:type="pct"/>
                  <w:tcBorders>
                    <w:top w:val="single" w:color="auto" w:sz="4" w:space="0"/>
                    <w:left w:val="single" w:color="auto" w:sz="4" w:space="0"/>
                    <w:bottom w:val="single" w:color="auto" w:sz="4" w:space="0"/>
                    <w:right w:val="single" w:color="auto" w:sz="4" w:space="0"/>
                  </w:tcBorders>
                  <w:vAlign w:val="center"/>
                </w:tcPr>
                <w:p w14:paraId="58F0DA2A">
                  <w:pPr>
                    <w:pStyle w:val="177"/>
                    <w:spacing w:line="240" w:lineRule="auto"/>
                    <w:rPr>
                      <w:kern w:val="0"/>
                      <w:sz w:val="21"/>
                      <w:szCs w:val="21"/>
                    </w:rPr>
                  </w:pPr>
                  <w:r>
                    <w:rPr>
                      <w:kern w:val="0"/>
                      <w:sz w:val="21"/>
                      <w:szCs w:val="21"/>
                    </w:rPr>
                    <w:t xml:space="preserve">0.063 </w:t>
                  </w:r>
                </w:p>
              </w:tc>
              <w:tc>
                <w:tcPr>
                  <w:tcW w:w="1202" w:type="pct"/>
                  <w:tcBorders>
                    <w:top w:val="single" w:color="auto" w:sz="4" w:space="0"/>
                    <w:left w:val="single" w:color="auto" w:sz="4" w:space="0"/>
                    <w:bottom w:val="single" w:color="auto" w:sz="4" w:space="0"/>
                    <w:right w:val="single" w:color="auto" w:sz="8" w:space="0"/>
                  </w:tcBorders>
                  <w:vAlign w:val="center"/>
                </w:tcPr>
                <w:p w14:paraId="083F6BEC">
                  <w:pPr>
                    <w:pStyle w:val="177"/>
                    <w:spacing w:line="240" w:lineRule="auto"/>
                    <w:rPr>
                      <w:kern w:val="0"/>
                      <w:sz w:val="21"/>
                      <w:szCs w:val="21"/>
                    </w:rPr>
                  </w:pPr>
                  <w:r>
                    <w:rPr>
                      <w:kern w:val="0"/>
                      <w:sz w:val="21"/>
                      <w:szCs w:val="21"/>
                    </w:rPr>
                    <w:t>60</w:t>
                  </w:r>
                </w:p>
              </w:tc>
            </w:tr>
            <w:tr w14:paraId="471D9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2821EB0D">
                  <w:pPr>
                    <w:pStyle w:val="177"/>
                    <w:spacing w:line="240" w:lineRule="auto"/>
                    <w:rPr>
                      <w:kern w:val="0"/>
                      <w:sz w:val="21"/>
                      <w:szCs w:val="21"/>
                    </w:rPr>
                  </w:pPr>
                  <w:r>
                    <w:rPr>
                      <w:rFonts w:hint="eastAsia"/>
                      <w:kern w:val="0"/>
                      <w:sz w:val="21"/>
                      <w:szCs w:val="21"/>
                    </w:rPr>
                    <w:t>镉</w:t>
                  </w:r>
                </w:p>
              </w:tc>
              <w:tc>
                <w:tcPr>
                  <w:tcW w:w="1268" w:type="pct"/>
                  <w:tcBorders>
                    <w:top w:val="single" w:color="auto" w:sz="4" w:space="0"/>
                    <w:left w:val="single" w:color="auto" w:sz="4" w:space="0"/>
                    <w:bottom w:val="single" w:color="auto" w:sz="4" w:space="0"/>
                    <w:right w:val="single" w:color="auto" w:sz="4" w:space="0"/>
                  </w:tcBorders>
                  <w:vAlign w:val="center"/>
                </w:tcPr>
                <w:p w14:paraId="1BFD94AC">
                  <w:pPr>
                    <w:pStyle w:val="177"/>
                    <w:spacing w:line="240" w:lineRule="auto"/>
                    <w:rPr>
                      <w:kern w:val="0"/>
                      <w:sz w:val="21"/>
                      <w:szCs w:val="21"/>
                    </w:rPr>
                  </w:pPr>
                  <w:r>
                    <w:rPr>
                      <w:kern w:val="0"/>
                      <w:sz w:val="21"/>
                      <w:szCs w:val="21"/>
                    </w:rPr>
                    <w:t>0.22</w:t>
                  </w:r>
                </w:p>
              </w:tc>
              <w:tc>
                <w:tcPr>
                  <w:tcW w:w="1118" w:type="pct"/>
                  <w:tcBorders>
                    <w:top w:val="single" w:color="auto" w:sz="4" w:space="0"/>
                    <w:left w:val="single" w:color="auto" w:sz="4" w:space="0"/>
                    <w:bottom w:val="single" w:color="auto" w:sz="4" w:space="0"/>
                    <w:right w:val="single" w:color="auto" w:sz="4" w:space="0"/>
                  </w:tcBorders>
                  <w:vAlign w:val="center"/>
                </w:tcPr>
                <w:p w14:paraId="44CE0655">
                  <w:pPr>
                    <w:pStyle w:val="177"/>
                    <w:spacing w:line="240" w:lineRule="auto"/>
                    <w:rPr>
                      <w:kern w:val="0"/>
                      <w:sz w:val="21"/>
                      <w:szCs w:val="21"/>
                    </w:rPr>
                  </w:pPr>
                  <w:r>
                    <w:rPr>
                      <w:kern w:val="0"/>
                      <w:sz w:val="21"/>
                      <w:szCs w:val="21"/>
                    </w:rPr>
                    <w:t xml:space="preserve">0.003 </w:t>
                  </w:r>
                </w:p>
              </w:tc>
              <w:tc>
                <w:tcPr>
                  <w:tcW w:w="1202" w:type="pct"/>
                  <w:tcBorders>
                    <w:top w:val="single" w:color="auto" w:sz="4" w:space="0"/>
                    <w:left w:val="single" w:color="auto" w:sz="4" w:space="0"/>
                    <w:bottom w:val="single" w:color="auto" w:sz="4" w:space="0"/>
                    <w:right w:val="single" w:color="auto" w:sz="8" w:space="0"/>
                  </w:tcBorders>
                  <w:vAlign w:val="center"/>
                </w:tcPr>
                <w:p w14:paraId="5D258434">
                  <w:pPr>
                    <w:pStyle w:val="177"/>
                    <w:spacing w:line="240" w:lineRule="auto"/>
                    <w:rPr>
                      <w:kern w:val="0"/>
                      <w:sz w:val="21"/>
                      <w:szCs w:val="21"/>
                    </w:rPr>
                  </w:pPr>
                  <w:r>
                    <w:rPr>
                      <w:kern w:val="0"/>
                      <w:sz w:val="21"/>
                      <w:szCs w:val="21"/>
                    </w:rPr>
                    <w:t>65</w:t>
                  </w:r>
                </w:p>
              </w:tc>
            </w:tr>
            <w:tr w14:paraId="05397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2C61AED6">
                  <w:pPr>
                    <w:pStyle w:val="177"/>
                    <w:spacing w:line="240" w:lineRule="auto"/>
                    <w:rPr>
                      <w:kern w:val="0"/>
                      <w:sz w:val="21"/>
                      <w:szCs w:val="21"/>
                    </w:rPr>
                  </w:pPr>
                  <w:r>
                    <w:rPr>
                      <w:rFonts w:hint="eastAsia"/>
                      <w:kern w:val="0"/>
                      <w:sz w:val="21"/>
                      <w:szCs w:val="21"/>
                    </w:rPr>
                    <w:t>铜</w:t>
                  </w:r>
                </w:p>
              </w:tc>
              <w:tc>
                <w:tcPr>
                  <w:tcW w:w="1268" w:type="pct"/>
                  <w:tcBorders>
                    <w:top w:val="single" w:color="auto" w:sz="4" w:space="0"/>
                    <w:left w:val="single" w:color="auto" w:sz="4" w:space="0"/>
                    <w:bottom w:val="single" w:color="auto" w:sz="4" w:space="0"/>
                    <w:right w:val="single" w:color="auto" w:sz="4" w:space="0"/>
                  </w:tcBorders>
                  <w:vAlign w:val="center"/>
                </w:tcPr>
                <w:p w14:paraId="3F8EAF14">
                  <w:pPr>
                    <w:pStyle w:val="177"/>
                    <w:spacing w:line="240" w:lineRule="auto"/>
                    <w:rPr>
                      <w:kern w:val="0"/>
                      <w:sz w:val="21"/>
                      <w:szCs w:val="21"/>
                    </w:rPr>
                  </w:pPr>
                  <w:r>
                    <w:rPr>
                      <w:kern w:val="0"/>
                      <w:sz w:val="21"/>
                      <w:szCs w:val="21"/>
                    </w:rPr>
                    <w:t>17</w:t>
                  </w:r>
                </w:p>
              </w:tc>
              <w:tc>
                <w:tcPr>
                  <w:tcW w:w="1118" w:type="pct"/>
                  <w:tcBorders>
                    <w:top w:val="single" w:color="auto" w:sz="4" w:space="0"/>
                    <w:left w:val="single" w:color="auto" w:sz="4" w:space="0"/>
                    <w:bottom w:val="single" w:color="auto" w:sz="4" w:space="0"/>
                    <w:right w:val="single" w:color="auto" w:sz="4" w:space="0"/>
                  </w:tcBorders>
                  <w:vAlign w:val="center"/>
                </w:tcPr>
                <w:p w14:paraId="3D1A659C">
                  <w:pPr>
                    <w:pStyle w:val="177"/>
                    <w:spacing w:line="240" w:lineRule="auto"/>
                    <w:rPr>
                      <w:kern w:val="0"/>
                      <w:sz w:val="21"/>
                      <w:szCs w:val="21"/>
                    </w:rPr>
                  </w:pPr>
                  <w:r>
                    <w:rPr>
                      <w:kern w:val="0"/>
                      <w:sz w:val="21"/>
                      <w:szCs w:val="21"/>
                    </w:rPr>
                    <w:t xml:space="preserve">0.001 </w:t>
                  </w:r>
                </w:p>
              </w:tc>
              <w:tc>
                <w:tcPr>
                  <w:tcW w:w="1202" w:type="pct"/>
                  <w:tcBorders>
                    <w:top w:val="single" w:color="auto" w:sz="4" w:space="0"/>
                    <w:left w:val="single" w:color="auto" w:sz="4" w:space="0"/>
                    <w:bottom w:val="single" w:color="auto" w:sz="4" w:space="0"/>
                    <w:right w:val="single" w:color="auto" w:sz="8" w:space="0"/>
                  </w:tcBorders>
                  <w:vAlign w:val="center"/>
                </w:tcPr>
                <w:p w14:paraId="3013F49E">
                  <w:pPr>
                    <w:pStyle w:val="177"/>
                    <w:spacing w:line="240" w:lineRule="auto"/>
                    <w:rPr>
                      <w:kern w:val="0"/>
                      <w:sz w:val="21"/>
                      <w:szCs w:val="21"/>
                    </w:rPr>
                  </w:pPr>
                  <w:r>
                    <w:rPr>
                      <w:kern w:val="0"/>
                      <w:sz w:val="21"/>
                      <w:szCs w:val="21"/>
                    </w:rPr>
                    <w:t>18000</w:t>
                  </w:r>
                </w:p>
              </w:tc>
            </w:tr>
            <w:tr w14:paraId="50220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2A77B9D">
                  <w:pPr>
                    <w:pStyle w:val="177"/>
                    <w:spacing w:line="240" w:lineRule="auto"/>
                    <w:rPr>
                      <w:kern w:val="0"/>
                      <w:sz w:val="21"/>
                      <w:szCs w:val="21"/>
                    </w:rPr>
                  </w:pPr>
                  <w:r>
                    <w:rPr>
                      <w:rFonts w:hint="eastAsia"/>
                      <w:kern w:val="0"/>
                      <w:sz w:val="21"/>
                      <w:szCs w:val="21"/>
                    </w:rPr>
                    <w:t>铅</w:t>
                  </w:r>
                </w:p>
              </w:tc>
              <w:tc>
                <w:tcPr>
                  <w:tcW w:w="1268" w:type="pct"/>
                  <w:tcBorders>
                    <w:top w:val="single" w:color="auto" w:sz="4" w:space="0"/>
                    <w:left w:val="single" w:color="auto" w:sz="4" w:space="0"/>
                    <w:bottom w:val="single" w:color="auto" w:sz="4" w:space="0"/>
                    <w:right w:val="single" w:color="auto" w:sz="4" w:space="0"/>
                  </w:tcBorders>
                  <w:vAlign w:val="center"/>
                </w:tcPr>
                <w:p w14:paraId="6E82F66B">
                  <w:pPr>
                    <w:pStyle w:val="177"/>
                    <w:spacing w:line="240" w:lineRule="auto"/>
                    <w:rPr>
                      <w:kern w:val="0"/>
                      <w:sz w:val="21"/>
                      <w:szCs w:val="21"/>
                    </w:rPr>
                  </w:pPr>
                  <w:r>
                    <w:rPr>
                      <w:kern w:val="0"/>
                      <w:sz w:val="21"/>
                      <w:szCs w:val="21"/>
                    </w:rPr>
                    <w:t>18</w:t>
                  </w:r>
                </w:p>
              </w:tc>
              <w:tc>
                <w:tcPr>
                  <w:tcW w:w="1118" w:type="pct"/>
                  <w:tcBorders>
                    <w:top w:val="single" w:color="auto" w:sz="4" w:space="0"/>
                    <w:left w:val="single" w:color="auto" w:sz="4" w:space="0"/>
                    <w:bottom w:val="single" w:color="auto" w:sz="4" w:space="0"/>
                    <w:right w:val="single" w:color="auto" w:sz="4" w:space="0"/>
                  </w:tcBorders>
                  <w:vAlign w:val="center"/>
                </w:tcPr>
                <w:p w14:paraId="72D81D05">
                  <w:pPr>
                    <w:pStyle w:val="177"/>
                    <w:spacing w:line="240" w:lineRule="auto"/>
                    <w:rPr>
                      <w:kern w:val="0"/>
                      <w:sz w:val="21"/>
                      <w:szCs w:val="21"/>
                    </w:rPr>
                  </w:pPr>
                  <w:r>
                    <w:rPr>
                      <w:kern w:val="0"/>
                      <w:sz w:val="21"/>
                      <w:szCs w:val="21"/>
                    </w:rPr>
                    <w:t xml:space="preserve">0.023 </w:t>
                  </w:r>
                </w:p>
              </w:tc>
              <w:tc>
                <w:tcPr>
                  <w:tcW w:w="1202" w:type="pct"/>
                  <w:tcBorders>
                    <w:top w:val="single" w:color="auto" w:sz="4" w:space="0"/>
                    <w:left w:val="single" w:color="auto" w:sz="4" w:space="0"/>
                    <w:bottom w:val="single" w:color="auto" w:sz="4" w:space="0"/>
                    <w:right w:val="single" w:color="auto" w:sz="8" w:space="0"/>
                  </w:tcBorders>
                  <w:vAlign w:val="center"/>
                </w:tcPr>
                <w:p w14:paraId="0137CC6A">
                  <w:pPr>
                    <w:pStyle w:val="177"/>
                    <w:spacing w:line="240" w:lineRule="auto"/>
                    <w:rPr>
                      <w:kern w:val="0"/>
                      <w:sz w:val="21"/>
                      <w:szCs w:val="21"/>
                    </w:rPr>
                  </w:pPr>
                  <w:r>
                    <w:rPr>
                      <w:kern w:val="0"/>
                      <w:sz w:val="21"/>
                      <w:szCs w:val="21"/>
                    </w:rPr>
                    <w:t>800</w:t>
                  </w:r>
                </w:p>
              </w:tc>
            </w:tr>
            <w:tr w14:paraId="44835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42DCB58F">
                  <w:pPr>
                    <w:pStyle w:val="177"/>
                    <w:spacing w:line="240" w:lineRule="auto"/>
                    <w:rPr>
                      <w:kern w:val="0"/>
                      <w:sz w:val="21"/>
                      <w:szCs w:val="21"/>
                    </w:rPr>
                  </w:pPr>
                  <w:r>
                    <w:rPr>
                      <w:rFonts w:hint="eastAsia"/>
                      <w:kern w:val="0"/>
                      <w:sz w:val="21"/>
                      <w:szCs w:val="21"/>
                    </w:rPr>
                    <w:t>汞</w:t>
                  </w:r>
                </w:p>
              </w:tc>
              <w:tc>
                <w:tcPr>
                  <w:tcW w:w="1268" w:type="pct"/>
                  <w:tcBorders>
                    <w:top w:val="single" w:color="auto" w:sz="4" w:space="0"/>
                    <w:left w:val="single" w:color="auto" w:sz="4" w:space="0"/>
                    <w:bottom w:val="single" w:color="auto" w:sz="4" w:space="0"/>
                    <w:right w:val="single" w:color="auto" w:sz="4" w:space="0"/>
                  </w:tcBorders>
                  <w:vAlign w:val="center"/>
                </w:tcPr>
                <w:p w14:paraId="6259AE84">
                  <w:pPr>
                    <w:pStyle w:val="177"/>
                    <w:spacing w:line="240" w:lineRule="auto"/>
                    <w:rPr>
                      <w:kern w:val="0"/>
                      <w:sz w:val="21"/>
                      <w:szCs w:val="21"/>
                    </w:rPr>
                  </w:pPr>
                  <w:r>
                    <w:rPr>
                      <w:kern w:val="0"/>
                      <w:sz w:val="21"/>
                      <w:szCs w:val="21"/>
                    </w:rPr>
                    <w:t>0.085</w:t>
                  </w:r>
                </w:p>
              </w:tc>
              <w:tc>
                <w:tcPr>
                  <w:tcW w:w="1118" w:type="pct"/>
                  <w:tcBorders>
                    <w:top w:val="single" w:color="auto" w:sz="4" w:space="0"/>
                    <w:left w:val="single" w:color="auto" w:sz="4" w:space="0"/>
                    <w:bottom w:val="single" w:color="auto" w:sz="4" w:space="0"/>
                    <w:right w:val="single" w:color="auto" w:sz="4" w:space="0"/>
                  </w:tcBorders>
                  <w:vAlign w:val="center"/>
                </w:tcPr>
                <w:p w14:paraId="6184A857">
                  <w:pPr>
                    <w:pStyle w:val="177"/>
                    <w:spacing w:line="240" w:lineRule="auto"/>
                    <w:rPr>
                      <w:kern w:val="0"/>
                      <w:sz w:val="21"/>
                      <w:szCs w:val="21"/>
                    </w:rPr>
                  </w:pPr>
                  <w:r>
                    <w:rPr>
                      <w:kern w:val="0"/>
                      <w:sz w:val="21"/>
                      <w:szCs w:val="21"/>
                    </w:rPr>
                    <w:t xml:space="preserve">0.002 </w:t>
                  </w:r>
                </w:p>
              </w:tc>
              <w:tc>
                <w:tcPr>
                  <w:tcW w:w="1202" w:type="pct"/>
                  <w:tcBorders>
                    <w:top w:val="single" w:color="auto" w:sz="4" w:space="0"/>
                    <w:left w:val="single" w:color="auto" w:sz="4" w:space="0"/>
                    <w:bottom w:val="single" w:color="auto" w:sz="4" w:space="0"/>
                    <w:right w:val="single" w:color="auto" w:sz="8" w:space="0"/>
                  </w:tcBorders>
                  <w:vAlign w:val="center"/>
                </w:tcPr>
                <w:p w14:paraId="18557B3F">
                  <w:pPr>
                    <w:pStyle w:val="177"/>
                    <w:spacing w:line="240" w:lineRule="auto"/>
                    <w:rPr>
                      <w:kern w:val="0"/>
                      <w:sz w:val="21"/>
                      <w:szCs w:val="21"/>
                    </w:rPr>
                  </w:pPr>
                  <w:r>
                    <w:rPr>
                      <w:kern w:val="0"/>
                      <w:sz w:val="21"/>
                      <w:szCs w:val="21"/>
                    </w:rPr>
                    <w:t>38</w:t>
                  </w:r>
                </w:p>
              </w:tc>
            </w:tr>
            <w:tr w14:paraId="471E5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0D54DFE">
                  <w:pPr>
                    <w:pStyle w:val="177"/>
                    <w:spacing w:line="240" w:lineRule="auto"/>
                    <w:rPr>
                      <w:kern w:val="0"/>
                      <w:sz w:val="21"/>
                      <w:szCs w:val="21"/>
                    </w:rPr>
                  </w:pPr>
                  <w:r>
                    <w:rPr>
                      <w:rFonts w:hint="eastAsia"/>
                      <w:kern w:val="0"/>
                      <w:sz w:val="21"/>
                      <w:szCs w:val="21"/>
                    </w:rPr>
                    <w:t>镍</w:t>
                  </w:r>
                </w:p>
              </w:tc>
              <w:tc>
                <w:tcPr>
                  <w:tcW w:w="1268" w:type="pct"/>
                  <w:tcBorders>
                    <w:top w:val="single" w:color="auto" w:sz="4" w:space="0"/>
                    <w:left w:val="single" w:color="auto" w:sz="4" w:space="0"/>
                    <w:bottom w:val="single" w:color="auto" w:sz="4" w:space="0"/>
                    <w:right w:val="single" w:color="auto" w:sz="4" w:space="0"/>
                  </w:tcBorders>
                  <w:vAlign w:val="center"/>
                </w:tcPr>
                <w:p w14:paraId="2F2570A4">
                  <w:pPr>
                    <w:pStyle w:val="177"/>
                    <w:spacing w:line="240" w:lineRule="auto"/>
                    <w:rPr>
                      <w:kern w:val="0"/>
                      <w:sz w:val="21"/>
                      <w:szCs w:val="21"/>
                    </w:rPr>
                  </w:pPr>
                  <w:r>
                    <w:rPr>
                      <w:kern w:val="0"/>
                      <w:sz w:val="21"/>
                      <w:szCs w:val="21"/>
                    </w:rPr>
                    <w:t>33</w:t>
                  </w:r>
                </w:p>
              </w:tc>
              <w:tc>
                <w:tcPr>
                  <w:tcW w:w="1118" w:type="pct"/>
                  <w:tcBorders>
                    <w:top w:val="single" w:color="auto" w:sz="4" w:space="0"/>
                    <w:left w:val="single" w:color="auto" w:sz="4" w:space="0"/>
                    <w:bottom w:val="single" w:color="auto" w:sz="4" w:space="0"/>
                    <w:right w:val="single" w:color="auto" w:sz="4" w:space="0"/>
                  </w:tcBorders>
                  <w:vAlign w:val="center"/>
                </w:tcPr>
                <w:p w14:paraId="12568E40">
                  <w:pPr>
                    <w:pStyle w:val="177"/>
                    <w:spacing w:line="240" w:lineRule="auto"/>
                    <w:rPr>
                      <w:kern w:val="0"/>
                      <w:sz w:val="21"/>
                      <w:szCs w:val="21"/>
                    </w:rPr>
                  </w:pPr>
                  <w:r>
                    <w:rPr>
                      <w:kern w:val="0"/>
                      <w:sz w:val="21"/>
                      <w:szCs w:val="21"/>
                    </w:rPr>
                    <w:t xml:space="preserve">0.037 </w:t>
                  </w:r>
                </w:p>
              </w:tc>
              <w:tc>
                <w:tcPr>
                  <w:tcW w:w="1202" w:type="pct"/>
                  <w:tcBorders>
                    <w:top w:val="single" w:color="auto" w:sz="4" w:space="0"/>
                    <w:left w:val="single" w:color="auto" w:sz="4" w:space="0"/>
                    <w:bottom w:val="single" w:color="auto" w:sz="4" w:space="0"/>
                    <w:right w:val="single" w:color="auto" w:sz="8" w:space="0"/>
                  </w:tcBorders>
                  <w:vAlign w:val="center"/>
                </w:tcPr>
                <w:p w14:paraId="7A4E351A">
                  <w:pPr>
                    <w:pStyle w:val="177"/>
                    <w:spacing w:line="240" w:lineRule="auto"/>
                    <w:rPr>
                      <w:kern w:val="0"/>
                      <w:sz w:val="21"/>
                      <w:szCs w:val="21"/>
                    </w:rPr>
                  </w:pPr>
                  <w:r>
                    <w:rPr>
                      <w:kern w:val="0"/>
                      <w:sz w:val="21"/>
                      <w:szCs w:val="21"/>
                    </w:rPr>
                    <w:t>900</w:t>
                  </w:r>
                </w:p>
              </w:tc>
            </w:tr>
            <w:tr w14:paraId="63A4D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BDEB05B">
                  <w:pPr>
                    <w:pStyle w:val="177"/>
                    <w:spacing w:line="240" w:lineRule="auto"/>
                    <w:rPr>
                      <w:kern w:val="0"/>
                      <w:sz w:val="21"/>
                      <w:szCs w:val="21"/>
                    </w:rPr>
                  </w:pPr>
                  <w:r>
                    <w:rPr>
                      <w:rFonts w:hint="eastAsia"/>
                      <w:kern w:val="0"/>
                      <w:sz w:val="21"/>
                      <w:szCs w:val="21"/>
                    </w:rPr>
                    <w:t>六价铬</w:t>
                  </w:r>
                </w:p>
              </w:tc>
              <w:tc>
                <w:tcPr>
                  <w:tcW w:w="1268" w:type="pct"/>
                  <w:tcBorders>
                    <w:top w:val="single" w:color="auto" w:sz="4" w:space="0"/>
                    <w:left w:val="single" w:color="auto" w:sz="4" w:space="0"/>
                    <w:bottom w:val="single" w:color="auto" w:sz="4" w:space="0"/>
                    <w:right w:val="single" w:color="auto" w:sz="4" w:space="0"/>
                  </w:tcBorders>
                  <w:vAlign w:val="center"/>
                </w:tcPr>
                <w:p w14:paraId="783561B3">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7D6DAA38">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39ADFB5">
                  <w:pPr>
                    <w:pStyle w:val="177"/>
                    <w:spacing w:line="240" w:lineRule="auto"/>
                    <w:rPr>
                      <w:kern w:val="0"/>
                      <w:sz w:val="21"/>
                      <w:szCs w:val="21"/>
                    </w:rPr>
                  </w:pPr>
                  <w:r>
                    <w:rPr>
                      <w:kern w:val="0"/>
                      <w:sz w:val="21"/>
                      <w:szCs w:val="21"/>
                    </w:rPr>
                    <w:t>5.7</w:t>
                  </w:r>
                </w:p>
              </w:tc>
            </w:tr>
            <w:tr w14:paraId="749E0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3AAF8E1">
                  <w:pPr>
                    <w:pStyle w:val="177"/>
                    <w:spacing w:line="240" w:lineRule="auto"/>
                    <w:rPr>
                      <w:kern w:val="0"/>
                      <w:sz w:val="21"/>
                      <w:szCs w:val="21"/>
                    </w:rPr>
                  </w:pPr>
                  <w:r>
                    <w:rPr>
                      <w:rFonts w:hint="eastAsia"/>
                      <w:kern w:val="0"/>
                      <w:sz w:val="21"/>
                      <w:szCs w:val="21"/>
                    </w:rPr>
                    <w:t>四氯化碳</w:t>
                  </w:r>
                </w:p>
              </w:tc>
              <w:tc>
                <w:tcPr>
                  <w:tcW w:w="1268" w:type="pct"/>
                  <w:tcBorders>
                    <w:top w:val="single" w:color="auto" w:sz="4" w:space="0"/>
                    <w:left w:val="single" w:color="auto" w:sz="4" w:space="0"/>
                    <w:bottom w:val="single" w:color="auto" w:sz="4" w:space="0"/>
                    <w:right w:val="single" w:color="auto" w:sz="4" w:space="0"/>
                  </w:tcBorders>
                  <w:vAlign w:val="center"/>
                </w:tcPr>
                <w:p w14:paraId="1224E85E">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0C639F02">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1866DF0B">
                  <w:pPr>
                    <w:pStyle w:val="177"/>
                    <w:spacing w:line="240" w:lineRule="auto"/>
                    <w:rPr>
                      <w:kern w:val="0"/>
                      <w:sz w:val="21"/>
                      <w:szCs w:val="21"/>
                    </w:rPr>
                  </w:pPr>
                  <w:r>
                    <w:rPr>
                      <w:kern w:val="0"/>
                      <w:sz w:val="21"/>
                      <w:szCs w:val="21"/>
                    </w:rPr>
                    <w:t>2.8</w:t>
                  </w:r>
                </w:p>
              </w:tc>
            </w:tr>
            <w:tr w14:paraId="3A748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3DBCD30C">
                  <w:pPr>
                    <w:pStyle w:val="177"/>
                    <w:spacing w:line="240" w:lineRule="auto"/>
                    <w:rPr>
                      <w:kern w:val="0"/>
                      <w:sz w:val="21"/>
                      <w:szCs w:val="21"/>
                    </w:rPr>
                  </w:pPr>
                  <w:r>
                    <w:rPr>
                      <w:rFonts w:hint="eastAsia"/>
                      <w:kern w:val="0"/>
                      <w:sz w:val="21"/>
                      <w:szCs w:val="21"/>
                    </w:rPr>
                    <w:t>氯仿</w:t>
                  </w:r>
                </w:p>
              </w:tc>
              <w:tc>
                <w:tcPr>
                  <w:tcW w:w="1268" w:type="pct"/>
                  <w:tcBorders>
                    <w:top w:val="single" w:color="auto" w:sz="4" w:space="0"/>
                    <w:left w:val="single" w:color="auto" w:sz="4" w:space="0"/>
                    <w:bottom w:val="single" w:color="auto" w:sz="4" w:space="0"/>
                    <w:right w:val="single" w:color="auto" w:sz="4" w:space="0"/>
                  </w:tcBorders>
                  <w:vAlign w:val="bottom"/>
                </w:tcPr>
                <w:p w14:paraId="1C1AD1B4">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21B815AA">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C99C6FD">
                  <w:pPr>
                    <w:pStyle w:val="177"/>
                    <w:spacing w:line="240" w:lineRule="auto"/>
                    <w:rPr>
                      <w:kern w:val="0"/>
                      <w:sz w:val="21"/>
                      <w:szCs w:val="21"/>
                    </w:rPr>
                  </w:pPr>
                  <w:r>
                    <w:rPr>
                      <w:kern w:val="0"/>
                      <w:sz w:val="21"/>
                      <w:szCs w:val="21"/>
                    </w:rPr>
                    <w:t>0.9</w:t>
                  </w:r>
                </w:p>
              </w:tc>
            </w:tr>
            <w:tr w14:paraId="6D06E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16627B9">
                  <w:pPr>
                    <w:pStyle w:val="177"/>
                    <w:spacing w:line="240" w:lineRule="auto"/>
                    <w:rPr>
                      <w:kern w:val="0"/>
                      <w:sz w:val="21"/>
                      <w:szCs w:val="21"/>
                    </w:rPr>
                  </w:pPr>
                  <w:r>
                    <w:rPr>
                      <w:rFonts w:hint="eastAsia"/>
                      <w:kern w:val="0"/>
                      <w:sz w:val="21"/>
                      <w:szCs w:val="21"/>
                    </w:rPr>
                    <w:t>氯甲烷</w:t>
                  </w:r>
                </w:p>
              </w:tc>
              <w:tc>
                <w:tcPr>
                  <w:tcW w:w="1268" w:type="pct"/>
                  <w:tcBorders>
                    <w:top w:val="single" w:color="auto" w:sz="4" w:space="0"/>
                    <w:left w:val="single" w:color="auto" w:sz="4" w:space="0"/>
                    <w:bottom w:val="single" w:color="auto" w:sz="4" w:space="0"/>
                    <w:right w:val="single" w:color="auto" w:sz="4" w:space="0"/>
                  </w:tcBorders>
                  <w:vAlign w:val="center"/>
                </w:tcPr>
                <w:p w14:paraId="170E8F39">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2A2B7F79">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153B111">
                  <w:pPr>
                    <w:pStyle w:val="177"/>
                    <w:spacing w:line="240" w:lineRule="auto"/>
                    <w:rPr>
                      <w:kern w:val="0"/>
                      <w:sz w:val="21"/>
                      <w:szCs w:val="21"/>
                    </w:rPr>
                  </w:pPr>
                  <w:r>
                    <w:rPr>
                      <w:kern w:val="0"/>
                      <w:sz w:val="21"/>
                      <w:szCs w:val="21"/>
                    </w:rPr>
                    <w:t>37</w:t>
                  </w:r>
                </w:p>
              </w:tc>
            </w:tr>
            <w:tr w14:paraId="7F96A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195EB099">
                  <w:pPr>
                    <w:pStyle w:val="177"/>
                    <w:spacing w:line="240" w:lineRule="auto"/>
                    <w:rPr>
                      <w:kern w:val="0"/>
                      <w:sz w:val="21"/>
                      <w:szCs w:val="21"/>
                    </w:rPr>
                  </w:pPr>
                  <w:r>
                    <w:rPr>
                      <w:kern w:val="0"/>
                      <w:sz w:val="21"/>
                      <w:szCs w:val="21"/>
                    </w:rPr>
                    <w:t>1,1-</w:t>
                  </w:r>
                  <w:r>
                    <w:rPr>
                      <w:rFonts w:hint="eastAsia"/>
                      <w:kern w:val="0"/>
                      <w:sz w:val="21"/>
                      <w:szCs w:val="21"/>
                    </w:rPr>
                    <w:t>二氯乙烷</w:t>
                  </w:r>
                </w:p>
              </w:tc>
              <w:tc>
                <w:tcPr>
                  <w:tcW w:w="1268" w:type="pct"/>
                  <w:tcBorders>
                    <w:top w:val="single" w:color="auto" w:sz="4" w:space="0"/>
                    <w:left w:val="single" w:color="auto" w:sz="4" w:space="0"/>
                    <w:bottom w:val="single" w:color="auto" w:sz="4" w:space="0"/>
                    <w:right w:val="single" w:color="auto" w:sz="4" w:space="0"/>
                  </w:tcBorders>
                  <w:vAlign w:val="center"/>
                </w:tcPr>
                <w:p w14:paraId="1A0CB6B2">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01389BD8">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587C8975">
                  <w:pPr>
                    <w:pStyle w:val="177"/>
                    <w:spacing w:line="240" w:lineRule="auto"/>
                    <w:rPr>
                      <w:kern w:val="0"/>
                      <w:sz w:val="21"/>
                      <w:szCs w:val="21"/>
                    </w:rPr>
                  </w:pPr>
                  <w:r>
                    <w:rPr>
                      <w:kern w:val="0"/>
                      <w:sz w:val="21"/>
                      <w:szCs w:val="21"/>
                    </w:rPr>
                    <w:t>9</w:t>
                  </w:r>
                </w:p>
              </w:tc>
            </w:tr>
            <w:tr w14:paraId="4602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332C84C7">
                  <w:pPr>
                    <w:pStyle w:val="177"/>
                    <w:spacing w:line="240" w:lineRule="auto"/>
                    <w:rPr>
                      <w:kern w:val="0"/>
                      <w:sz w:val="21"/>
                      <w:szCs w:val="21"/>
                    </w:rPr>
                  </w:pPr>
                  <w:r>
                    <w:rPr>
                      <w:kern w:val="0"/>
                      <w:sz w:val="21"/>
                      <w:szCs w:val="21"/>
                    </w:rPr>
                    <w:t>1,2-</w:t>
                  </w:r>
                  <w:r>
                    <w:rPr>
                      <w:rFonts w:hint="eastAsia"/>
                      <w:kern w:val="0"/>
                      <w:sz w:val="21"/>
                      <w:szCs w:val="21"/>
                    </w:rPr>
                    <w:t>二氯乙烷</w:t>
                  </w:r>
                </w:p>
              </w:tc>
              <w:tc>
                <w:tcPr>
                  <w:tcW w:w="1268" w:type="pct"/>
                  <w:tcBorders>
                    <w:top w:val="single" w:color="auto" w:sz="4" w:space="0"/>
                    <w:left w:val="single" w:color="auto" w:sz="4" w:space="0"/>
                    <w:bottom w:val="single" w:color="auto" w:sz="4" w:space="0"/>
                    <w:right w:val="single" w:color="auto" w:sz="4" w:space="0"/>
                  </w:tcBorders>
                </w:tcPr>
                <w:p w14:paraId="773C8C25">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43FD0285">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47758209">
                  <w:pPr>
                    <w:pStyle w:val="177"/>
                    <w:spacing w:line="240" w:lineRule="auto"/>
                    <w:rPr>
                      <w:kern w:val="0"/>
                      <w:sz w:val="21"/>
                      <w:szCs w:val="21"/>
                    </w:rPr>
                  </w:pPr>
                  <w:r>
                    <w:rPr>
                      <w:kern w:val="0"/>
                      <w:sz w:val="21"/>
                      <w:szCs w:val="21"/>
                    </w:rPr>
                    <w:t>5</w:t>
                  </w:r>
                </w:p>
              </w:tc>
            </w:tr>
            <w:tr w14:paraId="03204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FE92692">
                  <w:pPr>
                    <w:pStyle w:val="177"/>
                    <w:spacing w:line="240" w:lineRule="auto"/>
                    <w:rPr>
                      <w:kern w:val="0"/>
                      <w:sz w:val="21"/>
                      <w:szCs w:val="21"/>
                    </w:rPr>
                  </w:pPr>
                  <w:r>
                    <w:rPr>
                      <w:kern w:val="0"/>
                      <w:sz w:val="21"/>
                      <w:szCs w:val="21"/>
                    </w:rPr>
                    <w:t>1,1-</w:t>
                  </w:r>
                  <w:r>
                    <w:rPr>
                      <w:rFonts w:hint="eastAsia"/>
                      <w:kern w:val="0"/>
                      <w:sz w:val="21"/>
                      <w:szCs w:val="21"/>
                    </w:rPr>
                    <w:t>二氯乙烯</w:t>
                  </w:r>
                </w:p>
              </w:tc>
              <w:tc>
                <w:tcPr>
                  <w:tcW w:w="1268" w:type="pct"/>
                  <w:tcBorders>
                    <w:top w:val="single" w:color="auto" w:sz="4" w:space="0"/>
                    <w:left w:val="single" w:color="auto" w:sz="4" w:space="0"/>
                    <w:bottom w:val="single" w:color="auto" w:sz="4" w:space="0"/>
                    <w:right w:val="single" w:color="auto" w:sz="4" w:space="0"/>
                  </w:tcBorders>
                </w:tcPr>
                <w:p w14:paraId="791928CF">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593DC66A">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62B9371E">
                  <w:pPr>
                    <w:pStyle w:val="177"/>
                    <w:spacing w:line="240" w:lineRule="auto"/>
                    <w:rPr>
                      <w:kern w:val="0"/>
                      <w:sz w:val="21"/>
                      <w:szCs w:val="21"/>
                    </w:rPr>
                  </w:pPr>
                  <w:r>
                    <w:rPr>
                      <w:kern w:val="0"/>
                      <w:sz w:val="21"/>
                      <w:szCs w:val="21"/>
                    </w:rPr>
                    <w:t>66</w:t>
                  </w:r>
                </w:p>
              </w:tc>
            </w:tr>
            <w:tr w14:paraId="64D0F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7BE4674">
                  <w:pPr>
                    <w:pStyle w:val="177"/>
                    <w:spacing w:line="240" w:lineRule="auto"/>
                    <w:rPr>
                      <w:kern w:val="0"/>
                      <w:sz w:val="21"/>
                      <w:szCs w:val="21"/>
                    </w:rPr>
                  </w:pPr>
                  <w:r>
                    <w:rPr>
                      <w:rFonts w:hint="eastAsia"/>
                      <w:kern w:val="0"/>
                      <w:sz w:val="21"/>
                      <w:szCs w:val="21"/>
                    </w:rPr>
                    <w:t>顺</w:t>
                  </w:r>
                  <w:r>
                    <w:rPr>
                      <w:kern w:val="0"/>
                      <w:sz w:val="21"/>
                      <w:szCs w:val="21"/>
                    </w:rPr>
                    <w:t>-1,2-</w:t>
                  </w:r>
                  <w:r>
                    <w:rPr>
                      <w:rFonts w:hint="eastAsia"/>
                      <w:kern w:val="0"/>
                      <w:sz w:val="21"/>
                      <w:szCs w:val="21"/>
                    </w:rPr>
                    <w:t>二氯乙烯</w:t>
                  </w:r>
                </w:p>
              </w:tc>
              <w:tc>
                <w:tcPr>
                  <w:tcW w:w="1268" w:type="pct"/>
                  <w:tcBorders>
                    <w:top w:val="single" w:color="auto" w:sz="4" w:space="0"/>
                    <w:left w:val="single" w:color="auto" w:sz="4" w:space="0"/>
                    <w:bottom w:val="single" w:color="auto" w:sz="4" w:space="0"/>
                    <w:right w:val="single" w:color="auto" w:sz="4" w:space="0"/>
                  </w:tcBorders>
                </w:tcPr>
                <w:p w14:paraId="50696599">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3C8D3331">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6C418B5F">
                  <w:pPr>
                    <w:pStyle w:val="177"/>
                    <w:spacing w:line="240" w:lineRule="auto"/>
                    <w:rPr>
                      <w:kern w:val="0"/>
                      <w:sz w:val="21"/>
                      <w:szCs w:val="21"/>
                    </w:rPr>
                  </w:pPr>
                  <w:r>
                    <w:rPr>
                      <w:kern w:val="0"/>
                      <w:sz w:val="21"/>
                      <w:szCs w:val="21"/>
                    </w:rPr>
                    <w:t>596</w:t>
                  </w:r>
                </w:p>
              </w:tc>
            </w:tr>
            <w:tr w14:paraId="0800D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E6F7D77">
                  <w:pPr>
                    <w:pStyle w:val="177"/>
                    <w:spacing w:line="240" w:lineRule="auto"/>
                    <w:rPr>
                      <w:kern w:val="0"/>
                      <w:sz w:val="21"/>
                      <w:szCs w:val="21"/>
                    </w:rPr>
                  </w:pPr>
                  <w:r>
                    <w:rPr>
                      <w:rFonts w:hint="eastAsia"/>
                      <w:kern w:val="0"/>
                      <w:sz w:val="21"/>
                      <w:szCs w:val="21"/>
                    </w:rPr>
                    <w:t>反</w:t>
                  </w:r>
                  <w:r>
                    <w:rPr>
                      <w:kern w:val="0"/>
                      <w:sz w:val="21"/>
                      <w:szCs w:val="21"/>
                    </w:rPr>
                    <w:t>-1,2-</w:t>
                  </w:r>
                  <w:r>
                    <w:rPr>
                      <w:rFonts w:hint="eastAsia"/>
                      <w:kern w:val="0"/>
                      <w:sz w:val="21"/>
                      <w:szCs w:val="21"/>
                    </w:rPr>
                    <w:t>二氯乙烯</w:t>
                  </w:r>
                </w:p>
              </w:tc>
              <w:tc>
                <w:tcPr>
                  <w:tcW w:w="1268" w:type="pct"/>
                  <w:tcBorders>
                    <w:top w:val="single" w:color="auto" w:sz="4" w:space="0"/>
                    <w:left w:val="single" w:color="auto" w:sz="4" w:space="0"/>
                    <w:bottom w:val="single" w:color="auto" w:sz="4" w:space="0"/>
                    <w:right w:val="single" w:color="auto" w:sz="4" w:space="0"/>
                  </w:tcBorders>
                </w:tcPr>
                <w:p w14:paraId="3E95FAD4">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617A7678">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22D5866C">
                  <w:pPr>
                    <w:pStyle w:val="177"/>
                    <w:spacing w:line="240" w:lineRule="auto"/>
                    <w:rPr>
                      <w:kern w:val="0"/>
                      <w:sz w:val="21"/>
                      <w:szCs w:val="21"/>
                    </w:rPr>
                  </w:pPr>
                  <w:r>
                    <w:rPr>
                      <w:kern w:val="0"/>
                      <w:sz w:val="21"/>
                      <w:szCs w:val="21"/>
                    </w:rPr>
                    <w:t>54</w:t>
                  </w:r>
                </w:p>
              </w:tc>
            </w:tr>
            <w:tr w14:paraId="1F125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2B7359FF">
                  <w:pPr>
                    <w:pStyle w:val="177"/>
                    <w:spacing w:line="240" w:lineRule="auto"/>
                    <w:rPr>
                      <w:kern w:val="0"/>
                      <w:sz w:val="21"/>
                      <w:szCs w:val="21"/>
                    </w:rPr>
                  </w:pPr>
                  <w:r>
                    <w:rPr>
                      <w:rFonts w:hint="eastAsia"/>
                      <w:kern w:val="0"/>
                      <w:sz w:val="21"/>
                      <w:szCs w:val="21"/>
                    </w:rPr>
                    <w:t>二氯甲烷</w:t>
                  </w:r>
                </w:p>
              </w:tc>
              <w:tc>
                <w:tcPr>
                  <w:tcW w:w="1268" w:type="pct"/>
                  <w:tcBorders>
                    <w:top w:val="single" w:color="auto" w:sz="4" w:space="0"/>
                    <w:left w:val="single" w:color="auto" w:sz="4" w:space="0"/>
                    <w:bottom w:val="single" w:color="auto" w:sz="4" w:space="0"/>
                    <w:right w:val="single" w:color="auto" w:sz="4" w:space="0"/>
                  </w:tcBorders>
                </w:tcPr>
                <w:p w14:paraId="0BCEC5FD">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bottom"/>
                </w:tcPr>
                <w:p w14:paraId="0BA97116">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233FEC78">
                  <w:pPr>
                    <w:pStyle w:val="177"/>
                    <w:spacing w:line="240" w:lineRule="auto"/>
                    <w:rPr>
                      <w:kern w:val="0"/>
                      <w:sz w:val="21"/>
                      <w:szCs w:val="21"/>
                    </w:rPr>
                  </w:pPr>
                  <w:r>
                    <w:rPr>
                      <w:kern w:val="0"/>
                      <w:sz w:val="21"/>
                      <w:szCs w:val="21"/>
                    </w:rPr>
                    <w:t>616</w:t>
                  </w:r>
                </w:p>
              </w:tc>
            </w:tr>
            <w:tr w14:paraId="5B682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4C210FD5">
                  <w:pPr>
                    <w:pStyle w:val="177"/>
                    <w:spacing w:line="240" w:lineRule="auto"/>
                    <w:rPr>
                      <w:kern w:val="0"/>
                      <w:sz w:val="21"/>
                      <w:szCs w:val="21"/>
                    </w:rPr>
                  </w:pPr>
                  <w:r>
                    <w:rPr>
                      <w:kern w:val="0"/>
                      <w:sz w:val="21"/>
                      <w:szCs w:val="21"/>
                    </w:rPr>
                    <w:t>1,2-</w:t>
                  </w:r>
                  <w:r>
                    <w:rPr>
                      <w:rFonts w:hint="eastAsia"/>
                      <w:kern w:val="0"/>
                      <w:sz w:val="21"/>
                      <w:szCs w:val="21"/>
                    </w:rPr>
                    <w:t>二氯丙烷</w:t>
                  </w:r>
                </w:p>
              </w:tc>
              <w:tc>
                <w:tcPr>
                  <w:tcW w:w="1268" w:type="pct"/>
                  <w:tcBorders>
                    <w:top w:val="single" w:color="auto" w:sz="4" w:space="0"/>
                    <w:left w:val="single" w:color="auto" w:sz="4" w:space="0"/>
                    <w:bottom w:val="single" w:color="auto" w:sz="4" w:space="0"/>
                    <w:right w:val="single" w:color="auto" w:sz="4" w:space="0"/>
                  </w:tcBorders>
                </w:tcPr>
                <w:p w14:paraId="02D6D687">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4315FB22">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6315FBF7">
                  <w:pPr>
                    <w:pStyle w:val="177"/>
                    <w:spacing w:line="240" w:lineRule="auto"/>
                    <w:rPr>
                      <w:kern w:val="0"/>
                      <w:sz w:val="21"/>
                      <w:szCs w:val="21"/>
                    </w:rPr>
                  </w:pPr>
                  <w:r>
                    <w:rPr>
                      <w:kern w:val="0"/>
                      <w:sz w:val="21"/>
                      <w:szCs w:val="21"/>
                    </w:rPr>
                    <w:t>5</w:t>
                  </w:r>
                </w:p>
              </w:tc>
            </w:tr>
            <w:tr w14:paraId="46ECF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CA80454">
                  <w:pPr>
                    <w:pStyle w:val="177"/>
                    <w:spacing w:line="240" w:lineRule="auto"/>
                    <w:rPr>
                      <w:kern w:val="0"/>
                      <w:sz w:val="21"/>
                      <w:szCs w:val="21"/>
                    </w:rPr>
                  </w:pPr>
                  <w:r>
                    <w:rPr>
                      <w:kern w:val="0"/>
                      <w:sz w:val="21"/>
                      <w:szCs w:val="21"/>
                    </w:rPr>
                    <w:t>1,1,1,2-</w:t>
                  </w:r>
                  <w:r>
                    <w:rPr>
                      <w:rFonts w:hint="eastAsia"/>
                      <w:kern w:val="0"/>
                      <w:sz w:val="21"/>
                      <w:szCs w:val="21"/>
                    </w:rPr>
                    <w:t>四氯乙烷</w:t>
                  </w:r>
                </w:p>
              </w:tc>
              <w:tc>
                <w:tcPr>
                  <w:tcW w:w="1268" w:type="pct"/>
                  <w:tcBorders>
                    <w:top w:val="single" w:color="auto" w:sz="4" w:space="0"/>
                    <w:left w:val="single" w:color="auto" w:sz="4" w:space="0"/>
                    <w:bottom w:val="single" w:color="auto" w:sz="4" w:space="0"/>
                    <w:right w:val="single" w:color="auto" w:sz="4" w:space="0"/>
                  </w:tcBorders>
                </w:tcPr>
                <w:p w14:paraId="40C223BC">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tcPr>
                <w:p w14:paraId="719FE0A6">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43C41DC0">
                  <w:pPr>
                    <w:pStyle w:val="177"/>
                    <w:spacing w:line="240" w:lineRule="auto"/>
                    <w:rPr>
                      <w:kern w:val="0"/>
                      <w:sz w:val="21"/>
                      <w:szCs w:val="21"/>
                    </w:rPr>
                  </w:pPr>
                  <w:r>
                    <w:rPr>
                      <w:kern w:val="0"/>
                      <w:sz w:val="21"/>
                      <w:szCs w:val="21"/>
                    </w:rPr>
                    <w:t>10</w:t>
                  </w:r>
                </w:p>
              </w:tc>
            </w:tr>
            <w:tr w14:paraId="1FBDD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4E49E6E3">
                  <w:pPr>
                    <w:pStyle w:val="177"/>
                    <w:spacing w:line="240" w:lineRule="auto"/>
                    <w:rPr>
                      <w:kern w:val="0"/>
                      <w:sz w:val="21"/>
                      <w:szCs w:val="21"/>
                    </w:rPr>
                  </w:pPr>
                  <w:r>
                    <w:rPr>
                      <w:kern w:val="0"/>
                      <w:sz w:val="21"/>
                      <w:szCs w:val="21"/>
                    </w:rPr>
                    <w:t>1,1,2,2-</w:t>
                  </w:r>
                  <w:r>
                    <w:rPr>
                      <w:rFonts w:hint="eastAsia"/>
                      <w:kern w:val="0"/>
                      <w:sz w:val="21"/>
                      <w:szCs w:val="21"/>
                    </w:rPr>
                    <w:t>四氯乙烷</w:t>
                  </w:r>
                </w:p>
              </w:tc>
              <w:tc>
                <w:tcPr>
                  <w:tcW w:w="1268" w:type="pct"/>
                  <w:tcBorders>
                    <w:top w:val="single" w:color="auto" w:sz="4" w:space="0"/>
                    <w:left w:val="single" w:color="auto" w:sz="4" w:space="0"/>
                    <w:bottom w:val="single" w:color="auto" w:sz="4" w:space="0"/>
                    <w:right w:val="single" w:color="auto" w:sz="4" w:space="0"/>
                  </w:tcBorders>
                </w:tcPr>
                <w:p w14:paraId="2A3CD427">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tcPr>
                <w:p w14:paraId="4BB6C2D8">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56BA8FFA">
                  <w:pPr>
                    <w:pStyle w:val="177"/>
                    <w:spacing w:line="240" w:lineRule="auto"/>
                    <w:rPr>
                      <w:kern w:val="0"/>
                      <w:sz w:val="21"/>
                      <w:szCs w:val="21"/>
                    </w:rPr>
                  </w:pPr>
                  <w:r>
                    <w:rPr>
                      <w:kern w:val="0"/>
                      <w:sz w:val="21"/>
                      <w:szCs w:val="21"/>
                    </w:rPr>
                    <w:t>6.8</w:t>
                  </w:r>
                </w:p>
              </w:tc>
            </w:tr>
            <w:tr w14:paraId="79028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24B2E963">
                  <w:pPr>
                    <w:pStyle w:val="177"/>
                    <w:spacing w:line="240" w:lineRule="auto"/>
                    <w:rPr>
                      <w:kern w:val="0"/>
                      <w:sz w:val="21"/>
                      <w:szCs w:val="21"/>
                    </w:rPr>
                  </w:pPr>
                  <w:r>
                    <w:rPr>
                      <w:rFonts w:hint="eastAsia"/>
                      <w:kern w:val="0"/>
                      <w:sz w:val="21"/>
                      <w:szCs w:val="21"/>
                    </w:rPr>
                    <w:t>四氯乙烯</w:t>
                  </w:r>
                </w:p>
              </w:tc>
              <w:tc>
                <w:tcPr>
                  <w:tcW w:w="1268" w:type="pct"/>
                  <w:tcBorders>
                    <w:top w:val="single" w:color="auto" w:sz="4" w:space="0"/>
                    <w:left w:val="single" w:color="auto" w:sz="4" w:space="0"/>
                    <w:bottom w:val="single" w:color="auto" w:sz="4" w:space="0"/>
                    <w:right w:val="single" w:color="auto" w:sz="4" w:space="0"/>
                  </w:tcBorders>
                </w:tcPr>
                <w:p w14:paraId="0ADCE393">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bottom"/>
                </w:tcPr>
                <w:p w14:paraId="646159D5">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58515A51">
                  <w:pPr>
                    <w:pStyle w:val="177"/>
                    <w:spacing w:line="240" w:lineRule="auto"/>
                    <w:rPr>
                      <w:kern w:val="0"/>
                      <w:sz w:val="21"/>
                      <w:szCs w:val="21"/>
                    </w:rPr>
                  </w:pPr>
                  <w:r>
                    <w:rPr>
                      <w:kern w:val="0"/>
                      <w:sz w:val="21"/>
                      <w:szCs w:val="21"/>
                    </w:rPr>
                    <w:t>53</w:t>
                  </w:r>
                </w:p>
              </w:tc>
            </w:tr>
            <w:tr w14:paraId="36A55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2C385099">
                  <w:pPr>
                    <w:pStyle w:val="177"/>
                    <w:spacing w:line="240" w:lineRule="auto"/>
                    <w:rPr>
                      <w:kern w:val="0"/>
                      <w:sz w:val="21"/>
                      <w:szCs w:val="21"/>
                    </w:rPr>
                  </w:pPr>
                  <w:r>
                    <w:rPr>
                      <w:kern w:val="0"/>
                      <w:sz w:val="21"/>
                      <w:szCs w:val="21"/>
                    </w:rPr>
                    <w:t>1,1,1-</w:t>
                  </w:r>
                  <w:r>
                    <w:rPr>
                      <w:rFonts w:hint="eastAsia"/>
                      <w:kern w:val="0"/>
                      <w:sz w:val="21"/>
                      <w:szCs w:val="21"/>
                    </w:rPr>
                    <w:t>三氯乙烷</w:t>
                  </w:r>
                </w:p>
              </w:tc>
              <w:tc>
                <w:tcPr>
                  <w:tcW w:w="1268" w:type="pct"/>
                  <w:tcBorders>
                    <w:top w:val="single" w:color="auto" w:sz="4" w:space="0"/>
                    <w:left w:val="single" w:color="auto" w:sz="4" w:space="0"/>
                    <w:bottom w:val="single" w:color="auto" w:sz="4" w:space="0"/>
                    <w:right w:val="single" w:color="auto" w:sz="4" w:space="0"/>
                  </w:tcBorders>
                </w:tcPr>
                <w:p w14:paraId="5E1F5201">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tcPr>
                <w:p w14:paraId="5718B957">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0FFC0925">
                  <w:pPr>
                    <w:pStyle w:val="177"/>
                    <w:spacing w:line="240" w:lineRule="auto"/>
                    <w:rPr>
                      <w:kern w:val="0"/>
                      <w:sz w:val="21"/>
                      <w:szCs w:val="21"/>
                    </w:rPr>
                  </w:pPr>
                  <w:r>
                    <w:rPr>
                      <w:kern w:val="0"/>
                      <w:sz w:val="21"/>
                      <w:szCs w:val="21"/>
                    </w:rPr>
                    <w:t>840</w:t>
                  </w:r>
                </w:p>
              </w:tc>
            </w:tr>
            <w:tr w14:paraId="02952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EF7A08B">
                  <w:pPr>
                    <w:pStyle w:val="177"/>
                    <w:spacing w:line="240" w:lineRule="auto"/>
                    <w:rPr>
                      <w:kern w:val="0"/>
                      <w:sz w:val="21"/>
                      <w:szCs w:val="21"/>
                    </w:rPr>
                  </w:pPr>
                  <w:r>
                    <w:rPr>
                      <w:kern w:val="0"/>
                      <w:sz w:val="21"/>
                      <w:szCs w:val="21"/>
                    </w:rPr>
                    <w:t>1,1,2-</w:t>
                  </w:r>
                  <w:r>
                    <w:rPr>
                      <w:rFonts w:hint="eastAsia"/>
                      <w:kern w:val="0"/>
                      <w:sz w:val="21"/>
                      <w:szCs w:val="21"/>
                    </w:rPr>
                    <w:t>三氯乙烷</w:t>
                  </w:r>
                </w:p>
              </w:tc>
              <w:tc>
                <w:tcPr>
                  <w:tcW w:w="1268" w:type="pct"/>
                  <w:tcBorders>
                    <w:top w:val="single" w:color="auto" w:sz="4" w:space="0"/>
                    <w:left w:val="single" w:color="auto" w:sz="4" w:space="0"/>
                    <w:bottom w:val="single" w:color="auto" w:sz="4" w:space="0"/>
                    <w:right w:val="single" w:color="auto" w:sz="4" w:space="0"/>
                  </w:tcBorders>
                </w:tcPr>
                <w:p w14:paraId="74FFCEE9">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tcPr>
                <w:p w14:paraId="4BE40944">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52242DF0">
                  <w:pPr>
                    <w:pStyle w:val="177"/>
                    <w:spacing w:line="240" w:lineRule="auto"/>
                    <w:rPr>
                      <w:kern w:val="0"/>
                      <w:sz w:val="21"/>
                      <w:szCs w:val="21"/>
                    </w:rPr>
                  </w:pPr>
                  <w:r>
                    <w:rPr>
                      <w:kern w:val="0"/>
                      <w:sz w:val="21"/>
                      <w:szCs w:val="21"/>
                    </w:rPr>
                    <w:t>2.8</w:t>
                  </w:r>
                </w:p>
              </w:tc>
            </w:tr>
            <w:tr w14:paraId="2B545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6BA195A7">
                  <w:pPr>
                    <w:pStyle w:val="177"/>
                    <w:spacing w:line="240" w:lineRule="auto"/>
                    <w:rPr>
                      <w:kern w:val="0"/>
                      <w:sz w:val="21"/>
                      <w:szCs w:val="21"/>
                    </w:rPr>
                  </w:pPr>
                  <w:r>
                    <w:rPr>
                      <w:rFonts w:hint="eastAsia"/>
                      <w:kern w:val="0"/>
                      <w:sz w:val="21"/>
                      <w:szCs w:val="21"/>
                    </w:rPr>
                    <w:t>三氯乙烯</w:t>
                  </w:r>
                </w:p>
              </w:tc>
              <w:tc>
                <w:tcPr>
                  <w:tcW w:w="1268" w:type="pct"/>
                  <w:tcBorders>
                    <w:top w:val="single" w:color="auto" w:sz="4" w:space="0"/>
                    <w:left w:val="single" w:color="auto" w:sz="4" w:space="0"/>
                    <w:bottom w:val="single" w:color="auto" w:sz="4" w:space="0"/>
                    <w:right w:val="single" w:color="auto" w:sz="4" w:space="0"/>
                  </w:tcBorders>
                </w:tcPr>
                <w:p w14:paraId="7B0F066C">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tcPr>
                <w:p w14:paraId="03243797">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7592B978">
                  <w:pPr>
                    <w:pStyle w:val="177"/>
                    <w:spacing w:line="240" w:lineRule="auto"/>
                    <w:rPr>
                      <w:kern w:val="0"/>
                      <w:sz w:val="21"/>
                      <w:szCs w:val="21"/>
                    </w:rPr>
                  </w:pPr>
                  <w:r>
                    <w:rPr>
                      <w:kern w:val="0"/>
                      <w:sz w:val="21"/>
                      <w:szCs w:val="21"/>
                    </w:rPr>
                    <w:t>2.8</w:t>
                  </w:r>
                </w:p>
              </w:tc>
            </w:tr>
            <w:tr w14:paraId="3EBBB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EF492E5">
                  <w:pPr>
                    <w:pStyle w:val="177"/>
                    <w:spacing w:line="240" w:lineRule="auto"/>
                    <w:rPr>
                      <w:kern w:val="0"/>
                      <w:sz w:val="21"/>
                      <w:szCs w:val="21"/>
                    </w:rPr>
                  </w:pPr>
                  <w:r>
                    <w:rPr>
                      <w:kern w:val="0"/>
                      <w:sz w:val="21"/>
                      <w:szCs w:val="21"/>
                    </w:rPr>
                    <w:t>1,2,3-</w:t>
                  </w:r>
                  <w:r>
                    <w:rPr>
                      <w:rFonts w:hint="eastAsia"/>
                      <w:kern w:val="0"/>
                      <w:sz w:val="21"/>
                      <w:szCs w:val="21"/>
                    </w:rPr>
                    <w:t>三氯丙烷</w:t>
                  </w:r>
                </w:p>
              </w:tc>
              <w:tc>
                <w:tcPr>
                  <w:tcW w:w="1268" w:type="pct"/>
                  <w:tcBorders>
                    <w:top w:val="single" w:color="auto" w:sz="4" w:space="0"/>
                    <w:left w:val="single" w:color="auto" w:sz="4" w:space="0"/>
                    <w:bottom w:val="single" w:color="auto" w:sz="4" w:space="0"/>
                    <w:right w:val="single" w:color="auto" w:sz="4" w:space="0"/>
                  </w:tcBorders>
                </w:tcPr>
                <w:p w14:paraId="767518E7">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tcPr>
                <w:p w14:paraId="56DA477D">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71DCF48">
                  <w:pPr>
                    <w:pStyle w:val="177"/>
                    <w:spacing w:line="240" w:lineRule="auto"/>
                    <w:rPr>
                      <w:kern w:val="0"/>
                      <w:sz w:val="21"/>
                      <w:szCs w:val="21"/>
                    </w:rPr>
                  </w:pPr>
                  <w:r>
                    <w:rPr>
                      <w:kern w:val="0"/>
                      <w:sz w:val="21"/>
                      <w:szCs w:val="21"/>
                    </w:rPr>
                    <w:t>0.5</w:t>
                  </w:r>
                </w:p>
              </w:tc>
            </w:tr>
            <w:tr w14:paraId="62769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697C757F">
                  <w:pPr>
                    <w:pStyle w:val="177"/>
                    <w:spacing w:line="240" w:lineRule="auto"/>
                    <w:rPr>
                      <w:kern w:val="0"/>
                      <w:sz w:val="21"/>
                      <w:szCs w:val="21"/>
                    </w:rPr>
                  </w:pPr>
                  <w:r>
                    <w:rPr>
                      <w:rFonts w:hint="eastAsia"/>
                      <w:kern w:val="0"/>
                      <w:sz w:val="21"/>
                      <w:szCs w:val="21"/>
                    </w:rPr>
                    <w:t>氯乙烯</w:t>
                  </w:r>
                </w:p>
              </w:tc>
              <w:tc>
                <w:tcPr>
                  <w:tcW w:w="1268" w:type="pct"/>
                  <w:tcBorders>
                    <w:top w:val="single" w:color="auto" w:sz="4" w:space="0"/>
                    <w:left w:val="single" w:color="auto" w:sz="4" w:space="0"/>
                    <w:bottom w:val="single" w:color="auto" w:sz="4" w:space="0"/>
                    <w:right w:val="single" w:color="auto" w:sz="4" w:space="0"/>
                  </w:tcBorders>
                </w:tcPr>
                <w:p w14:paraId="06B06708">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64003037">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5E7545FD">
                  <w:pPr>
                    <w:pStyle w:val="177"/>
                    <w:spacing w:line="240" w:lineRule="auto"/>
                    <w:rPr>
                      <w:kern w:val="0"/>
                      <w:sz w:val="21"/>
                      <w:szCs w:val="21"/>
                    </w:rPr>
                  </w:pPr>
                  <w:r>
                    <w:rPr>
                      <w:kern w:val="0"/>
                      <w:sz w:val="21"/>
                      <w:szCs w:val="21"/>
                    </w:rPr>
                    <w:t>0.43</w:t>
                  </w:r>
                </w:p>
              </w:tc>
            </w:tr>
            <w:tr w14:paraId="14A97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6F78D2E">
                  <w:pPr>
                    <w:pStyle w:val="177"/>
                    <w:spacing w:line="240" w:lineRule="auto"/>
                    <w:rPr>
                      <w:kern w:val="0"/>
                      <w:sz w:val="21"/>
                      <w:szCs w:val="21"/>
                    </w:rPr>
                  </w:pPr>
                  <w:r>
                    <w:rPr>
                      <w:rFonts w:hint="eastAsia"/>
                      <w:kern w:val="0"/>
                      <w:sz w:val="21"/>
                      <w:szCs w:val="21"/>
                    </w:rPr>
                    <w:t>苯</w:t>
                  </w:r>
                </w:p>
              </w:tc>
              <w:tc>
                <w:tcPr>
                  <w:tcW w:w="1268" w:type="pct"/>
                  <w:tcBorders>
                    <w:top w:val="single" w:color="auto" w:sz="4" w:space="0"/>
                    <w:left w:val="single" w:color="auto" w:sz="4" w:space="0"/>
                    <w:bottom w:val="single" w:color="auto" w:sz="4" w:space="0"/>
                    <w:right w:val="single" w:color="auto" w:sz="4" w:space="0"/>
                  </w:tcBorders>
                </w:tcPr>
                <w:p w14:paraId="0C9ED9A0">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720E319F">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0E0F7860">
                  <w:pPr>
                    <w:pStyle w:val="177"/>
                    <w:spacing w:line="240" w:lineRule="auto"/>
                    <w:rPr>
                      <w:kern w:val="0"/>
                      <w:sz w:val="21"/>
                      <w:szCs w:val="21"/>
                    </w:rPr>
                  </w:pPr>
                  <w:r>
                    <w:rPr>
                      <w:kern w:val="0"/>
                      <w:sz w:val="21"/>
                      <w:szCs w:val="21"/>
                    </w:rPr>
                    <w:t>4</w:t>
                  </w:r>
                </w:p>
              </w:tc>
            </w:tr>
            <w:tr w14:paraId="2369B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CECCE04">
                  <w:pPr>
                    <w:pStyle w:val="177"/>
                    <w:spacing w:line="240" w:lineRule="auto"/>
                    <w:rPr>
                      <w:kern w:val="0"/>
                      <w:sz w:val="21"/>
                      <w:szCs w:val="21"/>
                    </w:rPr>
                  </w:pPr>
                  <w:r>
                    <w:rPr>
                      <w:rFonts w:hint="eastAsia"/>
                      <w:kern w:val="0"/>
                      <w:sz w:val="21"/>
                      <w:szCs w:val="21"/>
                    </w:rPr>
                    <w:t>氯苯</w:t>
                  </w:r>
                </w:p>
              </w:tc>
              <w:tc>
                <w:tcPr>
                  <w:tcW w:w="1268" w:type="pct"/>
                  <w:tcBorders>
                    <w:top w:val="single" w:color="auto" w:sz="4" w:space="0"/>
                    <w:left w:val="single" w:color="auto" w:sz="4" w:space="0"/>
                    <w:bottom w:val="single" w:color="auto" w:sz="4" w:space="0"/>
                    <w:right w:val="single" w:color="auto" w:sz="4" w:space="0"/>
                  </w:tcBorders>
                </w:tcPr>
                <w:p w14:paraId="21CC9BB1">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549248C0">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1D0D60E0">
                  <w:pPr>
                    <w:pStyle w:val="177"/>
                    <w:spacing w:line="240" w:lineRule="auto"/>
                    <w:rPr>
                      <w:kern w:val="0"/>
                      <w:sz w:val="21"/>
                      <w:szCs w:val="21"/>
                    </w:rPr>
                  </w:pPr>
                  <w:r>
                    <w:rPr>
                      <w:kern w:val="0"/>
                      <w:sz w:val="21"/>
                      <w:szCs w:val="21"/>
                    </w:rPr>
                    <w:t>270</w:t>
                  </w:r>
                </w:p>
              </w:tc>
            </w:tr>
            <w:tr w14:paraId="78E30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CD8A363">
                  <w:pPr>
                    <w:pStyle w:val="177"/>
                    <w:spacing w:line="240" w:lineRule="auto"/>
                    <w:rPr>
                      <w:kern w:val="0"/>
                      <w:sz w:val="21"/>
                      <w:szCs w:val="21"/>
                    </w:rPr>
                  </w:pPr>
                  <w:r>
                    <w:rPr>
                      <w:kern w:val="0"/>
                      <w:sz w:val="21"/>
                      <w:szCs w:val="21"/>
                    </w:rPr>
                    <w:t>1,2-</w:t>
                  </w:r>
                  <w:r>
                    <w:rPr>
                      <w:rFonts w:hint="eastAsia"/>
                      <w:kern w:val="0"/>
                      <w:sz w:val="21"/>
                      <w:szCs w:val="21"/>
                    </w:rPr>
                    <w:t>二氯苯</w:t>
                  </w:r>
                </w:p>
              </w:tc>
              <w:tc>
                <w:tcPr>
                  <w:tcW w:w="1268" w:type="pct"/>
                  <w:tcBorders>
                    <w:top w:val="single" w:color="auto" w:sz="4" w:space="0"/>
                    <w:left w:val="single" w:color="auto" w:sz="4" w:space="0"/>
                    <w:bottom w:val="single" w:color="auto" w:sz="4" w:space="0"/>
                    <w:right w:val="single" w:color="auto" w:sz="4" w:space="0"/>
                  </w:tcBorders>
                </w:tcPr>
                <w:p w14:paraId="1DC83E2E">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7B00AB3B">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104C436B">
                  <w:pPr>
                    <w:pStyle w:val="177"/>
                    <w:spacing w:line="240" w:lineRule="auto"/>
                    <w:rPr>
                      <w:kern w:val="0"/>
                      <w:sz w:val="21"/>
                      <w:szCs w:val="21"/>
                    </w:rPr>
                  </w:pPr>
                  <w:r>
                    <w:rPr>
                      <w:kern w:val="0"/>
                      <w:sz w:val="21"/>
                      <w:szCs w:val="21"/>
                    </w:rPr>
                    <w:t>560</w:t>
                  </w:r>
                </w:p>
              </w:tc>
            </w:tr>
            <w:tr w14:paraId="57CCD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87D41D9">
                  <w:pPr>
                    <w:pStyle w:val="177"/>
                    <w:spacing w:line="240" w:lineRule="auto"/>
                    <w:rPr>
                      <w:kern w:val="0"/>
                      <w:sz w:val="21"/>
                      <w:szCs w:val="21"/>
                    </w:rPr>
                  </w:pPr>
                  <w:r>
                    <w:rPr>
                      <w:kern w:val="0"/>
                      <w:sz w:val="21"/>
                      <w:szCs w:val="21"/>
                    </w:rPr>
                    <w:t>1,4-</w:t>
                  </w:r>
                  <w:r>
                    <w:rPr>
                      <w:rFonts w:hint="eastAsia"/>
                      <w:kern w:val="0"/>
                      <w:sz w:val="21"/>
                      <w:szCs w:val="21"/>
                    </w:rPr>
                    <w:t>二氯苯</w:t>
                  </w:r>
                </w:p>
              </w:tc>
              <w:tc>
                <w:tcPr>
                  <w:tcW w:w="1268" w:type="pct"/>
                  <w:tcBorders>
                    <w:top w:val="single" w:color="auto" w:sz="4" w:space="0"/>
                    <w:left w:val="single" w:color="auto" w:sz="4" w:space="0"/>
                    <w:bottom w:val="single" w:color="auto" w:sz="4" w:space="0"/>
                    <w:right w:val="single" w:color="auto" w:sz="4" w:space="0"/>
                  </w:tcBorders>
                </w:tcPr>
                <w:p w14:paraId="6BA09957">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124C8F2E">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FCE6E8B">
                  <w:pPr>
                    <w:pStyle w:val="177"/>
                    <w:spacing w:line="240" w:lineRule="auto"/>
                    <w:rPr>
                      <w:kern w:val="0"/>
                      <w:sz w:val="21"/>
                      <w:szCs w:val="21"/>
                    </w:rPr>
                  </w:pPr>
                  <w:r>
                    <w:rPr>
                      <w:kern w:val="0"/>
                      <w:sz w:val="21"/>
                      <w:szCs w:val="21"/>
                    </w:rPr>
                    <w:t>20</w:t>
                  </w:r>
                </w:p>
              </w:tc>
            </w:tr>
            <w:tr w14:paraId="39711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7D68D4D">
                  <w:pPr>
                    <w:pStyle w:val="177"/>
                    <w:spacing w:line="240" w:lineRule="auto"/>
                    <w:rPr>
                      <w:kern w:val="0"/>
                      <w:sz w:val="21"/>
                      <w:szCs w:val="21"/>
                    </w:rPr>
                  </w:pPr>
                  <w:r>
                    <w:rPr>
                      <w:rFonts w:hint="eastAsia"/>
                      <w:kern w:val="0"/>
                      <w:sz w:val="21"/>
                      <w:szCs w:val="21"/>
                    </w:rPr>
                    <w:t>乙苯</w:t>
                  </w:r>
                </w:p>
              </w:tc>
              <w:tc>
                <w:tcPr>
                  <w:tcW w:w="1268" w:type="pct"/>
                  <w:tcBorders>
                    <w:top w:val="single" w:color="auto" w:sz="4" w:space="0"/>
                    <w:left w:val="single" w:color="auto" w:sz="4" w:space="0"/>
                    <w:bottom w:val="single" w:color="auto" w:sz="4" w:space="0"/>
                    <w:right w:val="single" w:color="auto" w:sz="4" w:space="0"/>
                  </w:tcBorders>
                </w:tcPr>
                <w:p w14:paraId="541789DE">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3B6C3A15">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E669F51">
                  <w:pPr>
                    <w:pStyle w:val="177"/>
                    <w:spacing w:line="240" w:lineRule="auto"/>
                    <w:rPr>
                      <w:kern w:val="0"/>
                      <w:sz w:val="21"/>
                      <w:szCs w:val="21"/>
                    </w:rPr>
                  </w:pPr>
                  <w:r>
                    <w:rPr>
                      <w:kern w:val="0"/>
                      <w:sz w:val="21"/>
                      <w:szCs w:val="21"/>
                    </w:rPr>
                    <w:t>28</w:t>
                  </w:r>
                </w:p>
              </w:tc>
            </w:tr>
            <w:tr w14:paraId="1FBED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E743850">
                  <w:pPr>
                    <w:pStyle w:val="177"/>
                    <w:spacing w:line="240" w:lineRule="auto"/>
                    <w:rPr>
                      <w:kern w:val="0"/>
                      <w:sz w:val="21"/>
                      <w:szCs w:val="21"/>
                    </w:rPr>
                  </w:pPr>
                  <w:r>
                    <w:rPr>
                      <w:rFonts w:hint="eastAsia"/>
                      <w:kern w:val="0"/>
                      <w:sz w:val="21"/>
                      <w:szCs w:val="21"/>
                    </w:rPr>
                    <w:t>苯乙烯</w:t>
                  </w:r>
                </w:p>
              </w:tc>
              <w:tc>
                <w:tcPr>
                  <w:tcW w:w="1268" w:type="pct"/>
                  <w:tcBorders>
                    <w:top w:val="single" w:color="auto" w:sz="4" w:space="0"/>
                    <w:left w:val="single" w:color="auto" w:sz="4" w:space="0"/>
                    <w:bottom w:val="single" w:color="auto" w:sz="4" w:space="0"/>
                    <w:right w:val="single" w:color="auto" w:sz="4" w:space="0"/>
                  </w:tcBorders>
                </w:tcPr>
                <w:p w14:paraId="7A190F0F">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38BC4874">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74C777D">
                  <w:pPr>
                    <w:pStyle w:val="177"/>
                    <w:spacing w:line="240" w:lineRule="auto"/>
                    <w:rPr>
                      <w:kern w:val="0"/>
                      <w:sz w:val="21"/>
                      <w:szCs w:val="21"/>
                    </w:rPr>
                  </w:pPr>
                  <w:r>
                    <w:rPr>
                      <w:kern w:val="0"/>
                      <w:sz w:val="21"/>
                      <w:szCs w:val="21"/>
                    </w:rPr>
                    <w:t>1290</w:t>
                  </w:r>
                </w:p>
              </w:tc>
            </w:tr>
            <w:tr w14:paraId="3BD44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56C6812">
                  <w:pPr>
                    <w:pStyle w:val="177"/>
                    <w:spacing w:line="240" w:lineRule="auto"/>
                    <w:rPr>
                      <w:kern w:val="0"/>
                      <w:sz w:val="21"/>
                      <w:szCs w:val="21"/>
                    </w:rPr>
                  </w:pPr>
                  <w:r>
                    <w:rPr>
                      <w:rFonts w:hint="eastAsia"/>
                      <w:kern w:val="0"/>
                      <w:sz w:val="21"/>
                      <w:szCs w:val="21"/>
                    </w:rPr>
                    <w:t>甲苯</w:t>
                  </w:r>
                </w:p>
              </w:tc>
              <w:tc>
                <w:tcPr>
                  <w:tcW w:w="1268" w:type="pct"/>
                  <w:tcBorders>
                    <w:top w:val="single" w:color="auto" w:sz="4" w:space="0"/>
                    <w:left w:val="single" w:color="auto" w:sz="4" w:space="0"/>
                    <w:bottom w:val="single" w:color="auto" w:sz="4" w:space="0"/>
                    <w:right w:val="single" w:color="auto" w:sz="4" w:space="0"/>
                  </w:tcBorders>
                </w:tcPr>
                <w:p w14:paraId="464D2A4B">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57E7F89C">
                  <w:pPr>
                    <w:widowControl/>
                    <w:adjustRightInd w:val="0"/>
                    <w:snapToGrid w:val="0"/>
                    <w:jc w:val="center"/>
                    <w:rPr>
                      <w:kern w:val="0"/>
                      <w:szCs w:val="21"/>
                    </w:rPr>
                  </w:pPr>
                  <w:r>
                    <w:rPr>
                      <w:kern w:val="0"/>
                    </w:rPr>
                    <w:t>/</w:t>
                  </w:r>
                </w:p>
              </w:tc>
              <w:tc>
                <w:tcPr>
                  <w:tcW w:w="1202" w:type="pct"/>
                  <w:tcBorders>
                    <w:top w:val="single" w:color="auto" w:sz="4" w:space="0"/>
                    <w:left w:val="single" w:color="auto" w:sz="4" w:space="0"/>
                    <w:bottom w:val="single" w:color="auto" w:sz="4" w:space="0"/>
                    <w:right w:val="single" w:color="auto" w:sz="8" w:space="0"/>
                  </w:tcBorders>
                  <w:vAlign w:val="center"/>
                </w:tcPr>
                <w:p w14:paraId="28E80743">
                  <w:pPr>
                    <w:pStyle w:val="177"/>
                    <w:spacing w:line="240" w:lineRule="auto"/>
                    <w:rPr>
                      <w:kern w:val="0"/>
                      <w:sz w:val="21"/>
                      <w:szCs w:val="21"/>
                    </w:rPr>
                  </w:pPr>
                  <w:r>
                    <w:rPr>
                      <w:kern w:val="0"/>
                      <w:sz w:val="21"/>
                      <w:szCs w:val="21"/>
                    </w:rPr>
                    <w:t>1200</w:t>
                  </w:r>
                </w:p>
              </w:tc>
            </w:tr>
            <w:tr w14:paraId="23660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198179FB">
                  <w:pPr>
                    <w:pStyle w:val="177"/>
                    <w:spacing w:line="240" w:lineRule="auto"/>
                    <w:rPr>
                      <w:kern w:val="0"/>
                      <w:sz w:val="21"/>
                      <w:szCs w:val="21"/>
                    </w:rPr>
                  </w:pPr>
                  <w:r>
                    <w:rPr>
                      <w:rFonts w:hint="eastAsia"/>
                      <w:kern w:val="0"/>
                      <w:sz w:val="21"/>
                      <w:szCs w:val="21"/>
                    </w:rPr>
                    <w:t>间二甲苯</w:t>
                  </w:r>
                  <w:r>
                    <w:rPr>
                      <w:kern w:val="0"/>
                      <w:sz w:val="21"/>
                      <w:szCs w:val="21"/>
                    </w:rPr>
                    <w:t>+</w:t>
                  </w:r>
                  <w:r>
                    <w:rPr>
                      <w:rFonts w:hint="eastAsia"/>
                      <w:kern w:val="0"/>
                      <w:sz w:val="21"/>
                      <w:szCs w:val="21"/>
                    </w:rPr>
                    <w:t>对二甲苯</w:t>
                  </w:r>
                </w:p>
              </w:tc>
              <w:tc>
                <w:tcPr>
                  <w:tcW w:w="1268" w:type="pct"/>
                  <w:tcBorders>
                    <w:top w:val="single" w:color="auto" w:sz="4" w:space="0"/>
                    <w:left w:val="single" w:color="auto" w:sz="4" w:space="0"/>
                    <w:bottom w:val="single" w:color="auto" w:sz="4" w:space="0"/>
                    <w:right w:val="single" w:color="auto" w:sz="4" w:space="0"/>
                  </w:tcBorders>
                </w:tcPr>
                <w:p w14:paraId="5CFB1D2C">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189B42E9">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13EE0082">
                  <w:pPr>
                    <w:pStyle w:val="177"/>
                    <w:spacing w:line="240" w:lineRule="auto"/>
                    <w:rPr>
                      <w:kern w:val="0"/>
                      <w:sz w:val="21"/>
                      <w:szCs w:val="21"/>
                    </w:rPr>
                  </w:pPr>
                  <w:r>
                    <w:rPr>
                      <w:kern w:val="0"/>
                      <w:sz w:val="21"/>
                      <w:szCs w:val="21"/>
                    </w:rPr>
                    <w:t>570</w:t>
                  </w:r>
                </w:p>
              </w:tc>
            </w:tr>
            <w:tr w14:paraId="79EA6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49C6BF54">
                  <w:pPr>
                    <w:pStyle w:val="177"/>
                    <w:spacing w:line="240" w:lineRule="auto"/>
                    <w:rPr>
                      <w:kern w:val="0"/>
                      <w:sz w:val="21"/>
                      <w:szCs w:val="21"/>
                    </w:rPr>
                  </w:pPr>
                  <w:r>
                    <w:rPr>
                      <w:rFonts w:hint="eastAsia"/>
                      <w:kern w:val="0"/>
                      <w:sz w:val="21"/>
                      <w:szCs w:val="21"/>
                    </w:rPr>
                    <w:t>邻二甲苯</w:t>
                  </w:r>
                </w:p>
              </w:tc>
              <w:tc>
                <w:tcPr>
                  <w:tcW w:w="1268" w:type="pct"/>
                  <w:tcBorders>
                    <w:top w:val="single" w:color="auto" w:sz="4" w:space="0"/>
                    <w:left w:val="single" w:color="auto" w:sz="4" w:space="0"/>
                    <w:bottom w:val="single" w:color="auto" w:sz="4" w:space="0"/>
                    <w:right w:val="single" w:color="auto" w:sz="4" w:space="0"/>
                  </w:tcBorders>
                </w:tcPr>
                <w:p w14:paraId="1C071B14">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65E4FA31">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396C91A9">
                  <w:pPr>
                    <w:pStyle w:val="177"/>
                    <w:spacing w:line="240" w:lineRule="auto"/>
                    <w:rPr>
                      <w:kern w:val="0"/>
                      <w:sz w:val="21"/>
                      <w:szCs w:val="21"/>
                    </w:rPr>
                  </w:pPr>
                  <w:r>
                    <w:rPr>
                      <w:kern w:val="0"/>
                      <w:sz w:val="21"/>
                      <w:szCs w:val="21"/>
                    </w:rPr>
                    <w:t>640</w:t>
                  </w:r>
                </w:p>
              </w:tc>
            </w:tr>
            <w:tr w14:paraId="08D9F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603D8F3D">
                  <w:pPr>
                    <w:pStyle w:val="177"/>
                    <w:spacing w:line="240" w:lineRule="auto"/>
                    <w:rPr>
                      <w:kern w:val="0"/>
                      <w:sz w:val="21"/>
                      <w:szCs w:val="21"/>
                    </w:rPr>
                  </w:pPr>
                  <w:r>
                    <w:rPr>
                      <w:rFonts w:hint="eastAsia"/>
                      <w:kern w:val="0"/>
                      <w:sz w:val="21"/>
                      <w:szCs w:val="21"/>
                    </w:rPr>
                    <w:t>硝基苯</w:t>
                  </w:r>
                </w:p>
              </w:tc>
              <w:tc>
                <w:tcPr>
                  <w:tcW w:w="1268" w:type="pct"/>
                  <w:tcBorders>
                    <w:top w:val="single" w:color="auto" w:sz="4" w:space="0"/>
                    <w:left w:val="single" w:color="auto" w:sz="4" w:space="0"/>
                    <w:bottom w:val="single" w:color="auto" w:sz="4" w:space="0"/>
                    <w:right w:val="single" w:color="auto" w:sz="4" w:space="0"/>
                  </w:tcBorders>
                </w:tcPr>
                <w:p w14:paraId="7AF1F89B">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4B9FBCEC">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62DBE328">
                  <w:pPr>
                    <w:pStyle w:val="177"/>
                    <w:spacing w:line="240" w:lineRule="auto"/>
                    <w:rPr>
                      <w:kern w:val="0"/>
                      <w:sz w:val="21"/>
                      <w:szCs w:val="21"/>
                    </w:rPr>
                  </w:pPr>
                  <w:r>
                    <w:rPr>
                      <w:kern w:val="0"/>
                      <w:sz w:val="21"/>
                      <w:szCs w:val="21"/>
                    </w:rPr>
                    <w:t>76</w:t>
                  </w:r>
                </w:p>
              </w:tc>
            </w:tr>
            <w:tr w14:paraId="645BC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AEC53A8">
                  <w:pPr>
                    <w:pStyle w:val="177"/>
                    <w:spacing w:line="240" w:lineRule="auto"/>
                    <w:rPr>
                      <w:kern w:val="0"/>
                      <w:sz w:val="21"/>
                      <w:szCs w:val="21"/>
                    </w:rPr>
                  </w:pPr>
                  <w:r>
                    <w:rPr>
                      <w:rFonts w:hint="eastAsia"/>
                      <w:kern w:val="0"/>
                      <w:sz w:val="21"/>
                      <w:szCs w:val="21"/>
                    </w:rPr>
                    <w:t>苯胺</w:t>
                  </w:r>
                </w:p>
              </w:tc>
              <w:tc>
                <w:tcPr>
                  <w:tcW w:w="1268" w:type="pct"/>
                  <w:tcBorders>
                    <w:top w:val="single" w:color="auto" w:sz="4" w:space="0"/>
                    <w:left w:val="single" w:color="auto" w:sz="4" w:space="0"/>
                    <w:bottom w:val="single" w:color="auto" w:sz="4" w:space="0"/>
                    <w:right w:val="single" w:color="auto" w:sz="4" w:space="0"/>
                  </w:tcBorders>
                </w:tcPr>
                <w:p w14:paraId="4CD3D841">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6D2BC056">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41346733">
                  <w:pPr>
                    <w:pStyle w:val="177"/>
                    <w:spacing w:line="240" w:lineRule="auto"/>
                    <w:rPr>
                      <w:kern w:val="0"/>
                      <w:sz w:val="21"/>
                      <w:szCs w:val="21"/>
                    </w:rPr>
                  </w:pPr>
                  <w:r>
                    <w:rPr>
                      <w:kern w:val="0"/>
                      <w:sz w:val="21"/>
                      <w:szCs w:val="21"/>
                    </w:rPr>
                    <w:t>260</w:t>
                  </w:r>
                </w:p>
              </w:tc>
            </w:tr>
            <w:tr w14:paraId="4FE4E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6A44DDE8">
                  <w:pPr>
                    <w:pStyle w:val="177"/>
                    <w:spacing w:line="240" w:lineRule="auto"/>
                    <w:rPr>
                      <w:kern w:val="0"/>
                      <w:sz w:val="21"/>
                      <w:szCs w:val="21"/>
                    </w:rPr>
                  </w:pPr>
                  <w:r>
                    <w:rPr>
                      <w:kern w:val="0"/>
                      <w:sz w:val="21"/>
                      <w:szCs w:val="21"/>
                    </w:rPr>
                    <w:t>2-</w:t>
                  </w:r>
                  <w:r>
                    <w:rPr>
                      <w:rFonts w:hint="eastAsia"/>
                      <w:kern w:val="0"/>
                      <w:sz w:val="21"/>
                      <w:szCs w:val="21"/>
                    </w:rPr>
                    <w:t>氯酚</w:t>
                  </w:r>
                </w:p>
              </w:tc>
              <w:tc>
                <w:tcPr>
                  <w:tcW w:w="1268" w:type="pct"/>
                  <w:tcBorders>
                    <w:top w:val="single" w:color="auto" w:sz="4" w:space="0"/>
                    <w:left w:val="single" w:color="auto" w:sz="4" w:space="0"/>
                    <w:bottom w:val="single" w:color="auto" w:sz="4" w:space="0"/>
                    <w:right w:val="single" w:color="auto" w:sz="4" w:space="0"/>
                  </w:tcBorders>
                </w:tcPr>
                <w:p w14:paraId="2759CD1D">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7079F42D">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0A87004E">
                  <w:pPr>
                    <w:pStyle w:val="177"/>
                    <w:spacing w:line="240" w:lineRule="auto"/>
                    <w:rPr>
                      <w:kern w:val="0"/>
                      <w:sz w:val="21"/>
                      <w:szCs w:val="21"/>
                    </w:rPr>
                  </w:pPr>
                  <w:r>
                    <w:rPr>
                      <w:kern w:val="0"/>
                      <w:sz w:val="21"/>
                      <w:szCs w:val="21"/>
                    </w:rPr>
                    <w:t>2256</w:t>
                  </w:r>
                </w:p>
              </w:tc>
            </w:tr>
            <w:tr w14:paraId="01868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EF415DB">
                  <w:pPr>
                    <w:pStyle w:val="177"/>
                    <w:spacing w:line="240" w:lineRule="auto"/>
                    <w:rPr>
                      <w:kern w:val="0"/>
                      <w:sz w:val="21"/>
                      <w:szCs w:val="21"/>
                    </w:rPr>
                  </w:pPr>
                  <w:r>
                    <w:rPr>
                      <w:rFonts w:hint="eastAsia"/>
                      <w:kern w:val="0"/>
                      <w:sz w:val="21"/>
                      <w:szCs w:val="21"/>
                    </w:rPr>
                    <w:t>苯并〔</w:t>
                  </w:r>
                  <w:r>
                    <w:rPr>
                      <w:kern w:val="0"/>
                      <w:sz w:val="21"/>
                      <w:szCs w:val="21"/>
                    </w:rPr>
                    <w:t>a</w:t>
                  </w:r>
                  <w:r>
                    <w:rPr>
                      <w:rFonts w:hint="eastAsia"/>
                      <w:kern w:val="0"/>
                      <w:sz w:val="21"/>
                      <w:szCs w:val="21"/>
                    </w:rPr>
                    <w:t>〕蒽</w:t>
                  </w:r>
                </w:p>
              </w:tc>
              <w:tc>
                <w:tcPr>
                  <w:tcW w:w="1268" w:type="pct"/>
                  <w:tcBorders>
                    <w:top w:val="single" w:color="auto" w:sz="4" w:space="0"/>
                    <w:left w:val="single" w:color="auto" w:sz="4" w:space="0"/>
                    <w:bottom w:val="single" w:color="auto" w:sz="4" w:space="0"/>
                    <w:right w:val="single" w:color="auto" w:sz="4" w:space="0"/>
                  </w:tcBorders>
                </w:tcPr>
                <w:p w14:paraId="1F4A227B">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220CBCDD">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18253E2D">
                  <w:pPr>
                    <w:pStyle w:val="177"/>
                    <w:spacing w:line="240" w:lineRule="auto"/>
                    <w:rPr>
                      <w:kern w:val="0"/>
                      <w:sz w:val="21"/>
                      <w:szCs w:val="21"/>
                    </w:rPr>
                  </w:pPr>
                  <w:r>
                    <w:rPr>
                      <w:kern w:val="0"/>
                      <w:sz w:val="21"/>
                      <w:szCs w:val="21"/>
                    </w:rPr>
                    <w:t>15</w:t>
                  </w:r>
                </w:p>
              </w:tc>
            </w:tr>
            <w:tr w14:paraId="12BE0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09905C83">
                  <w:pPr>
                    <w:pStyle w:val="177"/>
                    <w:spacing w:line="240" w:lineRule="auto"/>
                    <w:rPr>
                      <w:kern w:val="0"/>
                      <w:sz w:val="21"/>
                      <w:szCs w:val="21"/>
                    </w:rPr>
                  </w:pPr>
                  <w:r>
                    <w:rPr>
                      <w:rFonts w:hint="eastAsia"/>
                      <w:kern w:val="0"/>
                      <w:sz w:val="21"/>
                      <w:szCs w:val="21"/>
                    </w:rPr>
                    <w:t>苯并〔</w:t>
                  </w:r>
                  <w:r>
                    <w:rPr>
                      <w:kern w:val="0"/>
                      <w:sz w:val="21"/>
                      <w:szCs w:val="21"/>
                    </w:rPr>
                    <w:t>a</w:t>
                  </w:r>
                  <w:r>
                    <w:rPr>
                      <w:rFonts w:hint="eastAsia"/>
                      <w:kern w:val="0"/>
                      <w:sz w:val="21"/>
                      <w:szCs w:val="21"/>
                    </w:rPr>
                    <w:t>〕芘</w:t>
                  </w:r>
                </w:p>
              </w:tc>
              <w:tc>
                <w:tcPr>
                  <w:tcW w:w="1268" w:type="pct"/>
                  <w:tcBorders>
                    <w:top w:val="single" w:color="auto" w:sz="4" w:space="0"/>
                    <w:left w:val="single" w:color="auto" w:sz="4" w:space="0"/>
                    <w:bottom w:val="single" w:color="auto" w:sz="4" w:space="0"/>
                    <w:right w:val="single" w:color="auto" w:sz="4" w:space="0"/>
                  </w:tcBorders>
                </w:tcPr>
                <w:p w14:paraId="40CD4BB5">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08572CFF">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5EF02C89">
                  <w:pPr>
                    <w:pStyle w:val="177"/>
                    <w:spacing w:line="240" w:lineRule="auto"/>
                    <w:rPr>
                      <w:kern w:val="0"/>
                      <w:sz w:val="21"/>
                      <w:szCs w:val="21"/>
                    </w:rPr>
                  </w:pPr>
                  <w:r>
                    <w:rPr>
                      <w:kern w:val="0"/>
                      <w:sz w:val="21"/>
                      <w:szCs w:val="21"/>
                    </w:rPr>
                    <w:t>1.5</w:t>
                  </w:r>
                </w:p>
              </w:tc>
            </w:tr>
            <w:tr w14:paraId="7EAD8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3C6B9BCA">
                  <w:pPr>
                    <w:pStyle w:val="177"/>
                    <w:spacing w:line="240" w:lineRule="auto"/>
                    <w:rPr>
                      <w:kern w:val="0"/>
                      <w:sz w:val="21"/>
                      <w:szCs w:val="21"/>
                    </w:rPr>
                  </w:pPr>
                  <w:r>
                    <w:rPr>
                      <w:rFonts w:hint="eastAsia"/>
                      <w:kern w:val="0"/>
                      <w:sz w:val="21"/>
                      <w:szCs w:val="21"/>
                    </w:rPr>
                    <w:t>苯并〔</w:t>
                  </w:r>
                  <w:r>
                    <w:rPr>
                      <w:kern w:val="0"/>
                      <w:sz w:val="21"/>
                      <w:szCs w:val="21"/>
                    </w:rPr>
                    <w:t>b</w:t>
                  </w:r>
                  <w:r>
                    <w:rPr>
                      <w:rFonts w:hint="eastAsia"/>
                      <w:kern w:val="0"/>
                      <w:sz w:val="21"/>
                      <w:szCs w:val="21"/>
                    </w:rPr>
                    <w:t>〕荧蒽</w:t>
                  </w:r>
                </w:p>
              </w:tc>
              <w:tc>
                <w:tcPr>
                  <w:tcW w:w="1268" w:type="pct"/>
                  <w:tcBorders>
                    <w:top w:val="single" w:color="auto" w:sz="4" w:space="0"/>
                    <w:left w:val="single" w:color="auto" w:sz="4" w:space="0"/>
                    <w:bottom w:val="single" w:color="auto" w:sz="4" w:space="0"/>
                    <w:right w:val="single" w:color="auto" w:sz="4" w:space="0"/>
                  </w:tcBorders>
                </w:tcPr>
                <w:p w14:paraId="1CFE80B3">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598E3EF3">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45004572">
                  <w:pPr>
                    <w:pStyle w:val="177"/>
                    <w:spacing w:line="240" w:lineRule="auto"/>
                    <w:rPr>
                      <w:kern w:val="0"/>
                      <w:sz w:val="21"/>
                      <w:szCs w:val="21"/>
                    </w:rPr>
                  </w:pPr>
                  <w:r>
                    <w:rPr>
                      <w:kern w:val="0"/>
                      <w:sz w:val="21"/>
                      <w:szCs w:val="21"/>
                    </w:rPr>
                    <w:t>15</w:t>
                  </w:r>
                </w:p>
              </w:tc>
            </w:tr>
            <w:tr w14:paraId="5A21E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46D3A7B">
                  <w:pPr>
                    <w:pStyle w:val="177"/>
                    <w:spacing w:line="240" w:lineRule="auto"/>
                    <w:rPr>
                      <w:kern w:val="0"/>
                      <w:sz w:val="21"/>
                      <w:szCs w:val="21"/>
                    </w:rPr>
                  </w:pPr>
                  <w:r>
                    <w:rPr>
                      <w:rFonts w:hint="eastAsia"/>
                      <w:kern w:val="0"/>
                      <w:sz w:val="21"/>
                      <w:szCs w:val="21"/>
                    </w:rPr>
                    <w:t>苯并〔</w:t>
                  </w:r>
                  <w:r>
                    <w:rPr>
                      <w:kern w:val="0"/>
                      <w:sz w:val="21"/>
                      <w:szCs w:val="21"/>
                    </w:rPr>
                    <w:t>k</w:t>
                  </w:r>
                  <w:r>
                    <w:rPr>
                      <w:rFonts w:hint="eastAsia"/>
                      <w:kern w:val="0"/>
                      <w:sz w:val="21"/>
                      <w:szCs w:val="21"/>
                    </w:rPr>
                    <w:t>〕荧蒽</w:t>
                  </w:r>
                </w:p>
              </w:tc>
              <w:tc>
                <w:tcPr>
                  <w:tcW w:w="1268" w:type="pct"/>
                  <w:tcBorders>
                    <w:top w:val="single" w:color="auto" w:sz="4" w:space="0"/>
                    <w:left w:val="single" w:color="auto" w:sz="4" w:space="0"/>
                    <w:bottom w:val="single" w:color="auto" w:sz="4" w:space="0"/>
                    <w:right w:val="single" w:color="auto" w:sz="4" w:space="0"/>
                  </w:tcBorders>
                </w:tcPr>
                <w:p w14:paraId="6FDAEC2D">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065E187A">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18FCDC17">
                  <w:pPr>
                    <w:pStyle w:val="177"/>
                    <w:spacing w:line="240" w:lineRule="auto"/>
                    <w:rPr>
                      <w:kern w:val="0"/>
                      <w:sz w:val="21"/>
                      <w:szCs w:val="21"/>
                    </w:rPr>
                  </w:pPr>
                  <w:r>
                    <w:rPr>
                      <w:kern w:val="0"/>
                      <w:sz w:val="21"/>
                      <w:szCs w:val="21"/>
                    </w:rPr>
                    <w:t>151</w:t>
                  </w:r>
                </w:p>
              </w:tc>
            </w:tr>
            <w:tr w14:paraId="7B6C6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412" w:type="pct"/>
                  <w:tcBorders>
                    <w:top w:val="single" w:color="auto" w:sz="4" w:space="0"/>
                    <w:left w:val="single" w:color="auto" w:sz="8" w:space="0"/>
                    <w:bottom w:val="single" w:color="auto" w:sz="4" w:space="0"/>
                    <w:right w:val="single" w:color="auto" w:sz="4" w:space="0"/>
                  </w:tcBorders>
                  <w:vAlign w:val="center"/>
                </w:tcPr>
                <w:p w14:paraId="7D0273C4">
                  <w:pPr>
                    <w:pStyle w:val="177"/>
                    <w:spacing w:line="240" w:lineRule="auto"/>
                    <w:rPr>
                      <w:kern w:val="0"/>
                      <w:sz w:val="21"/>
                      <w:szCs w:val="21"/>
                    </w:rPr>
                  </w:pPr>
                  <w:r>
                    <w:rPr>
                      <w:rFonts w:hint="eastAsia"/>
                      <w:kern w:val="0"/>
                      <w:sz w:val="21"/>
                      <w:szCs w:val="21"/>
                    </w:rPr>
                    <w:t>䓛</w:t>
                  </w:r>
                </w:p>
              </w:tc>
              <w:tc>
                <w:tcPr>
                  <w:tcW w:w="1268" w:type="pct"/>
                  <w:tcBorders>
                    <w:top w:val="single" w:color="auto" w:sz="4" w:space="0"/>
                    <w:left w:val="single" w:color="auto" w:sz="4" w:space="0"/>
                    <w:bottom w:val="single" w:color="auto" w:sz="4" w:space="0"/>
                    <w:right w:val="single" w:color="auto" w:sz="4" w:space="0"/>
                  </w:tcBorders>
                </w:tcPr>
                <w:p w14:paraId="1F437FC8">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0DFC623E">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6D699448">
                  <w:pPr>
                    <w:pStyle w:val="177"/>
                    <w:spacing w:line="240" w:lineRule="auto"/>
                    <w:rPr>
                      <w:kern w:val="0"/>
                      <w:sz w:val="21"/>
                      <w:szCs w:val="21"/>
                    </w:rPr>
                  </w:pPr>
                  <w:r>
                    <w:rPr>
                      <w:kern w:val="0"/>
                      <w:sz w:val="21"/>
                      <w:szCs w:val="21"/>
                    </w:rPr>
                    <w:t>1293</w:t>
                  </w:r>
                </w:p>
              </w:tc>
            </w:tr>
            <w:tr w14:paraId="5CD50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55C7BAF2">
                  <w:pPr>
                    <w:pStyle w:val="177"/>
                    <w:spacing w:line="240" w:lineRule="auto"/>
                    <w:rPr>
                      <w:kern w:val="0"/>
                      <w:sz w:val="21"/>
                      <w:szCs w:val="21"/>
                    </w:rPr>
                  </w:pPr>
                  <w:r>
                    <w:rPr>
                      <w:rFonts w:hint="eastAsia"/>
                      <w:kern w:val="0"/>
                      <w:sz w:val="21"/>
                      <w:szCs w:val="21"/>
                    </w:rPr>
                    <w:t>二苯并〔</w:t>
                  </w:r>
                  <w:r>
                    <w:rPr>
                      <w:kern w:val="0"/>
                      <w:sz w:val="21"/>
                      <w:szCs w:val="21"/>
                    </w:rPr>
                    <w:t>a,h</w:t>
                  </w:r>
                  <w:r>
                    <w:rPr>
                      <w:rFonts w:hint="eastAsia"/>
                      <w:kern w:val="0"/>
                      <w:sz w:val="21"/>
                      <w:szCs w:val="21"/>
                    </w:rPr>
                    <w:t>〕蒽</w:t>
                  </w:r>
                </w:p>
              </w:tc>
              <w:tc>
                <w:tcPr>
                  <w:tcW w:w="1268" w:type="pct"/>
                  <w:tcBorders>
                    <w:top w:val="single" w:color="auto" w:sz="4" w:space="0"/>
                    <w:left w:val="single" w:color="auto" w:sz="4" w:space="0"/>
                    <w:bottom w:val="single" w:color="auto" w:sz="4" w:space="0"/>
                    <w:right w:val="single" w:color="auto" w:sz="4" w:space="0"/>
                  </w:tcBorders>
                </w:tcPr>
                <w:p w14:paraId="1B7EA9CB">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2451D9AA">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6FCF3128">
                  <w:pPr>
                    <w:pStyle w:val="177"/>
                    <w:spacing w:line="240" w:lineRule="auto"/>
                    <w:rPr>
                      <w:kern w:val="0"/>
                      <w:sz w:val="21"/>
                      <w:szCs w:val="21"/>
                    </w:rPr>
                  </w:pPr>
                  <w:r>
                    <w:rPr>
                      <w:kern w:val="0"/>
                      <w:sz w:val="21"/>
                      <w:szCs w:val="21"/>
                    </w:rPr>
                    <w:t>1.5</w:t>
                  </w:r>
                </w:p>
              </w:tc>
            </w:tr>
            <w:tr w14:paraId="12873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tcBorders>
                    <w:top w:val="single" w:color="auto" w:sz="4" w:space="0"/>
                    <w:left w:val="single" w:color="auto" w:sz="8" w:space="0"/>
                    <w:bottom w:val="single" w:color="auto" w:sz="4" w:space="0"/>
                    <w:right w:val="single" w:color="auto" w:sz="4" w:space="0"/>
                  </w:tcBorders>
                  <w:vAlign w:val="center"/>
                </w:tcPr>
                <w:p w14:paraId="345E715F">
                  <w:pPr>
                    <w:pStyle w:val="177"/>
                    <w:spacing w:line="240" w:lineRule="auto"/>
                    <w:rPr>
                      <w:kern w:val="0"/>
                      <w:sz w:val="21"/>
                      <w:szCs w:val="21"/>
                    </w:rPr>
                  </w:pPr>
                  <w:r>
                    <w:rPr>
                      <w:rFonts w:hint="eastAsia"/>
                      <w:kern w:val="0"/>
                      <w:sz w:val="21"/>
                      <w:szCs w:val="21"/>
                    </w:rPr>
                    <w:t>茚并〔</w:t>
                  </w:r>
                  <w:r>
                    <w:rPr>
                      <w:kern w:val="0"/>
                      <w:sz w:val="21"/>
                      <w:szCs w:val="21"/>
                    </w:rPr>
                    <w:t>1,2,3-cd</w:t>
                  </w:r>
                  <w:r>
                    <w:rPr>
                      <w:rFonts w:hint="eastAsia"/>
                      <w:kern w:val="0"/>
                      <w:sz w:val="21"/>
                      <w:szCs w:val="21"/>
                    </w:rPr>
                    <w:t>〕芘</w:t>
                  </w:r>
                </w:p>
              </w:tc>
              <w:tc>
                <w:tcPr>
                  <w:tcW w:w="1268" w:type="pct"/>
                  <w:tcBorders>
                    <w:top w:val="single" w:color="auto" w:sz="4" w:space="0"/>
                    <w:left w:val="single" w:color="auto" w:sz="4" w:space="0"/>
                    <w:bottom w:val="single" w:color="auto" w:sz="4" w:space="0"/>
                    <w:right w:val="single" w:color="auto" w:sz="4" w:space="0"/>
                  </w:tcBorders>
                </w:tcPr>
                <w:p w14:paraId="0C689A32">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4" w:space="0"/>
                    <w:right w:val="single" w:color="auto" w:sz="4" w:space="0"/>
                  </w:tcBorders>
                  <w:vAlign w:val="center"/>
                </w:tcPr>
                <w:p w14:paraId="08B06F93">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4" w:space="0"/>
                    <w:right w:val="single" w:color="auto" w:sz="8" w:space="0"/>
                  </w:tcBorders>
                  <w:vAlign w:val="center"/>
                </w:tcPr>
                <w:p w14:paraId="42D0E90C">
                  <w:pPr>
                    <w:pStyle w:val="177"/>
                    <w:spacing w:line="240" w:lineRule="auto"/>
                    <w:rPr>
                      <w:kern w:val="0"/>
                      <w:sz w:val="21"/>
                      <w:szCs w:val="21"/>
                    </w:rPr>
                  </w:pPr>
                  <w:r>
                    <w:rPr>
                      <w:kern w:val="0"/>
                      <w:sz w:val="21"/>
                      <w:szCs w:val="21"/>
                    </w:rPr>
                    <w:t>15</w:t>
                  </w:r>
                </w:p>
              </w:tc>
            </w:tr>
            <w:tr w14:paraId="64B0F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1412" w:type="pct"/>
                  <w:tcBorders>
                    <w:top w:val="single" w:color="auto" w:sz="4" w:space="0"/>
                    <w:left w:val="single" w:color="auto" w:sz="8" w:space="0"/>
                    <w:bottom w:val="single" w:color="auto" w:sz="8" w:space="0"/>
                    <w:right w:val="single" w:color="auto" w:sz="4" w:space="0"/>
                  </w:tcBorders>
                  <w:vAlign w:val="center"/>
                </w:tcPr>
                <w:p w14:paraId="583E4DE0">
                  <w:pPr>
                    <w:pStyle w:val="177"/>
                    <w:spacing w:line="240" w:lineRule="auto"/>
                    <w:rPr>
                      <w:kern w:val="0"/>
                      <w:sz w:val="21"/>
                      <w:szCs w:val="21"/>
                    </w:rPr>
                  </w:pPr>
                  <w:r>
                    <w:rPr>
                      <w:rFonts w:hint="eastAsia"/>
                      <w:kern w:val="0"/>
                      <w:sz w:val="21"/>
                      <w:szCs w:val="21"/>
                    </w:rPr>
                    <w:t>萘</w:t>
                  </w:r>
                </w:p>
              </w:tc>
              <w:tc>
                <w:tcPr>
                  <w:tcW w:w="1268" w:type="pct"/>
                  <w:tcBorders>
                    <w:top w:val="single" w:color="auto" w:sz="4" w:space="0"/>
                    <w:left w:val="single" w:color="auto" w:sz="4" w:space="0"/>
                    <w:bottom w:val="single" w:color="auto" w:sz="8" w:space="0"/>
                    <w:right w:val="single" w:color="auto" w:sz="4" w:space="0"/>
                  </w:tcBorders>
                </w:tcPr>
                <w:p w14:paraId="5309C462">
                  <w:pPr>
                    <w:pStyle w:val="177"/>
                    <w:spacing w:line="240" w:lineRule="auto"/>
                    <w:rPr>
                      <w:kern w:val="0"/>
                      <w:sz w:val="21"/>
                      <w:szCs w:val="21"/>
                    </w:rPr>
                  </w:pPr>
                  <w:r>
                    <w:rPr>
                      <w:rFonts w:hint="eastAsia"/>
                      <w:kern w:val="0"/>
                      <w:sz w:val="21"/>
                      <w:szCs w:val="21"/>
                    </w:rPr>
                    <w:t>未检出</w:t>
                  </w:r>
                </w:p>
              </w:tc>
              <w:tc>
                <w:tcPr>
                  <w:tcW w:w="1118" w:type="pct"/>
                  <w:tcBorders>
                    <w:top w:val="single" w:color="auto" w:sz="4" w:space="0"/>
                    <w:left w:val="single" w:color="auto" w:sz="4" w:space="0"/>
                    <w:bottom w:val="single" w:color="auto" w:sz="8" w:space="0"/>
                    <w:right w:val="single" w:color="auto" w:sz="4" w:space="0"/>
                  </w:tcBorders>
                  <w:vAlign w:val="center"/>
                </w:tcPr>
                <w:p w14:paraId="49E67B3A">
                  <w:pPr>
                    <w:pStyle w:val="177"/>
                    <w:spacing w:line="240" w:lineRule="auto"/>
                    <w:rPr>
                      <w:kern w:val="0"/>
                      <w:sz w:val="21"/>
                      <w:szCs w:val="21"/>
                    </w:rPr>
                  </w:pPr>
                  <w:r>
                    <w:rPr>
                      <w:kern w:val="0"/>
                      <w:sz w:val="21"/>
                      <w:szCs w:val="21"/>
                    </w:rPr>
                    <w:t>/</w:t>
                  </w:r>
                </w:p>
              </w:tc>
              <w:tc>
                <w:tcPr>
                  <w:tcW w:w="1202" w:type="pct"/>
                  <w:tcBorders>
                    <w:top w:val="single" w:color="auto" w:sz="4" w:space="0"/>
                    <w:left w:val="single" w:color="auto" w:sz="4" w:space="0"/>
                    <w:bottom w:val="single" w:color="auto" w:sz="8" w:space="0"/>
                    <w:right w:val="single" w:color="auto" w:sz="8" w:space="0"/>
                  </w:tcBorders>
                  <w:vAlign w:val="center"/>
                </w:tcPr>
                <w:p w14:paraId="7BD1759D">
                  <w:pPr>
                    <w:pStyle w:val="177"/>
                    <w:spacing w:line="240" w:lineRule="auto"/>
                    <w:rPr>
                      <w:kern w:val="0"/>
                      <w:sz w:val="21"/>
                      <w:szCs w:val="21"/>
                    </w:rPr>
                  </w:pPr>
                  <w:r>
                    <w:rPr>
                      <w:kern w:val="0"/>
                      <w:sz w:val="21"/>
                      <w:szCs w:val="21"/>
                    </w:rPr>
                    <w:t>70</w:t>
                  </w:r>
                </w:p>
              </w:tc>
            </w:tr>
          </w:tbl>
          <w:p w14:paraId="3BE3C45B">
            <w:pPr>
              <w:adjustRightInd w:val="0"/>
              <w:snapToGrid w:val="0"/>
              <w:spacing w:line="360" w:lineRule="auto"/>
              <w:ind w:firstLine="480" w:firstLineChars="200"/>
              <w:jc w:val="left"/>
              <w:rPr>
                <w:kern w:val="0"/>
                <w:szCs w:val="21"/>
              </w:rPr>
            </w:pPr>
            <w:r>
              <w:rPr>
                <w:rFonts w:hint="eastAsia"/>
                <w:sz w:val="24"/>
              </w:rPr>
              <w:t>由上表可见，项目所在区域土壤无酸化或碱化现象，土壤环境中的各因子浓度值均满足《土壤环境质量</w:t>
            </w:r>
            <w:r>
              <w:rPr>
                <w:sz w:val="24"/>
              </w:rPr>
              <w:t xml:space="preserve"> </w:t>
            </w:r>
            <w:r>
              <w:rPr>
                <w:rFonts w:hint="eastAsia"/>
                <w:sz w:val="24"/>
              </w:rPr>
              <w:t>建设用地土壤污染风险管控标准（试行）》（</w:t>
            </w:r>
            <w:r>
              <w:rPr>
                <w:sz w:val="24"/>
              </w:rPr>
              <w:t>GB36600-2018</w:t>
            </w:r>
            <w:r>
              <w:rPr>
                <w:rFonts w:hint="eastAsia"/>
                <w:sz w:val="24"/>
              </w:rPr>
              <w:t>）中的筛选值，项目所在区域土壤环境质量较好。</w:t>
            </w:r>
          </w:p>
        </w:tc>
      </w:tr>
      <w:tr w14:paraId="791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14:paraId="51AEE595">
            <w:pPr>
              <w:adjustRightInd w:val="0"/>
              <w:snapToGrid w:val="0"/>
              <w:jc w:val="center"/>
              <w:rPr>
                <w:kern w:val="0"/>
                <w:szCs w:val="21"/>
              </w:rPr>
            </w:pPr>
            <w:r>
              <w:rPr>
                <w:kern w:val="0"/>
                <w:szCs w:val="21"/>
              </w:rPr>
              <w:t>环境</w:t>
            </w:r>
          </w:p>
          <w:p w14:paraId="1A754F2D">
            <w:pPr>
              <w:adjustRightInd w:val="0"/>
              <w:snapToGrid w:val="0"/>
              <w:jc w:val="center"/>
              <w:rPr>
                <w:kern w:val="0"/>
                <w:szCs w:val="21"/>
              </w:rPr>
            </w:pPr>
            <w:r>
              <w:rPr>
                <w:kern w:val="0"/>
                <w:szCs w:val="21"/>
              </w:rPr>
              <w:t>保护</w:t>
            </w:r>
          </w:p>
          <w:p w14:paraId="623ED5F1">
            <w:pPr>
              <w:adjustRightInd w:val="0"/>
              <w:snapToGrid w:val="0"/>
              <w:jc w:val="center"/>
              <w:rPr>
                <w:kern w:val="0"/>
                <w:szCs w:val="21"/>
              </w:rPr>
            </w:pPr>
            <w:r>
              <w:rPr>
                <w:kern w:val="0"/>
                <w:szCs w:val="21"/>
              </w:rPr>
              <w:t>目标</w:t>
            </w:r>
          </w:p>
        </w:tc>
        <w:tc>
          <w:tcPr>
            <w:tcW w:w="8190" w:type="dxa"/>
            <w:vAlign w:val="center"/>
          </w:tcPr>
          <w:p w14:paraId="1A87C273">
            <w:pPr>
              <w:adjustRightInd w:val="0"/>
              <w:snapToGrid w:val="0"/>
              <w:spacing w:line="360" w:lineRule="auto"/>
              <w:ind w:firstLine="482" w:firstLineChars="200"/>
              <w:rPr>
                <w:b/>
                <w:bCs/>
                <w:sz w:val="24"/>
              </w:rPr>
            </w:pPr>
            <w:r>
              <w:rPr>
                <w:b/>
                <w:bCs/>
                <w:sz w:val="24"/>
              </w:rPr>
              <w:t>1、大气环境：</w:t>
            </w:r>
          </w:p>
          <w:p w14:paraId="12B79FAD">
            <w:pPr>
              <w:adjustRightInd w:val="0"/>
              <w:snapToGrid w:val="0"/>
              <w:spacing w:line="360" w:lineRule="auto"/>
              <w:ind w:firstLine="480" w:firstLineChars="200"/>
              <w:rPr>
                <w:sz w:val="24"/>
              </w:rPr>
            </w:pPr>
            <w:r>
              <w:rPr>
                <w:sz w:val="24"/>
              </w:rPr>
              <w:t>项目周边主要是工业企业，</w:t>
            </w:r>
            <w:r>
              <w:rPr>
                <w:rFonts w:hint="eastAsia"/>
                <w:sz w:val="24"/>
              </w:rPr>
              <w:t>厂界500m范围内无医院、行政办公区等敏感目标</w:t>
            </w:r>
            <w:r>
              <w:rPr>
                <w:sz w:val="24"/>
              </w:rPr>
              <w:t>，项目周边不涉及自然保护区、风景名胜区、生态功能保护区、地质公园、世界遗产地、国家重点文物保护单位、历史文化保护地等敏感区域，不属于生态敏感与脆弱区。</w:t>
            </w:r>
            <w:r>
              <w:rPr>
                <w:rFonts w:hint="eastAsia"/>
                <w:sz w:val="24"/>
              </w:rPr>
              <w:t>厂界5</w:t>
            </w:r>
            <w:r>
              <w:rPr>
                <w:sz w:val="24"/>
              </w:rPr>
              <w:t>00</w:t>
            </w:r>
            <w:r>
              <w:rPr>
                <w:rFonts w:hint="eastAsia"/>
                <w:sz w:val="24"/>
              </w:rPr>
              <w:t>m范围内主要敏感目标为东侧学校、居民及东北侧规划居住用地。</w:t>
            </w:r>
          </w:p>
          <w:p w14:paraId="05041019">
            <w:pPr>
              <w:adjustRightInd w:val="0"/>
              <w:snapToGrid w:val="0"/>
              <w:spacing w:line="360" w:lineRule="auto"/>
              <w:ind w:firstLine="482" w:firstLineChars="200"/>
              <w:rPr>
                <w:b/>
                <w:bCs/>
                <w:sz w:val="24"/>
              </w:rPr>
            </w:pPr>
            <w:r>
              <w:rPr>
                <w:b/>
                <w:bCs/>
                <w:sz w:val="24"/>
              </w:rPr>
              <w:t>2、声环境</w:t>
            </w:r>
          </w:p>
          <w:p w14:paraId="42C715D6">
            <w:pPr>
              <w:adjustRightInd w:val="0"/>
              <w:snapToGrid w:val="0"/>
              <w:spacing w:line="360" w:lineRule="auto"/>
              <w:ind w:firstLine="480" w:firstLineChars="200"/>
              <w:rPr>
                <w:sz w:val="24"/>
              </w:rPr>
            </w:pPr>
            <w:r>
              <w:rPr>
                <w:sz w:val="24"/>
              </w:rPr>
              <w:t>项目周边50m范围内</w:t>
            </w:r>
            <w:r>
              <w:rPr>
                <w:rFonts w:hint="eastAsia"/>
                <w:sz w:val="24"/>
              </w:rPr>
              <w:t>无</w:t>
            </w:r>
            <w:r>
              <w:rPr>
                <w:sz w:val="24"/>
              </w:rPr>
              <w:t>声环境保护目标。</w:t>
            </w:r>
          </w:p>
          <w:p w14:paraId="05AD0757">
            <w:pPr>
              <w:adjustRightInd w:val="0"/>
              <w:snapToGrid w:val="0"/>
              <w:spacing w:line="360" w:lineRule="auto"/>
              <w:ind w:firstLine="482" w:firstLineChars="200"/>
              <w:rPr>
                <w:b/>
                <w:bCs/>
                <w:sz w:val="24"/>
              </w:rPr>
            </w:pPr>
            <w:r>
              <w:rPr>
                <w:rFonts w:hint="eastAsia"/>
                <w:b/>
                <w:bCs/>
                <w:sz w:val="24"/>
              </w:rPr>
              <w:t>3、地表水</w:t>
            </w:r>
          </w:p>
          <w:p w14:paraId="19326E8E">
            <w:pPr>
              <w:adjustRightInd w:val="0"/>
              <w:snapToGrid w:val="0"/>
              <w:spacing w:line="360" w:lineRule="auto"/>
              <w:ind w:firstLine="480" w:firstLineChars="200"/>
              <w:rPr>
                <w:sz w:val="24"/>
              </w:rPr>
            </w:pPr>
            <w:r>
              <w:rPr>
                <w:bCs/>
                <w:sz w:val="24"/>
              </w:rPr>
              <w:t>项目</w:t>
            </w:r>
            <w:r>
              <w:rPr>
                <w:rFonts w:hint="eastAsia"/>
                <w:bCs/>
                <w:sz w:val="24"/>
              </w:rPr>
              <w:t>生活污水经厂区内拟建污水处理设备</w:t>
            </w:r>
            <w:r>
              <w:rPr>
                <w:bCs/>
                <w:sz w:val="24"/>
              </w:rPr>
              <w:t>处理后经园区污水管网排入</w:t>
            </w:r>
            <w:r>
              <w:rPr>
                <w:rFonts w:hint="eastAsia"/>
                <w:bCs/>
                <w:sz w:val="24"/>
              </w:rPr>
              <w:t>李渡大耍坝</w:t>
            </w:r>
            <w:r>
              <w:rPr>
                <w:sz w:val="24"/>
              </w:rPr>
              <w:t>污水处理厂处理达标后排入</w:t>
            </w:r>
            <w:r>
              <w:rPr>
                <w:rFonts w:hint="eastAsia"/>
                <w:sz w:val="24"/>
              </w:rPr>
              <w:t>长江，</w:t>
            </w:r>
            <w:r>
              <w:rPr>
                <w:sz w:val="24"/>
              </w:rPr>
              <w:t>则项目地表水环境保护水体为</w:t>
            </w:r>
            <w:r>
              <w:rPr>
                <w:rFonts w:hint="eastAsia"/>
                <w:sz w:val="24"/>
              </w:rPr>
              <w:t>长江。</w:t>
            </w:r>
          </w:p>
          <w:p w14:paraId="63652575">
            <w:pPr>
              <w:adjustRightInd w:val="0"/>
              <w:snapToGrid w:val="0"/>
              <w:spacing w:line="360" w:lineRule="auto"/>
              <w:ind w:firstLine="482" w:firstLineChars="200"/>
              <w:rPr>
                <w:b/>
                <w:bCs/>
                <w:sz w:val="24"/>
              </w:rPr>
            </w:pPr>
            <w:r>
              <w:rPr>
                <w:b/>
                <w:bCs/>
                <w:sz w:val="24"/>
              </w:rPr>
              <w:t>4、地下水环境</w:t>
            </w:r>
          </w:p>
          <w:p w14:paraId="2D876BFD">
            <w:pPr>
              <w:adjustRightInd w:val="0"/>
              <w:snapToGrid w:val="0"/>
              <w:spacing w:line="360" w:lineRule="auto"/>
              <w:ind w:firstLine="480" w:firstLineChars="200"/>
              <w:rPr>
                <w:sz w:val="24"/>
              </w:rPr>
            </w:pPr>
            <w:r>
              <w:rPr>
                <w:sz w:val="24"/>
              </w:rPr>
              <w:t>项目周边500m范围内不存在集中式饮用水水源和热水、矿泉水、温泉等特殊地下水资源。</w:t>
            </w:r>
          </w:p>
          <w:p w14:paraId="1EB09426">
            <w:pPr>
              <w:adjustRightInd w:val="0"/>
              <w:snapToGrid w:val="0"/>
              <w:spacing w:line="360" w:lineRule="auto"/>
              <w:ind w:firstLine="482" w:firstLineChars="200"/>
              <w:rPr>
                <w:b/>
                <w:bCs/>
                <w:kern w:val="0"/>
                <w:sz w:val="24"/>
              </w:rPr>
            </w:pPr>
            <w:r>
              <w:rPr>
                <w:b/>
                <w:bCs/>
                <w:kern w:val="0"/>
                <w:sz w:val="24"/>
              </w:rPr>
              <w:t>5、生态环境</w:t>
            </w:r>
          </w:p>
          <w:p w14:paraId="7CF73935">
            <w:pPr>
              <w:adjustRightInd w:val="0"/>
              <w:snapToGrid w:val="0"/>
              <w:spacing w:line="360" w:lineRule="auto"/>
              <w:ind w:firstLine="480" w:firstLineChars="200"/>
              <w:rPr>
                <w:sz w:val="24"/>
              </w:rPr>
            </w:pPr>
            <w:r>
              <w:rPr>
                <w:kern w:val="0"/>
                <w:sz w:val="24"/>
              </w:rPr>
              <w:t>项目位于</w:t>
            </w:r>
            <w:r>
              <w:rPr>
                <w:rFonts w:hint="eastAsia"/>
                <w:kern w:val="0"/>
                <w:sz w:val="24"/>
              </w:rPr>
              <w:t>涪陵工业园区李渡组团</w:t>
            </w:r>
            <w:r>
              <w:rPr>
                <w:kern w:val="0"/>
                <w:sz w:val="24"/>
              </w:rPr>
              <w:t>，</w:t>
            </w:r>
            <w:r>
              <w:rPr>
                <w:sz w:val="24"/>
              </w:rPr>
              <w:t>且用地范围已完成平场</w:t>
            </w:r>
            <w:r>
              <w:rPr>
                <w:rFonts w:hint="eastAsia"/>
                <w:sz w:val="24"/>
              </w:rPr>
              <w:t>，</w:t>
            </w:r>
            <w:r>
              <w:rPr>
                <w:sz w:val="24"/>
              </w:rPr>
              <w:t>无生态环境保护目标</w:t>
            </w:r>
            <w:r>
              <w:rPr>
                <w:kern w:val="0"/>
                <w:sz w:val="24"/>
              </w:rPr>
              <w:t>。</w:t>
            </w:r>
            <w:r>
              <w:rPr>
                <w:bCs/>
                <w:sz w:val="24"/>
              </w:rPr>
              <w:t>项目周围</w:t>
            </w:r>
            <w:r>
              <w:rPr>
                <w:sz w:val="24"/>
              </w:rPr>
              <w:t>环境保护目标统计见表3-5。</w:t>
            </w:r>
          </w:p>
          <w:p w14:paraId="06B63933">
            <w:pPr>
              <w:spacing w:line="360" w:lineRule="auto"/>
              <w:ind w:firstLine="480" w:firstLineChars="200"/>
              <w:jc w:val="center"/>
              <w:rPr>
                <w:sz w:val="24"/>
              </w:rPr>
            </w:pPr>
            <w:r>
              <w:rPr>
                <w:sz w:val="24"/>
              </w:rPr>
              <w:t>表3-5  主要环境保护目标统计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22"/>
              <w:gridCol w:w="714"/>
              <w:gridCol w:w="715"/>
              <w:gridCol w:w="1690"/>
              <w:gridCol w:w="709"/>
              <w:gridCol w:w="850"/>
              <w:gridCol w:w="851"/>
              <w:gridCol w:w="1087"/>
            </w:tblGrid>
            <w:tr w14:paraId="610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6" w:type="dxa"/>
                  <w:vMerge w:val="restart"/>
                  <w:vAlign w:val="center"/>
                </w:tcPr>
                <w:p w14:paraId="43C24E24">
                  <w:pPr>
                    <w:adjustRightInd w:val="0"/>
                    <w:snapToGrid w:val="0"/>
                    <w:jc w:val="center"/>
                  </w:pPr>
                  <w:r>
                    <w:t>序号</w:t>
                  </w:r>
                </w:p>
              </w:tc>
              <w:tc>
                <w:tcPr>
                  <w:tcW w:w="922" w:type="dxa"/>
                  <w:vMerge w:val="restart"/>
                  <w:vAlign w:val="center"/>
                </w:tcPr>
                <w:p w14:paraId="5131EBF0">
                  <w:pPr>
                    <w:adjustRightInd w:val="0"/>
                    <w:snapToGrid w:val="0"/>
                    <w:jc w:val="center"/>
                  </w:pPr>
                  <w:r>
                    <w:t>名称</w:t>
                  </w:r>
                </w:p>
              </w:tc>
              <w:tc>
                <w:tcPr>
                  <w:tcW w:w="1429" w:type="dxa"/>
                  <w:gridSpan w:val="2"/>
                  <w:vAlign w:val="center"/>
                </w:tcPr>
                <w:p w14:paraId="745D8D53">
                  <w:pPr>
                    <w:adjustRightInd w:val="0"/>
                    <w:snapToGrid w:val="0"/>
                    <w:jc w:val="center"/>
                  </w:pPr>
                  <w:r>
                    <w:t>坐标/m</w:t>
                  </w:r>
                </w:p>
              </w:tc>
              <w:tc>
                <w:tcPr>
                  <w:tcW w:w="1690" w:type="dxa"/>
                  <w:vMerge w:val="restart"/>
                  <w:vAlign w:val="center"/>
                </w:tcPr>
                <w:p w14:paraId="1C02099D">
                  <w:pPr>
                    <w:adjustRightInd w:val="0"/>
                    <w:snapToGrid w:val="0"/>
                    <w:jc w:val="center"/>
                  </w:pPr>
                  <w:r>
                    <w:t>保护对象</w:t>
                  </w:r>
                </w:p>
              </w:tc>
              <w:tc>
                <w:tcPr>
                  <w:tcW w:w="709" w:type="dxa"/>
                  <w:vMerge w:val="restart"/>
                  <w:vAlign w:val="center"/>
                </w:tcPr>
                <w:p w14:paraId="4C8F820E">
                  <w:pPr>
                    <w:adjustRightInd w:val="0"/>
                    <w:snapToGrid w:val="0"/>
                    <w:jc w:val="center"/>
                  </w:pPr>
                  <w:r>
                    <w:t>保护内容</w:t>
                  </w:r>
                </w:p>
              </w:tc>
              <w:tc>
                <w:tcPr>
                  <w:tcW w:w="850" w:type="dxa"/>
                  <w:vMerge w:val="restart"/>
                  <w:vAlign w:val="center"/>
                </w:tcPr>
                <w:p w14:paraId="74A787B8">
                  <w:pPr>
                    <w:adjustRightInd w:val="0"/>
                    <w:snapToGrid w:val="0"/>
                    <w:jc w:val="center"/>
                  </w:pPr>
                  <w:r>
                    <w:t>环境功能区</w:t>
                  </w:r>
                </w:p>
              </w:tc>
              <w:tc>
                <w:tcPr>
                  <w:tcW w:w="851" w:type="dxa"/>
                  <w:vMerge w:val="restart"/>
                  <w:vAlign w:val="center"/>
                </w:tcPr>
                <w:p w14:paraId="46CAA8DB">
                  <w:pPr>
                    <w:adjustRightInd w:val="0"/>
                    <w:snapToGrid w:val="0"/>
                    <w:jc w:val="center"/>
                  </w:pPr>
                  <w:r>
                    <w:t>相对</w:t>
                  </w:r>
                  <w:r>
                    <w:rPr>
                      <w:rFonts w:hint="eastAsia"/>
                    </w:rPr>
                    <w:t>厂址</w:t>
                  </w:r>
                  <w:r>
                    <w:t>方位</w:t>
                  </w:r>
                </w:p>
              </w:tc>
              <w:tc>
                <w:tcPr>
                  <w:tcW w:w="1087" w:type="dxa"/>
                  <w:vMerge w:val="restart"/>
                  <w:vAlign w:val="center"/>
                </w:tcPr>
                <w:p w14:paraId="03D71036">
                  <w:pPr>
                    <w:adjustRightInd w:val="0"/>
                    <w:snapToGrid w:val="0"/>
                    <w:jc w:val="center"/>
                  </w:pPr>
                  <w:r>
                    <w:t>相对厂界最近距离/m</w:t>
                  </w:r>
                </w:p>
              </w:tc>
            </w:tr>
            <w:tr w14:paraId="425B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6" w:type="dxa"/>
                  <w:vMerge w:val="continue"/>
                  <w:vAlign w:val="center"/>
                </w:tcPr>
                <w:p w14:paraId="13F54FE4">
                  <w:pPr>
                    <w:adjustRightInd w:val="0"/>
                    <w:snapToGrid w:val="0"/>
                    <w:jc w:val="center"/>
                  </w:pPr>
                </w:p>
              </w:tc>
              <w:tc>
                <w:tcPr>
                  <w:tcW w:w="922" w:type="dxa"/>
                  <w:vMerge w:val="continue"/>
                  <w:vAlign w:val="center"/>
                </w:tcPr>
                <w:p w14:paraId="41591B39">
                  <w:pPr>
                    <w:adjustRightInd w:val="0"/>
                    <w:snapToGrid w:val="0"/>
                    <w:jc w:val="center"/>
                  </w:pPr>
                </w:p>
              </w:tc>
              <w:tc>
                <w:tcPr>
                  <w:tcW w:w="714" w:type="dxa"/>
                  <w:vAlign w:val="center"/>
                </w:tcPr>
                <w:p w14:paraId="24730737">
                  <w:pPr>
                    <w:adjustRightInd w:val="0"/>
                    <w:snapToGrid w:val="0"/>
                    <w:jc w:val="center"/>
                  </w:pPr>
                  <w:r>
                    <w:t>X</w:t>
                  </w:r>
                </w:p>
              </w:tc>
              <w:tc>
                <w:tcPr>
                  <w:tcW w:w="715" w:type="dxa"/>
                  <w:vAlign w:val="center"/>
                </w:tcPr>
                <w:p w14:paraId="7D0CCD03">
                  <w:pPr>
                    <w:adjustRightInd w:val="0"/>
                    <w:snapToGrid w:val="0"/>
                    <w:jc w:val="center"/>
                  </w:pPr>
                  <w:r>
                    <w:t>Y</w:t>
                  </w:r>
                </w:p>
              </w:tc>
              <w:tc>
                <w:tcPr>
                  <w:tcW w:w="1690" w:type="dxa"/>
                  <w:vMerge w:val="continue"/>
                  <w:vAlign w:val="center"/>
                </w:tcPr>
                <w:p w14:paraId="6344C601">
                  <w:pPr>
                    <w:adjustRightInd w:val="0"/>
                    <w:snapToGrid w:val="0"/>
                    <w:jc w:val="center"/>
                  </w:pPr>
                </w:p>
              </w:tc>
              <w:tc>
                <w:tcPr>
                  <w:tcW w:w="709" w:type="dxa"/>
                  <w:vMerge w:val="continue"/>
                  <w:vAlign w:val="center"/>
                </w:tcPr>
                <w:p w14:paraId="7FBF7323">
                  <w:pPr>
                    <w:adjustRightInd w:val="0"/>
                    <w:snapToGrid w:val="0"/>
                    <w:jc w:val="center"/>
                  </w:pPr>
                </w:p>
              </w:tc>
              <w:tc>
                <w:tcPr>
                  <w:tcW w:w="850" w:type="dxa"/>
                  <w:vMerge w:val="continue"/>
                  <w:vAlign w:val="center"/>
                </w:tcPr>
                <w:p w14:paraId="69F9FECA">
                  <w:pPr>
                    <w:adjustRightInd w:val="0"/>
                    <w:snapToGrid w:val="0"/>
                    <w:jc w:val="center"/>
                  </w:pPr>
                </w:p>
              </w:tc>
              <w:tc>
                <w:tcPr>
                  <w:tcW w:w="851" w:type="dxa"/>
                  <w:vMerge w:val="continue"/>
                  <w:vAlign w:val="center"/>
                </w:tcPr>
                <w:p w14:paraId="2F7A4F6D">
                  <w:pPr>
                    <w:adjustRightInd w:val="0"/>
                    <w:snapToGrid w:val="0"/>
                    <w:jc w:val="center"/>
                  </w:pPr>
                </w:p>
              </w:tc>
              <w:tc>
                <w:tcPr>
                  <w:tcW w:w="1087" w:type="dxa"/>
                  <w:vMerge w:val="continue"/>
                  <w:vAlign w:val="center"/>
                </w:tcPr>
                <w:p w14:paraId="5B8C6102">
                  <w:pPr>
                    <w:adjustRightInd w:val="0"/>
                    <w:snapToGrid w:val="0"/>
                    <w:jc w:val="center"/>
                  </w:pPr>
                </w:p>
              </w:tc>
            </w:tr>
            <w:tr w14:paraId="5D2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6" w:type="dxa"/>
                  <w:vAlign w:val="center"/>
                </w:tcPr>
                <w:p w14:paraId="077690FD">
                  <w:pPr>
                    <w:jc w:val="center"/>
                  </w:pPr>
                  <w:r>
                    <w:rPr>
                      <w:rFonts w:hint="eastAsia"/>
                    </w:rPr>
                    <w:t>1</w:t>
                  </w:r>
                </w:p>
              </w:tc>
              <w:tc>
                <w:tcPr>
                  <w:tcW w:w="922" w:type="dxa"/>
                  <w:vAlign w:val="center"/>
                </w:tcPr>
                <w:p w14:paraId="46EC0291">
                  <w:pPr>
                    <w:jc w:val="center"/>
                  </w:pPr>
                  <w:r>
                    <w:rPr>
                      <w:rFonts w:hint="eastAsia"/>
                    </w:rPr>
                    <w:t>涪陵区第十三小学</w:t>
                  </w:r>
                </w:p>
              </w:tc>
              <w:tc>
                <w:tcPr>
                  <w:tcW w:w="714" w:type="dxa"/>
                  <w:vAlign w:val="center"/>
                </w:tcPr>
                <w:p w14:paraId="64131CAB">
                  <w:pPr>
                    <w:jc w:val="center"/>
                  </w:pPr>
                  <w:r>
                    <w:t>309</w:t>
                  </w:r>
                </w:p>
              </w:tc>
              <w:tc>
                <w:tcPr>
                  <w:tcW w:w="715" w:type="dxa"/>
                  <w:vAlign w:val="center"/>
                </w:tcPr>
                <w:p w14:paraId="2B9C9B12">
                  <w:pPr>
                    <w:jc w:val="center"/>
                  </w:pPr>
                  <w:r>
                    <w:t>82</w:t>
                  </w:r>
                </w:p>
              </w:tc>
              <w:tc>
                <w:tcPr>
                  <w:tcW w:w="1690" w:type="dxa"/>
                  <w:vAlign w:val="center"/>
                </w:tcPr>
                <w:p w14:paraId="4C421331">
                  <w:pPr>
                    <w:adjustRightInd w:val="0"/>
                    <w:snapToGrid w:val="0"/>
                    <w:jc w:val="center"/>
                  </w:pPr>
                  <w:r>
                    <w:rPr>
                      <w:rFonts w:hint="eastAsia"/>
                    </w:rPr>
                    <w:t>教职工及学生共计约600人</w:t>
                  </w:r>
                </w:p>
              </w:tc>
              <w:tc>
                <w:tcPr>
                  <w:tcW w:w="709" w:type="dxa"/>
                  <w:vMerge w:val="restart"/>
                  <w:vAlign w:val="center"/>
                </w:tcPr>
                <w:p w14:paraId="017D5EA7">
                  <w:pPr>
                    <w:adjustRightInd w:val="0"/>
                    <w:snapToGrid w:val="0"/>
                    <w:jc w:val="center"/>
                  </w:pPr>
                  <w:r>
                    <w:rPr>
                      <w:rFonts w:hint="eastAsia"/>
                    </w:rPr>
                    <w:t>环境空气</w:t>
                  </w:r>
                </w:p>
              </w:tc>
              <w:tc>
                <w:tcPr>
                  <w:tcW w:w="850" w:type="dxa"/>
                  <w:vMerge w:val="restart"/>
                  <w:vAlign w:val="center"/>
                </w:tcPr>
                <w:p w14:paraId="542F5187">
                  <w:pPr>
                    <w:adjustRightInd w:val="0"/>
                    <w:snapToGrid w:val="0"/>
                    <w:jc w:val="center"/>
                  </w:pPr>
                  <w:r>
                    <w:rPr>
                      <w:rFonts w:hint="eastAsia"/>
                    </w:rPr>
                    <w:t>二类区</w:t>
                  </w:r>
                </w:p>
              </w:tc>
              <w:tc>
                <w:tcPr>
                  <w:tcW w:w="851" w:type="dxa"/>
                  <w:vAlign w:val="center"/>
                </w:tcPr>
                <w:p w14:paraId="34C5C335">
                  <w:pPr>
                    <w:adjustRightInd w:val="0"/>
                    <w:snapToGrid w:val="0"/>
                    <w:jc w:val="center"/>
                  </w:pPr>
                  <w:r>
                    <w:rPr>
                      <w:rFonts w:hint="eastAsia"/>
                    </w:rPr>
                    <w:t>SE</w:t>
                  </w:r>
                </w:p>
              </w:tc>
              <w:tc>
                <w:tcPr>
                  <w:tcW w:w="1087" w:type="dxa"/>
                  <w:vAlign w:val="center"/>
                </w:tcPr>
                <w:p w14:paraId="47018AC7">
                  <w:pPr>
                    <w:adjustRightInd w:val="0"/>
                    <w:snapToGrid w:val="0"/>
                    <w:jc w:val="center"/>
                  </w:pPr>
                  <w:r>
                    <w:t>320</w:t>
                  </w:r>
                </w:p>
              </w:tc>
            </w:tr>
            <w:tr w14:paraId="67CC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6" w:type="dxa"/>
                  <w:vAlign w:val="center"/>
                </w:tcPr>
                <w:p w14:paraId="1EAAA1EB">
                  <w:pPr>
                    <w:jc w:val="center"/>
                  </w:pPr>
                  <w:r>
                    <w:rPr>
                      <w:rFonts w:hint="eastAsia"/>
                    </w:rPr>
                    <w:t>2</w:t>
                  </w:r>
                </w:p>
              </w:tc>
              <w:tc>
                <w:tcPr>
                  <w:tcW w:w="922" w:type="dxa"/>
                  <w:vAlign w:val="center"/>
                </w:tcPr>
                <w:p w14:paraId="0D7E2DCB">
                  <w:pPr>
                    <w:jc w:val="center"/>
                  </w:pPr>
                  <w:r>
                    <w:rPr>
                      <w:rFonts w:hint="eastAsia"/>
                    </w:rPr>
                    <w:t>双溪5组团公租房及配套廉租房小区</w:t>
                  </w:r>
                </w:p>
              </w:tc>
              <w:tc>
                <w:tcPr>
                  <w:tcW w:w="714" w:type="dxa"/>
                  <w:vAlign w:val="center"/>
                </w:tcPr>
                <w:p w14:paraId="76A286B0">
                  <w:pPr>
                    <w:jc w:val="center"/>
                  </w:pPr>
                  <w:r>
                    <w:t>388</w:t>
                  </w:r>
                </w:p>
              </w:tc>
              <w:tc>
                <w:tcPr>
                  <w:tcW w:w="715" w:type="dxa"/>
                  <w:vAlign w:val="center"/>
                </w:tcPr>
                <w:p w14:paraId="5E349466">
                  <w:pPr>
                    <w:jc w:val="center"/>
                  </w:pPr>
                  <w:r>
                    <w:t>-36</w:t>
                  </w:r>
                </w:p>
              </w:tc>
              <w:tc>
                <w:tcPr>
                  <w:tcW w:w="1690" w:type="dxa"/>
                  <w:vAlign w:val="center"/>
                </w:tcPr>
                <w:p w14:paraId="3FF3B50A">
                  <w:pPr>
                    <w:adjustRightInd w:val="0"/>
                    <w:snapToGrid w:val="0"/>
                    <w:jc w:val="center"/>
                  </w:pPr>
                  <w:r>
                    <w:rPr>
                      <w:rFonts w:hint="eastAsia"/>
                    </w:rPr>
                    <w:t>集中居住小区，约3000人</w:t>
                  </w:r>
                </w:p>
              </w:tc>
              <w:tc>
                <w:tcPr>
                  <w:tcW w:w="709" w:type="dxa"/>
                  <w:vMerge w:val="continue"/>
                  <w:vAlign w:val="center"/>
                </w:tcPr>
                <w:p w14:paraId="71CDDA65">
                  <w:pPr>
                    <w:adjustRightInd w:val="0"/>
                    <w:snapToGrid w:val="0"/>
                    <w:jc w:val="center"/>
                  </w:pPr>
                </w:p>
              </w:tc>
              <w:tc>
                <w:tcPr>
                  <w:tcW w:w="850" w:type="dxa"/>
                  <w:vMerge w:val="continue"/>
                  <w:vAlign w:val="center"/>
                </w:tcPr>
                <w:p w14:paraId="31C759AF">
                  <w:pPr>
                    <w:adjustRightInd w:val="0"/>
                    <w:snapToGrid w:val="0"/>
                    <w:jc w:val="center"/>
                  </w:pPr>
                </w:p>
              </w:tc>
              <w:tc>
                <w:tcPr>
                  <w:tcW w:w="851" w:type="dxa"/>
                  <w:vAlign w:val="center"/>
                </w:tcPr>
                <w:p w14:paraId="6EFF4356">
                  <w:pPr>
                    <w:adjustRightInd w:val="0"/>
                    <w:snapToGrid w:val="0"/>
                    <w:jc w:val="center"/>
                  </w:pPr>
                  <w:r>
                    <w:rPr>
                      <w:rFonts w:hint="eastAsia"/>
                    </w:rPr>
                    <w:t>SE</w:t>
                  </w:r>
                </w:p>
              </w:tc>
              <w:tc>
                <w:tcPr>
                  <w:tcW w:w="1087" w:type="dxa"/>
                  <w:vAlign w:val="center"/>
                </w:tcPr>
                <w:p w14:paraId="2578FB35">
                  <w:pPr>
                    <w:adjustRightInd w:val="0"/>
                    <w:snapToGrid w:val="0"/>
                    <w:jc w:val="center"/>
                  </w:pPr>
                  <w:r>
                    <w:t>390</w:t>
                  </w:r>
                </w:p>
              </w:tc>
            </w:tr>
            <w:tr w14:paraId="72C4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6" w:type="dxa"/>
                  <w:vAlign w:val="center"/>
                </w:tcPr>
                <w:p w14:paraId="3CA9B00B">
                  <w:pPr>
                    <w:jc w:val="center"/>
                  </w:pPr>
                  <w:r>
                    <w:rPr>
                      <w:rFonts w:hint="eastAsia"/>
                    </w:rPr>
                    <w:t>3</w:t>
                  </w:r>
                </w:p>
              </w:tc>
              <w:tc>
                <w:tcPr>
                  <w:tcW w:w="922" w:type="dxa"/>
                  <w:vAlign w:val="center"/>
                </w:tcPr>
                <w:p w14:paraId="4DF96113">
                  <w:pPr>
                    <w:jc w:val="center"/>
                  </w:pPr>
                  <w:r>
                    <w:rPr>
                      <w:rFonts w:hint="eastAsia"/>
                    </w:rPr>
                    <w:t>规划居住用地</w:t>
                  </w:r>
                </w:p>
              </w:tc>
              <w:tc>
                <w:tcPr>
                  <w:tcW w:w="714" w:type="dxa"/>
                  <w:vAlign w:val="center"/>
                </w:tcPr>
                <w:p w14:paraId="51ABB243">
                  <w:pPr>
                    <w:jc w:val="center"/>
                  </w:pPr>
                  <w:r>
                    <w:t>306</w:t>
                  </w:r>
                </w:p>
              </w:tc>
              <w:tc>
                <w:tcPr>
                  <w:tcW w:w="715" w:type="dxa"/>
                  <w:vAlign w:val="center"/>
                </w:tcPr>
                <w:p w14:paraId="5244F303">
                  <w:pPr>
                    <w:jc w:val="center"/>
                  </w:pPr>
                  <w:r>
                    <w:t>128</w:t>
                  </w:r>
                </w:p>
              </w:tc>
              <w:tc>
                <w:tcPr>
                  <w:tcW w:w="1690" w:type="dxa"/>
                  <w:vAlign w:val="center"/>
                </w:tcPr>
                <w:p w14:paraId="4B9CDBAD">
                  <w:pPr>
                    <w:adjustRightInd w:val="0"/>
                    <w:snapToGrid w:val="0"/>
                    <w:jc w:val="center"/>
                  </w:pPr>
                  <w:r>
                    <w:rPr>
                      <w:rFonts w:hint="eastAsia"/>
                    </w:rPr>
                    <w:t>规划居住用地</w:t>
                  </w:r>
                </w:p>
              </w:tc>
              <w:tc>
                <w:tcPr>
                  <w:tcW w:w="709" w:type="dxa"/>
                  <w:vMerge w:val="continue"/>
                  <w:vAlign w:val="center"/>
                </w:tcPr>
                <w:p w14:paraId="73F6C819">
                  <w:pPr>
                    <w:adjustRightInd w:val="0"/>
                    <w:snapToGrid w:val="0"/>
                    <w:jc w:val="center"/>
                  </w:pPr>
                </w:p>
              </w:tc>
              <w:tc>
                <w:tcPr>
                  <w:tcW w:w="850" w:type="dxa"/>
                  <w:vMerge w:val="continue"/>
                  <w:vAlign w:val="center"/>
                </w:tcPr>
                <w:p w14:paraId="60F1FC8E">
                  <w:pPr>
                    <w:adjustRightInd w:val="0"/>
                    <w:snapToGrid w:val="0"/>
                    <w:jc w:val="center"/>
                  </w:pPr>
                </w:p>
              </w:tc>
              <w:tc>
                <w:tcPr>
                  <w:tcW w:w="851" w:type="dxa"/>
                  <w:vAlign w:val="center"/>
                </w:tcPr>
                <w:p w14:paraId="39D6AB91">
                  <w:pPr>
                    <w:adjustRightInd w:val="0"/>
                    <w:snapToGrid w:val="0"/>
                    <w:jc w:val="center"/>
                  </w:pPr>
                  <w:r>
                    <w:rPr>
                      <w:rFonts w:hint="eastAsia"/>
                    </w:rPr>
                    <w:t>NE</w:t>
                  </w:r>
                </w:p>
              </w:tc>
              <w:tc>
                <w:tcPr>
                  <w:tcW w:w="1087" w:type="dxa"/>
                  <w:vAlign w:val="center"/>
                </w:tcPr>
                <w:p w14:paraId="779CF122">
                  <w:pPr>
                    <w:adjustRightInd w:val="0"/>
                    <w:snapToGrid w:val="0"/>
                    <w:jc w:val="center"/>
                  </w:pPr>
                  <w:r>
                    <w:rPr>
                      <w:rFonts w:hint="eastAsia"/>
                    </w:rPr>
                    <w:t>2</w:t>
                  </w:r>
                  <w:r>
                    <w:t>20</w:t>
                  </w:r>
                </w:p>
              </w:tc>
            </w:tr>
            <w:tr w14:paraId="7E7B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6" w:type="dxa"/>
                  <w:vAlign w:val="center"/>
                </w:tcPr>
                <w:p w14:paraId="5F9BBA5F">
                  <w:pPr>
                    <w:jc w:val="center"/>
                  </w:pPr>
                  <w:r>
                    <w:t>4</w:t>
                  </w:r>
                </w:p>
              </w:tc>
              <w:tc>
                <w:tcPr>
                  <w:tcW w:w="922" w:type="dxa"/>
                  <w:vAlign w:val="center"/>
                </w:tcPr>
                <w:p w14:paraId="3FDC43DE">
                  <w:pPr>
                    <w:jc w:val="center"/>
                  </w:pPr>
                  <w:r>
                    <w:rPr>
                      <w:rFonts w:hint="eastAsia"/>
                    </w:rPr>
                    <w:t>长江</w:t>
                  </w:r>
                </w:p>
              </w:tc>
              <w:tc>
                <w:tcPr>
                  <w:tcW w:w="714" w:type="dxa"/>
                  <w:vAlign w:val="center"/>
                </w:tcPr>
                <w:p w14:paraId="63A5BE74">
                  <w:pPr>
                    <w:jc w:val="center"/>
                  </w:pPr>
                  <w:r>
                    <w:rPr>
                      <w:rFonts w:hint="eastAsia"/>
                    </w:rPr>
                    <w:t>/</w:t>
                  </w:r>
                </w:p>
              </w:tc>
              <w:tc>
                <w:tcPr>
                  <w:tcW w:w="715" w:type="dxa"/>
                  <w:vAlign w:val="center"/>
                </w:tcPr>
                <w:p w14:paraId="029B1E82">
                  <w:pPr>
                    <w:jc w:val="center"/>
                  </w:pPr>
                  <w:r>
                    <w:rPr>
                      <w:rFonts w:hint="eastAsia"/>
                    </w:rPr>
                    <w:t>/</w:t>
                  </w:r>
                </w:p>
              </w:tc>
              <w:tc>
                <w:tcPr>
                  <w:tcW w:w="1690" w:type="dxa"/>
                  <w:vAlign w:val="center"/>
                </w:tcPr>
                <w:p w14:paraId="3F010FB7">
                  <w:pPr>
                    <w:adjustRightInd w:val="0"/>
                    <w:snapToGrid w:val="0"/>
                    <w:jc w:val="center"/>
                  </w:pPr>
                  <w:r>
                    <w:rPr>
                      <w:rFonts w:hint="eastAsia"/>
                    </w:rPr>
                    <w:t>长江</w:t>
                  </w:r>
                </w:p>
              </w:tc>
              <w:tc>
                <w:tcPr>
                  <w:tcW w:w="709" w:type="dxa"/>
                  <w:vAlign w:val="center"/>
                </w:tcPr>
                <w:p w14:paraId="69790289">
                  <w:pPr>
                    <w:adjustRightInd w:val="0"/>
                    <w:snapToGrid w:val="0"/>
                    <w:jc w:val="center"/>
                  </w:pPr>
                  <w:r>
                    <w:t>地表水环境</w:t>
                  </w:r>
                </w:p>
              </w:tc>
              <w:tc>
                <w:tcPr>
                  <w:tcW w:w="850" w:type="dxa"/>
                  <w:vAlign w:val="center"/>
                </w:tcPr>
                <w:p w14:paraId="71C27281">
                  <w:pPr>
                    <w:adjustRightInd w:val="0"/>
                    <w:snapToGrid w:val="0"/>
                    <w:jc w:val="center"/>
                  </w:pPr>
                  <w:r>
                    <w:rPr>
                      <w:rFonts w:hint="eastAsia"/>
                    </w:rPr>
                    <w:t>Ⅲ类水域</w:t>
                  </w:r>
                </w:p>
              </w:tc>
              <w:tc>
                <w:tcPr>
                  <w:tcW w:w="851" w:type="dxa"/>
                  <w:vAlign w:val="center"/>
                </w:tcPr>
                <w:p w14:paraId="6931C11E">
                  <w:pPr>
                    <w:adjustRightInd w:val="0"/>
                    <w:snapToGrid w:val="0"/>
                    <w:jc w:val="center"/>
                  </w:pPr>
                  <w:r>
                    <w:rPr>
                      <w:rFonts w:hint="eastAsia"/>
                    </w:rPr>
                    <w:t>S</w:t>
                  </w:r>
                </w:p>
              </w:tc>
              <w:tc>
                <w:tcPr>
                  <w:tcW w:w="1087" w:type="dxa"/>
                  <w:vAlign w:val="center"/>
                </w:tcPr>
                <w:p w14:paraId="30FB8FE5">
                  <w:pPr>
                    <w:adjustRightInd w:val="0"/>
                    <w:snapToGrid w:val="0"/>
                    <w:jc w:val="center"/>
                  </w:pPr>
                  <w:r>
                    <w:rPr>
                      <w:rFonts w:hint="eastAsia"/>
                    </w:rPr>
                    <w:t>1</w:t>
                  </w:r>
                  <w:r>
                    <w:t>550</w:t>
                  </w:r>
                </w:p>
              </w:tc>
            </w:tr>
            <w:tr w14:paraId="6A4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964" w:type="dxa"/>
                  <w:gridSpan w:val="9"/>
                  <w:vAlign w:val="center"/>
                </w:tcPr>
                <w:p w14:paraId="0B9D711A">
                  <w:pPr>
                    <w:adjustRightInd w:val="0"/>
                    <w:snapToGrid w:val="0"/>
                    <w:jc w:val="left"/>
                  </w:pPr>
                  <w:r>
                    <w:rPr>
                      <w:rFonts w:hint="eastAsia"/>
                    </w:rPr>
                    <w:t>备注：用地红线东南角顶点为坐标原点，记为（0，0）</w:t>
                  </w:r>
                </w:p>
              </w:tc>
            </w:tr>
          </w:tbl>
          <w:p w14:paraId="7B567344">
            <w:pPr>
              <w:adjustRightInd w:val="0"/>
              <w:snapToGrid w:val="0"/>
              <w:spacing w:line="360" w:lineRule="auto"/>
              <w:ind w:firstLine="480" w:firstLineChars="200"/>
              <w:rPr>
                <w:kern w:val="0"/>
                <w:sz w:val="24"/>
              </w:rPr>
            </w:pPr>
          </w:p>
        </w:tc>
      </w:tr>
      <w:tr w14:paraId="5D02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00" w:type="dxa"/>
            <w:tcMar>
              <w:left w:w="28" w:type="dxa"/>
              <w:right w:w="28" w:type="dxa"/>
            </w:tcMar>
            <w:vAlign w:val="center"/>
          </w:tcPr>
          <w:p w14:paraId="1D011689">
            <w:pPr>
              <w:adjustRightInd w:val="0"/>
              <w:snapToGrid w:val="0"/>
              <w:jc w:val="center"/>
              <w:rPr>
                <w:kern w:val="0"/>
                <w:szCs w:val="21"/>
              </w:rPr>
            </w:pPr>
            <w:r>
              <w:rPr>
                <w:kern w:val="0"/>
                <w:szCs w:val="21"/>
              </w:rPr>
              <w:t>污染</w:t>
            </w:r>
          </w:p>
          <w:p w14:paraId="6D4722B0">
            <w:pPr>
              <w:adjustRightInd w:val="0"/>
              <w:snapToGrid w:val="0"/>
              <w:jc w:val="center"/>
              <w:rPr>
                <w:kern w:val="0"/>
                <w:szCs w:val="21"/>
              </w:rPr>
            </w:pPr>
            <w:r>
              <w:rPr>
                <w:kern w:val="0"/>
                <w:szCs w:val="21"/>
              </w:rPr>
              <w:t>物排</w:t>
            </w:r>
          </w:p>
          <w:p w14:paraId="47F56DB1">
            <w:pPr>
              <w:adjustRightInd w:val="0"/>
              <w:snapToGrid w:val="0"/>
              <w:jc w:val="center"/>
              <w:rPr>
                <w:kern w:val="0"/>
                <w:szCs w:val="21"/>
              </w:rPr>
            </w:pPr>
            <w:r>
              <w:rPr>
                <w:kern w:val="0"/>
                <w:szCs w:val="21"/>
              </w:rPr>
              <w:t>放控</w:t>
            </w:r>
          </w:p>
          <w:p w14:paraId="59C4288C">
            <w:pPr>
              <w:adjustRightInd w:val="0"/>
              <w:snapToGrid w:val="0"/>
              <w:jc w:val="center"/>
              <w:rPr>
                <w:kern w:val="0"/>
                <w:szCs w:val="21"/>
              </w:rPr>
            </w:pPr>
            <w:r>
              <w:rPr>
                <w:kern w:val="0"/>
                <w:szCs w:val="21"/>
              </w:rPr>
              <w:t>制标</w:t>
            </w:r>
          </w:p>
          <w:p w14:paraId="73D28F4B">
            <w:pPr>
              <w:adjustRightInd w:val="0"/>
              <w:snapToGrid w:val="0"/>
              <w:jc w:val="center"/>
              <w:rPr>
                <w:kern w:val="0"/>
                <w:szCs w:val="21"/>
              </w:rPr>
            </w:pPr>
            <w:r>
              <w:rPr>
                <w:kern w:val="0"/>
                <w:szCs w:val="21"/>
              </w:rPr>
              <w:t>准</w:t>
            </w:r>
          </w:p>
        </w:tc>
        <w:tc>
          <w:tcPr>
            <w:tcW w:w="8190" w:type="dxa"/>
            <w:vAlign w:val="center"/>
          </w:tcPr>
          <w:p w14:paraId="716405DA">
            <w:pPr>
              <w:adjustRightInd w:val="0"/>
              <w:snapToGrid w:val="0"/>
              <w:spacing w:line="360" w:lineRule="auto"/>
              <w:ind w:firstLine="482" w:firstLineChars="200"/>
              <w:contextualSpacing/>
              <w:rPr>
                <w:b/>
                <w:kern w:val="44"/>
                <w:sz w:val="24"/>
              </w:rPr>
            </w:pPr>
            <w:r>
              <w:rPr>
                <w:b/>
                <w:kern w:val="44"/>
                <w:sz w:val="24"/>
              </w:rPr>
              <w:t>1、大气污染物排放标准</w:t>
            </w:r>
          </w:p>
          <w:p w14:paraId="152F4D55">
            <w:pPr>
              <w:adjustRightInd w:val="0"/>
              <w:spacing w:line="360" w:lineRule="auto"/>
              <w:ind w:firstLine="480" w:firstLineChars="200"/>
              <w:textAlignment w:val="baseline"/>
              <w:rPr>
                <w:bCs/>
                <w:sz w:val="24"/>
              </w:rPr>
            </w:pPr>
            <w:r>
              <w:rPr>
                <w:rFonts w:hint="eastAsia"/>
                <w:bCs/>
                <w:sz w:val="24"/>
              </w:rPr>
              <w:t>项目熔化炉废气及表面清理、抛丸废气执行《铸造工业大气污染物排放标准》（GB39726-2020）表</w:t>
            </w:r>
            <w:r>
              <w:rPr>
                <w:bCs/>
                <w:sz w:val="24"/>
              </w:rPr>
              <w:t>1</w:t>
            </w:r>
            <w:r>
              <w:rPr>
                <w:rFonts w:hint="eastAsia"/>
                <w:bCs/>
                <w:sz w:val="24"/>
              </w:rPr>
              <w:t>标准；保温炉废气执行《工业炉窑大气污染物排放标准》（DB 50659-2016）；压铸工序非甲烷总烃执行《大气污染物综合排放标准》（DB50/418-2016）；厂界无组织排放监控点的非甲烷总烃、颗粒物、二氧化硫、氮氧化物执行《大气污染物综合排放标准》（DB50/418-2016）。食堂油烟执行《餐饮业大气污染物排放标准》（DB50/859-2018）；污水处理设施恶臭执行《恶臭污染物排放标准》（GB 14554-93）。</w:t>
            </w:r>
          </w:p>
          <w:p w14:paraId="20CCC18D">
            <w:pPr>
              <w:adjustRightInd w:val="0"/>
              <w:spacing w:line="360" w:lineRule="auto"/>
              <w:ind w:firstLine="588" w:firstLineChars="245"/>
              <w:jc w:val="left"/>
              <w:textAlignment w:val="baseline"/>
              <w:rPr>
                <w:bCs/>
                <w:sz w:val="24"/>
              </w:rPr>
            </w:pPr>
            <w:r>
              <w:rPr>
                <w:bCs/>
                <w:sz w:val="24"/>
              </w:rPr>
              <w:t>具体标准详见表3-6</w:t>
            </w:r>
            <w:r>
              <w:rPr>
                <w:rFonts w:hint="eastAsia"/>
                <w:bCs/>
                <w:sz w:val="24"/>
              </w:rPr>
              <w:t>~表</w:t>
            </w:r>
            <w:r>
              <w:rPr>
                <w:bCs/>
                <w:sz w:val="24"/>
              </w:rPr>
              <w:t>3-10。</w:t>
            </w:r>
          </w:p>
          <w:p w14:paraId="302F0044">
            <w:pPr>
              <w:adjustRightInd w:val="0"/>
              <w:snapToGrid w:val="0"/>
              <w:spacing w:line="360" w:lineRule="auto"/>
              <w:jc w:val="center"/>
              <w:rPr>
                <w:rFonts w:eastAsia="PMingLiU"/>
                <w:kern w:val="0"/>
                <w:sz w:val="24"/>
                <w:lang w:val="zh-TW" w:eastAsia="zh-TW"/>
              </w:rPr>
            </w:pPr>
            <w:r>
              <w:rPr>
                <w:kern w:val="0"/>
                <w:sz w:val="24"/>
                <w:lang w:val="zh-TW" w:eastAsia="zh-TW"/>
              </w:rPr>
              <w:t>表</w:t>
            </w:r>
            <w:r>
              <w:rPr>
                <w:rFonts w:eastAsia="FangSong_GB2312"/>
                <w:bCs/>
                <w:kern w:val="0"/>
                <w:sz w:val="24"/>
                <w:lang w:val="zh-TW" w:eastAsia="zh-TW"/>
              </w:rPr>
              <w:t>3-</w:t>
            </w:r>
            <w:r>
              <w:rPr>
                <w:rFonts w:eastAsia="PMingLiU"/>
                <w:bCs/>
                <w:kern w:val="0"/>
                <w:sz w:val="24"/>
                <w:lang w:val="zh-TW" w:eastAsia="zh-TW"/>
              </w:rPr>
              <w:t>6</w:t>
            </w:r>
            <w:r>
              <w:rPr>
                <w:kern w:val="0"/>
                <w:sz w:val="24"/>
                <w:lang w:val="zh-TW" w:eastAsia="zh-TW"/>
              </w:rPr>
              <w:t xml:space="preserve"> </w:t>
            </w:r>
            <w:r>
              <w:rPr>
                <w:rFonts w:eastAsia="PMingLiU"/>
                <w:kern w:val="0"/>
                <w:sz w:val="24"/>
                <w:lang w:val="zh-TW" w:eastAsia="zh-TW"/>
              </w:rPr>
              <w:t xml:space="preserve"> </w:t>
            </w:r>
            <w:r>
              <w:rPr>
                <w:rFonts w:hint="eastAsia"/>
                <w:kern w:val="0"/>
                <w:sz w:val="24"/>
                <w:lang w:val="zh-TW" w:eastAsia="zh-TW"/>
              </w:rPr>
              <w:t>铸造工业大气污染物排放</w:t>
            </w:r>
            <w:r>
              <w:rPr>
                <w:rFonts w:hint="eastAsia"/>
                <w:kern w:val="0"/>
                <w:sz w:val="24"/>
                <w:lang w:val="zh-TW"/>
              </w:rPr>
              <w:t>限值 单位：mg</w:t>
            </w:r>
            <w:r>
              <w:rPr>
                <w:rFonts w:hint="eastAsia" w:eastAsiaTheme="minorEastAsia"/>
                <w:kern w:val="0"/>
                <w:sz w:val="24"/>
                <w:lang w:val="zh-TW"/>
              </w:rPr>
              <w:t>/</w:t>
            </w:r>
            <w:r>
              <w:rPr>
                <w:rFonts w:eastAsia="PMingLiU"/>
                <w:kern w:val="0"/>
                <w:sz w:val="24"/>
                <w:lang w:val="zh-TW" w:eastAsia="zh-TW"/>
              </w:rPr>
              <w:t>m</w:t>
            </w:r>
            <w:r>
              <w:rPr>
                <w:rFonts w:eastAsia="PMingLiU"/>
                <w:kern w:val="0"/>
                <w:sz w:val="24"/>
                <w:vertAlign w:val="superscript"/>
                <w:lang w:val="zh-TW" w:eastAsia="zh-TW"/>
              </w:rPr>
              <w:t>3</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11"/>
              <w:gridCol w:w="808"/>
              <w:gridCol w:w="817"/>
              <w:gridCol w:w="817"/>
              <w:gridCol w:w="952"/>
              <w:gridCol w:w="964"/>
              <w:gridCol w:w="1375"/>
            </w:tblGrid>
            <w:tr w14:paraId="1FD6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01" w:type="pct"/>
                  <w:gridSpan w:val="2"/>
                  <w:tcMar>
                    <w:left w:w="0" w:type="dxa"/>
                    <w:right w:w="0" w:type="dxa"/>
                  </w:tcMar>
                  <w:vAlign w:val="center"/>
                </w:tcPr>
                <w:p w14:paraId="78D6565E">
                  <w:pPr>
                    <w:jc w:val="center"/>
                    <w:rPr>
                      <w:kern w:val="0"/>
                    </w:rPr>
                  </w:pPr>
                  <w:r>
                    <w:rPr>
                      <w:rFonts w:hint="eastAsia"/>
                      <w:kern w:val="0"/>
                    </w:rPr>
                    <w:t>生产过程</w:t>
                  </w:r>
                </w:p>
              </w:tc>
              <w:tc>
                <w:tcPr>
                  <w:tcW w:w="507" w:type="pct"/>
                  <w:vAlign w:val="center"/>
                </w:tcPr>
                <w:p w14:paraId="15C7706F">
                  <w:pPr>
                    <w:jc w:val="center"/>
                    <w:rPr>
                      <w:kern w:val="0"/>
                    </w:rPr>
                  </w:pPr>
                  <w:r>
                    <w:rPr>
                      <w:rFonts w:hint="eastAsia"/>
                      <w:kern w:val="0"/>
                    </w:rPr>
                    <w:t>颗粒物</w:t>
                  </w:r>
                </w:p>
              </w:tc>
              <w:tc>
                <w:tcPr>
                  <w:tcW w:w="513" w:type="pct"/>
                  <w:vAlign w:val="center"/>
                </w:tcPr>
                <w:p w14:paraId="77262EC3">
                  <w:pPr>
                    <w:jc w:val="center"/>
                    <w:rPr>
                      <w:kern w:val="0"/>
                    </w:rPr>
                  </w:pPr>
                  <w:r>
                    <w:rPr>
                      <w:rFonts w:hint="eastAsia"/>
                      <w:kern w:val="0"/>
                    </w:rPr>
                    <w:t>二氧化硫</w:t>
                  </w:r>
                </w:p>
              </w:tc>
              <w:tc>
                <w:tcPr>
                  <w:tcW w:w="513" w:type="pct"/>
                  <w:vAlign w:val="center"/>
                </w:tcPr>
                <w:p w14:paraId="2CE491A9">
                  <w:pPr>
                    <w:jc w:val="center"/>
                    <w:rPr>
                      <w:kern w:val="0"/>
                    </w:rPr>
                  </w:pPr>
                  <w:r>
                    <w:rPr>
                      <w:rFonts w:hint="eastAsia"/>
                      <w:kern w:val="0"/>
                    </w:rPr>
                    <w:t>氮氧化物</w:t>
                  </w:r>
                </w:p>
              </w:tc>
              <w:tc>
                <w:tcPr>
                  <w:tcW w:w="598" w:type="pct"/>
                  <w:vAlign w:val="center"/>
                </w:tcPr>
                <w:p w14:paraId="44EE31BD">
                  <w:pPr>
                    <w:jc w:val="center"/>
                    <w:rPr>
                      <w:kern w:val="0"/>
                    </w:rPr>
                  </w:pPr>
                  <w:r>
                    <w:rPr>
                      <w:rFonts w:hint="eastAsia"/>
                      <w:kern w:val="0"/>
                    </w:rPr>
                    <w:t>N</w:t>
                  </w:r>
                  <w:r>
                    <w:rPr>
                      <w:kern w:val="0"/>
                    </w:rPr>
                    <w:t>MHC</w:t>
                  </w:r>
                </w:p>
              </w:tc>
              <w:tc>
                <w:tcPr>
                  <w:tcW w:w="605" w:type="pct"/>
                  <w:vAlign w:val="center"/>
                </w:tcPr>
                <w:p w14:paraId="2C107946">
                  <w:pPr>
                    <w:jc w:val="center"/>
                    <w:rPr>
                      <w:kern w:val="0"/>
                    </w:rPr>
                  </w:pPr>
                  <w:r>
                    <w:rPr>
                      <w:rFonts w:hint="eastAsia"/>
                      <w:kern w:val="0"/>
                    </w:rPr>
                    <w:t>T</w:t>
                  </w:r>
                  <w:r>
                    <w:rPr>
                      <w:kern w:val="0"/>
                    </w:rPr>
                    <w:t>VOC</w:t>
                  </w:r>
                </w:p>
              </w:tc>
              <w:tc>
                <w:tcPr>
                  <w:tcW w:w="864" w:type="pct"/>
                  <w:vAlign w:val="center"/>
                </w:tcPr>
                <w:p w14:paraId="142C63CC">
                  <w:pPr>
                    <w:jc w:val="center"/>
                    <w:rPr>
                      <w:kern w:val="0"/>
                    </w:rPr>
                  </w:pPr>
                  <w:r>
                    <w:rPr>
                      <w:rFonts w:hint="eastAsia"/>
                      <w:kern w:val="0"/>
                    </w:rPr>
                    <w:t>污染物排放监控位置</w:t>
                  </w:r>
                </w:p>
              </w:tc>
            </w:tr>
            <w:tr w14:paraId="5E6A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8" w:type="pct"/>
                  <w:tcMar>
                    <w:left w:w="0" w:type="dxa"/>
                    <w:right w:w="0" w:type="dxa"/>
                  </w:tcMar>
                  <w:vAlign w:val="center"/>
                </w:tcPr>
                <w:p w14:paraId="626E2700">
                  <w:pPr>
                    <w:jc w:val="center"/>
                    <w:rPr>
                      <w:kern w:val="0"/>
                    </w:rPr>
                  </w:pPr>
                  <w:r>
                    <w:rPr>
                      <w:rFonts w:hint="eastAsia"/>
                      <w:kern w:val="0"/>
                    </w:rPr>
                    <w:t>金属熔炼（化）炉</w:t>
                  </w:r>
                </w:p>
              </w:tc>
              <w:tc>
                <w:tcPr>
                  <w:tcW w:w="823" w:type="pct"/>
                  <w:vAlign w:val="center"/>
                </w:tcPr>
                <w:p w14:paraId="57FE495D">
                  <w:pPr>
                    <w:jc w:val="center"/>
                    <w:rPr>
                      <w:kern w:val="0"/>
                    </w:rPr>
                  </w:pPr>
                  <w:r>
                    <w:rPr>
                      <w:rFonts w:hint="eastAsia"/>
                      <w:kern w:val="0"/>
                    </w:rPr>
                    <w:t>燃气炉</w:t>
                  </w:r>
                </w:p>
              </w:tc>
              <w:tc>
                <w:tcPr>
                  <w:tcW w:w="507" w:type="pct"/>
                  <w:vAlign w:val="center"/>
                </w:tcPr>
                <w:p w14:paraId="111FE979">
                  <w:pPr>
                    <w:jc w:val="center"/>
                    <w:rPr>
                      <w:kern w:val="0"/>
                    </w:rPr>
                  </w:pPr>
                  <w:r>
                    <w:rPr>
                      <w:rFonts w:hint="eastAsia"/>
                      <w:kern w:val="0"/>
                    </w:rPr>
                    <w:t>3</w:t>
                  </w:r>
                  <w:r>
                    <w:rPr>
                      <w:kern w:val="0"/>
                    </w:rPr>
                    <w:t>0</w:t>
                  </w:r>
                </w:p>
              </w:tc>
              <w:tc>
                <w:tcPr>
                  <w:tcW w:w="513" w:type="pct"/>
                  <w:vAlign w:val="center"/>
                </w:tcPr>
                <w:p w14:paraId="560871A9">
                  <w:pPr>
                    <w:jc w:val="center"/>
                    <w:rPr>
                      <w:kern w:val="0"/>
                    </w:rPr>
                  </w:pPr>
                  <w:r>
                    <w:rPr>
                      <w:rFonts w:hint="eastAsia"/>
                      <w:kern w:val="0"/>
                    </w:rPr>
                    <w:t>1</w:t>
                  </w:r>
                  <w:r>
                    <w:rPr>
                      <w:kern w:val="0"/>
                    </w:rPr>
                    <w:t>00</w:t>
                  </w:r>
                </w:p>
              </w:tc>
              <w:tc>
                <w:tcPr>
                  <w:tcW w:w="513" w:type="pct"/>
                  <w:vAlign w:val="center"/>
                </w:tcPr>
                <w:p w14:paraId="353D0991">
                  <w:pPr>
                    <w:jc w:val="center"/>
                    <w:rPr>
                      <w:kern w:val="0"/>
                    </w:rPr>
                  </w:pPr>
                  <w:r>
                    <w:rPr>
                      <w:kern w:val="0"/>
                    </w:rPr>
                    <w:t>400</w:t>
                  </w:r>
                </w:p>
              </w:tc>
              <w:tc>
                <w:tcPr>
                  <w:tcW w:w="598" w:type="pct"/>
                  <w:vAlign w:val="center"/>
                </w:tcPr>
                <w:p w14:paraId="5A4D467F">
                  <w:pPr>
                    <w:jc w:val="center"/>
                    <w:rPr>
                      <w:kern w:val="0"/>
                    </w:rPr>
                  </w:pPr>
                  <w:r>
                    <w:rPr>
                      <w:rFonts w:hint="eastAsia"/>
                      <w:kern w:val="0"/>
                    </w:rPr>
                    <w:t>/</w:t>
                  </w:r>
                </w:p>
              </w:tc>
              <w:tc>
                <w:tcPr>
                  <w:tcW w:w="605" w:type="pct"/>
                  <w:vAlign w:val="center"/>
                </w:tcPr>
                <w:p w14:paraId="1769D52B">
                  <w:pPr>
                    <w:jc w:val="center"/>
                    <w:rPr>
                      <w:kern w:val="0"/>
                    </w:rPr>
                  </w:pPr>
                  <w:r>
                    <w:rPr>
                      <w:rFonts w:hint="eastAsia"/>
                      <w:kern w:val="0"/>
                    </w:rPr>
                    <w:t>/</w:t>
                  </w:r>
                </w:p>
              </w:tc>
              <w:tc>
                <w:tcPr>
                  <w:tcW w:w="864" w:type="pct"/>
                  <w:vMerge w:val="restart"/>
                  <w:vAlign w:val="center"/>
                </w:tcPr>
                <w:p w14:paraId="1DBA5E69">
                  <w:pPr>
                    <w:jc w:val="center"/>
                    <w:rPr>
                      <w:kern w:val="0"/>
                    </w:rPr>
                  </w:pPr>
                  <w:r>
                    <w:rPr>
                      <w:rFonts w:hint="eastAsia"/>
                      <w:kern w:val="0"/>
                    </w:rPr>
                    <w:t>车间或生产设施排气筒</w:t>
                  </w:r>
                </w:p>
              </w:tc>
            </w:tr>
            <w:tr w14:paraId="390A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8" w:type="pct"/>
                  <w:tcMar>
                    <w:left w:w="0" w:type="dxa"/>
                    <w:right w:w="0" w:type="dxa"/>
                  </w:tcMar>
                  <w:vAlign w:val="center"/>
                </w:tcPr>
                <w:p w14:paraId="6BBAE66B">
                  <w:pPr>
                    <w:jc w:val="center"/>
                    <w:rPr>
                      <w:kern w:val="0"/>
                    </w:rPr>
                  </w:pPr>
                  <w:r>
                    <w:rPr>
                      <w:rFonts w:hint="eastAsia"/>
                      <w:kern w:val="0"/>
                    </w:rPr>
                    <w:t>落砂、清理</w:t>
                  </w:r>
                </w:p>
              </w:tc>
              <w:tc>
                <w:tcPr>
                  <w:tcW w:w="823" w:type="pct"/>
                  <w:vAlign w:val="center"/>
                </w:tcPr>
                <w:p w14:paraId="1787DD07">
                  <w:pPr>
                    <w:jc w:val="center"/>
                    <w:rPr>
                      <w:kern w:val="0"/>
                    </w:rPr>
                  </w:pPr>
                  <w:r>
                    <w:rPr>
                      <w:rFonts w:hint="eastAsia"/>
                      <w:kern w:val="0"/>
                    </w:rPr>
                    <w:t>落砂机、抛（喷）丸机等清理设备</w:t>
                  </w:r>
                </w:p>
              </w:tc>
              <w:tc>
                <w:tcPr>
                  <w:tcW w:w="507" w:type="pct"/>
                  <w:vAlign w:val="center"/>
                </w:tcPr>
                <w:p w14:paraId="0866F3C3">
                  <w:pPr>
                    <w:jc w:val="center"/>
                    <w:rPr>
                      <w:kern w:val="0"/>
                    </w:rPr>
                  </w:pPr>
                  <w:r>
                    <w:rPr>
                      <w:rFonts w:hint="eastAsia"/>
                      <w:kern w:val="0"/>
                    </w:rPr>
                    <w:t>3</w:t>
                  </w:r>
                  <w:r>
                    <w:rPr>
                      <w:kern w:val="0"/>
                    </w:rPr>
                    <w:t>0</w:t>
                  </w:r>
                </w:p>
              </w:tc>
              <w:tc>
                <w:tcPr>
                  <w:tcW w:w="513" w:type="pct"/>
                  <w:vAlign w:val="center"/>
                </w:tcPr>
                <w:p w14:paraId="443CA7A1">
                  <w:pPr>
                    <w:jc w:val="center"/>
                    <w:rPr>
                      <w:kern w:val="0"/>
                    </w:rPr>
                  </w:pPr>
                  <w:r>
                    <w:rPr>
                      <w:rFonts w:hint="eastAsia"/>
                      <w:kern w:val="0"/>
                    </w:rPr>
                    <w:t>/</w:t>
                  </w:r>
                </w:p>
              </w:tc>
              <w:tc>
                <w:tcPr>
                  <w:tcW w:w="513" w:type="pct"/>
                  <w:vAlign w:val="center"/>
                </w:tcPr>
                <w:p w14:paraId="587DEA9C">
                  <w:pPr>
                    <w:jc w:val="center"/>
                    <w:rPr>
                      <w:kern w:val="0"/>
                    </w:rPr>
                  </w:pPr>
                  <w:r>
                    <w:rPr>
                      <w:rFonts w:hint="eastAsia"/>
                      <w:kern w:val="0"/>
                    </w:rPr>
                    <w:t>/</w:t>
                  </w:r>
                </w:p>
              </w:tc>
              <w:tc>
                <w:tcPr>
                  <w:tcW w:w="598" w:type="pct"/>
                  <w:vAlign w:val="center"/>
                </w:tcPr>
                <w:p w14:paraId="2E0D3E32">
                  <w:pPr>
                    <w:jc w:val="center"/>
                    <w:rPr>
                      <w:kern w:val="0"/>
                    </w:rPr>
                  </w:pPr>
                  <w:r>
                    <w:rPr>
                      <w:rFonts w:hint="eastAsia"/>
                      <w:kern w:val="0"/>
                    </w:rPr>
                    <w:t>/</w:t>
                  </w:r>
                </w:p>
              </w:tc>
              <w:tc>
                <w:tcPr>
                  <w:tcW w:w="605" w:type="pct"/>
                  <w:vAlign w:val="center"/>
                </w:tcPr>
                <w:p w14:paraId="5D5DC6BD">
                  <w:pPr>
                    <w:jc w:val="center"/>
                    <w:rPr>
                      <w:kern w:val="0"/>
                    </w:rPr>
                  </w:pPr>
                  <w:r>
                    <w:rPr>
                      <w:rFonts w:hint="eastAsia"/>
                      <w:kern w:val="0"/>
                    </w:rPr>
                    <w:t>/</w:t>
                  </w:r>
                </w:p>
              </w:tc>
              <w:tc>
                <w:tcPr>
                  <w:tcW w:w="864" w:type="pct"/>
                  <w:vMerge w:val="continue"/>
                  <w:vAlign w:val="center"/>
                </w:tcPr>
                <w:p w14:paraId="346716D8">
                  <w:pPr>
                    <w:jc w:val="center"/>
                    <w:rPr>
                      <w:kern w:val="0"/>
                    </w:rPr>
                  </w:pPr>
                </w:p>
              </w:tc>
            </w:tr>
          </w:tbl>
          <w:p w14:paraId="0AF267F9">
            <w:pPr>
              <w:adjustRightInd w:val="0"/>
              <w:snapToGrid w:val="0"/>
              <w:spacing w:line="360" w:lineRule="auto"/>
              <w:jc w:val="center"/>
              <w:rPr>
                <w:rFonts w:eastAsia="PMingLiU"/>
                <w:kern w:val="0"/>
                <w:sz w:val="24"/>
                <w:lang w:val="zh-TW" w:eastAsia="zh-TW"/>
              </w:rPr>
            </w:pPr>
            <w:r>
              <w:rPr>
                <w:kern w:val="0"/>
                <w:sz w:val="24"/>
                <w:lang w:val="zh-TW" w:eastAsia="zh-TW"/>
              </w:rPr>
              <w:t>表</w:t>
            </w:r>
            <w:r>
              <w:rPr>
                <w:rFonts w:eastAsia="FangSong_GB2312"/>
                <w:bCs/>
                <w:kern w:val="0"/>
                <w:sz w:val="24"/>
                <w:lang w:val="zh-TW" w:eastAsia="zh-TW"/>
              </w:rPr>
              <w:t>3-</w:t>
            </w:r>
            <w:r>
              <w:rPr>
                <w:rFonts w:eastAsia="PMingLiU"/>
                <w:bCs/>
                <w:kern w:val="0"/>
                <w:sz w:val="24"/>
                <w:lang w:val="zh-TW" w:eastAsia="zh-TW"/>
              </w:rPr>
              <w:t>7</w:t>
            </w:r>
            <w:r>
              <w:rPr>
                <w:kern w:val="0"/>
                <w:sz w:val="24"/>
                <w:lang w:val="zh-TW" w:eastAsia="zh-TW"/>
              </w:rPr>
              <w:t xml:space="preserve"> </w:t>
            </w:r>
            <w:r>
              <w:rPr>
                <w:rFonts w:eastAsia="PMingLiU"/>
                <w:kern w:val="0"/>
                <w:sz w:val="24"/>
                <w:lang w:val="zh-TW" w:eastAsia="zh-TW"/>
              </w:rPr>
              <w:t xml:space="preserve"> </w:t>
            </w:r>
            <w:r>
              <w:rPr>
                <w:rFonts w:hint="eastAsia"/>
                <w:bCs/>
                <w:sz w:val="24"/>
              </w:rPr>
              <w:t>重庆市工业炉窑大气污染物排放标准</w:t>
            </w:r>
            <w:r>
              <w:rPr>
                <w:rFonts w:hint="eastAsia"/>
                <w:kern w:val="0"/>
                <w:sz w:val="24"/>
                <w:lang w:val="zh-TW"/>
              </w:rPr>
              <w:t xml:space="preserve"> 单位：mg</w:t>
            </w:r>
            <w:r>
              <w:rPr>
                <w:rFonts w:hint="eastAsia" w:eastAsiaTheme="minorEastAsia"/>
                <w:kern w:val="0"/>
                <w:sz w:val="24"/>
                <w:lang w:val="zh-TW"/>
              </w:rPr>
              <w:t>/</w:t>
            </w:r>
            <w:r>
              <w:rPr>
                <w:rFonts w:eastAsia="PMingLiU"/>
                <w:kern w:val="0"/>
                <w:sz w:val="24"/>
                <w:lang w:val="zh-TW" w:eastAsia="zh-TW"/>
              </w:rPr>
              <w:t>m</w:t>
            </w:r>
            <w:r>
              <w:rPr>
                <w:rFonts w:eastAsia="PMingLiU"/>
                <w:kern w:val="0"/>
                <w:sz w:val="24"/>
                <w:vertAlign w:val="superscript"/>
                <w:lang w:val="zh-TW" w:eastAsia="zh-TW"/>
              </w:rPr>
              <w:t>3</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002"/>
              <w:gridCol w:w="1843"/>
              <w:gridCol w:w="2219"/>
            </w:tblGrid>
            <w:tr w14:paraId="635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50" w:type="pct"/>
                  <w:gridSpan w:val="2"/>
                  <w:tcMar>
                    <w:left w:w="0" w:type="dxa"/>
                    <w:right w:w="0" w:type="dxa"/>
                  </w:tcMar>
                  <w:vAlign w:val="center"/>
                </w:tcPr>
                <w:p w14:paraId="4C359FC1">
                  <w:pPr>
                    <w:jc w:val="center"/>
                    <w:rPr>
                      <w:kern w:val="0"/>
                    </w:rPr>
                  </w:pPr>
                  <w:r>
                    <w:rPr>
                      <w:rFonts w:hint="eastAsia"/>
                      <w:kern w:val="0"/>
                    </w:rPr>
                    <w:t>有害污染物名称</w:t>
                  </w:r>
                </w:p>
              </w:tc>
              <w:tc>
                <w:tcPr>
                  <w:tcW w:w="1157" w:type="pct"/>
                  <w:vAlign w:val="center"/>
                </w:tcPr>
                <w:p w14:paraId="63CEDAF1">
                  <w:pPr>
                    <w:jc w:val="center"/>
                    <w:rPr>
                      <w:kern w:val="0"/>
                    </w:rPr>
                  </w:pPr>
                  <w:r>
                    <w:rPr>
                      <w:rFonts w:hint="eastAsia"/>
                      <w:kern w:val="0"/>
                    </w:rPr>
                    <w:t>使用区域</w:t>
                  </w:r>
                </w:p>
              </w:tc>
              <w:tc>
                <w:tcPr>
                  <w:tcW w:w="1393" w:type="pct"/>
                  <w:vAlign w:val="center"/>
                </w:tcPr>
                <w:p w14:paraId="034115B7">
                  <w:pPr>
                    <w:jc w:val="center"/>
                    <w:rPr>
                      <w:kern w:val="0"/>
                    </w:rPr>
                  </w:pPr>
                  <w:r>
                    <w:rPr>
                      <w:rFonts w:hint="eastAsia"/>
                      <w:kern w:val="0"/>
                    </w:rPr>
                    <w:t>最高允许浓度</w:t>
                  </w:r>
                </w:p>
              </w:tc>
            </w:tr>
            <w:tr w14:paraId="0861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3" w:type="pct"/>
                  <w:tcMar>
                    <w:left w:w="0" w:type="dxa"/>
                    <w:right w:w="0" w:type="dxa"/>
                  </w:tcMar>
                  <w:vAlign w:val="center"/>
                </w:tcPr>
                <w:p w14:paraId="658461F0">
                  <w:pPr>
                    <w:jc w:val="center"/>
                    <w:rPr>
                      <w:kern w:val="0"/>
                    </w:rPr>
                  </w:pPr>
                  <w:r>
                    <w:rPr>
                      <w:rFonts w:hint="eastAsia"/>
                      <w:kern w:val="0"/>
                    </w:rPr>
                    <w:t>二氧化硫</w:t>
                  </w:r>
                </w:p>
              </w:tc>
              <w:tc>
                <w:tcPr>
                  <w:tcW w:w="1257" w:type="pct"/>
                  <w:vAlign w:val="center"/>
                </w:tcPr>
                <w:p w14:paraId="249B57EA">
                  <w:pPr>
                    <w:jc w:val="center"/>
                    <w:rPr>
                      <w:kern w:val="0"/>
                    </w:rPr>
                  </w:pPr>
                  <w:r>
                    <w:rPr>
                      <w:rFonts w:hint="eastAsia"/>
                      <w:kern w:val="0"/>
                    </w:rPr>
                    <w:t>其他炉窑</w:t>
                  </w:r>
                </w:p>
              </w:tc>
              <w:tc>
                <w:tcPr>
                  <w:tcW w:w="1157" w:type="pct"/>
                  <w:vAlign w:val="center"/>
                </w:tcPr>
                <w:p w14:paraId="49DA1EA4">
                  <w:pPr>
                    <w:jc w:val="center"/>
                    <w:rPr>
                      <w:kern w:val="0"/>
                    </w:rPr>
                  </w:pPr>
                  <w:r>
                    <w:rPr>
                      <w:rFonts w:hint="eastAsia"/>
                      <w:kern w:val="0"/>
                    </w:rPr>
                    <w:t>其他区域</w:t>
                  </w:r>
                </w:p>
              </w:tc>
              <w:tc>
                <w:tcPr>
                  <w:tcW w:w="1393" w:type="pct"/>
                  <w:vAlign w:val="center"/>
                </w:tcPr>
                <w:p w14:paraId="4156F439">
                  <w:pPr>
                    <w:jc w:val="center"/>
                    <w:rPr>
                      <w:kern w:val="0"/>
                    </w:rPr>
                  </w:pPr>
                  <w:r>
                    <w:rPr>
                      <w:kern w:val="0"/>
                    </w:rPr>
                    <w:t>400</w:t>
                  </w:r>
                </w:p>
              </w:tc>
            </w:tr>
            <w:tr w14:paraId="4781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3" w:type="pct"/>
                  <w:tcMar>
                    <w:left w:w="0" w:type="dxa"/>
                    <w:right w:w="0" w:type="dxa"/>
                  </w:tcMar>
                  <w:vAlign w:val="center"/>
                </w:tcPr>
                <w:p w14:paraId="578D7C47">
                  <w:pPr>
                    <w:jc w:val="center"/>
                    <w:rPr>
                      <w:kern w:val="0"/>
                    </w:rPr>
                  </w:pPr>
                  <w:r>
                    <w:rPr>
                      <w:rFonts w:hint="eastAsia"/>
                      <w:kern w:val="0"/>
                    </w:rPr>
                    <w:t>氮氧化物</w:t>
                  </w:r>
                </w:p>
              </w:tc>
              <w:tc>
                <w:tcPr>
                  <w:tcW w:w="1257" w:type="pct"/>
                  <w:vAlign w:val="center"/>
                </w:tcPr>
                <w:p w14:paraId="6A2C3832">
                  <w:pPr>
                    <w:jc w:val="center"/>
                    <w:rPr>
                      <w:kern w:val="0"/>
                    </w:rPr>
                  </w:pPr>
                  <w:r>
                    <w:rPr>
                      <w:rFonts w:hint="eastAsia"/>
                      <w:kern w:val="0"/>
                    </w:rPr>
                    <w:t>燃气炉窑</w:t>
                  </w:r>
                </w:p>
              </w:tc>
              <w:tc>
                <w:tcPr>
                  <w:tcW w:w="1157" w:type="pct"/>
                  <w:vAlign w:val="center"/>
                </w:tcPr>
                <w:p w14:paraId="41B7A143">
                  <w:pPr>
                    <w:jc w:val="center"/>
                    <w:rPr>
                      <w:kern w:val="0"/>
                    </w:rPr>
                  </w:pPr>
                  <w:r>
                    <w:rPr>
                      <w:rFonts w:hint="eastAsia"/>
                      <w:kern w:val="0"/>
                    </w:rPr>
                    <w:t>其他区域</w:t>
                  </w:r>
                </w:p>
              </w:tc>
              <w:tc>
                <w:tcPr>
                  <w:tcW w:w="1393" w:type="pct"/>
                  <w:vAlign w:val="center"/>
                </w:tcPr>
                <w:p w14:paraId="622F4434">
                  <w:pPr>
                    <w:jc w:val="center"/>
                    <w:rPr>
                      <w:kern w:val="0"/>
                    </w:rPr>
                  </w:pPr>
                  <w:r>
                    <w:rPr>
                      <w:kern w:val="0"/>
                    </w:rPr>
                    <w:t>700</w:t>
                  </w:r>
                </w:p>
              </w:tc>
            </w:tr>
            <w:tr w14:paraId="47BD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3" w:type="pct"/>
                  <w:tcMar>
                    <w:left w:w="0" w:type="dxa"/>
                    <w:right w:w="0" w:type="dxa"/>
                  </w:tcMar>
                  <w:vAlign w:val="center"/>
                </w:tcPr>
                <w:p w14:paraId="078B5202">
                  <w:pPr>
                    <w:jc w:val="center"/>
                    <w:rPr>
                      <w:kern w:val="0"/>
                    </w:rPr>
                  </w:pPr>
                  <w:r>
                    <w:rPr>
                      <w:rFonts w:hint="eastAsia"/>
                      <w:kern w:val="0"/>
                    </w:rPr>
                    <w:t>颗粒物</w:t>
                  </w:r>
                </w:p>
              </w:tc>
              <w:tc>
                <w:tcPr>
                  <w:tcW w:w="1257" w:type="pct"/>
                  <w:vAlign w:val="center"/>
                </w:tcPr>
                <w:p w14:paraId="5C3E8FBE">
                  <w:pPr>
                    <w:jc w:val="center"/>
                    <w:rPr>
                      <w:kern w:val="0"/>
                    </w:rPr>
                  </w:pPr>
                  <w:r>
                    <w:rPr>
                      <w:kern w:val="0"/>
                    </w:rPr>
                    <w:t>其他炉窑</w:t>
                  </w:r>
                </w:p>
              </w:tc>
              <w:tc>
                <w:tcPr>
                  <w:tcW w:w="1157" w:type="pct"/>
                  <w:vAlign w:val="center"/>
                </w:tcPr>
                <w:p w14:paraId="7EABFBAF">
                  <w:pPr>
                    <w:jc w:val="center"/>
                    <w:rPr>
                      <w:kern w:val="0"/>
                    </w:rPr>
                  </w:pPr>
                  <w:r>
                    <w:rPr>
                      <w:rFonts w:hint="eastAsia"/>
                      <w:kern w:val="0"/>
                    </w:rPr>
                    <w:t>其他区域</w:t>
                  </w:r>
                </w:p>
              </w:tc>
              <w:tc>
                <w:tcPr>
                  <w:tcW w:w="1393" w:type="pct"/>
                  <w:vAlign w:val="center"/>
                </w:tcPr>
                <w:p w14:paraId="2499517F">
                  <w:pPr>
                    <w:jc w:val="center"/>
                    <w:rPr>
                      <w:kern w:val="0"/>
                    </w:rPr>
                  </w:pPr>
                  <w:r>
                    <w:rPr>
                      <w:kern w:val="0"/>
                    </w:rPr>
                    <w:t>100</w:t>
                  </w:r>
                </w:p>
              </w:tc>
            </w:tr>
          </w:tbl>
          <w:p w14:paraId="58F8C251">
            <w:pPr>
              <w:adjustRightInd w:val="0"/>
              <w:snapToGrid w:val="0"/>
              <w:spacing w:line="360" w:lineRule="auto"/>
              <w:jc w:val="center"/>
              <w:rPr>
                <w:rFonts w:eastAsia="PMingLiU"/>
                <w:kern w:val="0"/>
                <w:sz w:val="24"/>
                <w:lang w:val="zh-TW" w:eastAsia="zh-TW"/>
              </w:rPr>
            </w:pPr>
            <w:r>
              <w:rPr>
                <w:kern w:val="0"/>
                <w:sz w:val="24"/>
                <w:lang w:val="zh-TW" w:eastAsia="zh-TW"/>
              </w:rPr>
              <w:t>表</w:t>
            </w:r>
            <w:r>
              <w:rPr>
                <w:rFonts w:eastAsia="PMingLiU"/>
                <w:kern w:val="0"/>
                <w:sz w:val="24"/>
                <w:lang w:val="zh-TW" w:eastAsia="zh-TW"/>
              </w:rPr>
              <w:t>3-8</w:t>
            </w:r>
            <w:r>
              <w:rPr>
                <w:kern w:val="0"/>
                <w:sz w:val="24"/>
                <w:lang w:val="zh-TW" w:eastAsia="zh-TW"/>
              </w:rPr>
              <w:t xml:space="preserve"> </w:t>
            </w:r>
            <w:r>
              <w:rPr>
                <w:rFonts w:eastAsia="PMingLiU"/>
                <w:kern w:val="0"/>
                <w:sz w:val="24"/>
                <w:lang w:val="zh-TW" w:eastAsia="zh-TW"/>
              </w:rPr>
              <w:t xml:space="preserve"> </w:t>
            </w:r>
            <w:r>
              <w:rPr>
                <w:kern w:val="0"/>
                <w:sz w:val="24"/>
                <w:lang w:val="zh-TW" w:eastAsia="zh-TW"/>
              </w:rPr>
              <w:t xml:space="preserve"> </w:t>
            </w:r>
            <w:r>
              <w:rPr>
                <w:rFonts w:hint="eastAsia"/>
                <w:kern w:val="0"/>
                <w:sz w:val="24"/>
                <w:lang w:val="zh-TW" w:eastAsia="zh-TW"/>
              </w:rPr>
              <w:t>大气污染物综合排放标准</w:t>
            </w:r>
            <w:r>
              <w:rPr>
                <w:rFonts w:hint="eastAsia"/>
                <w:kern w:val="0"/>
                <w:sz w:val="24"/>
                <w:lang w:val="zh-TW"/>
              </w:rPr>
              <w:t>（排气筒高度2</w:t>
            </w:r>
            <w:r>
              <w:rPr>
                <w:rFonts w:eastAsia="PMingLiU"/>
                <w:kern w:val="0"/>
                <w:sz w:val="24"/>
                <w:lang w:val="zh-TW" w:eastAsia="zh-TW"/>
              </w:rPr>
              <w:t>0m</w:t>
            </w:r>
            <w:r>
              <w:rPr>
                <w:rFonts w:hint="eastAsia"/>
                <w:kern w:val="0"/>
                <w:sz w:val="24"/>
                <w:lang w:val="zh-TW"/>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782"/>
              <w:gridCol w:w="1783"/>
              <w:gridCol w:w="2342"/>
            </w:tblGrid>
            <w:tr w14:paraId="128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057" w:type="dxa"/>
                  <w:vMerge w:val="restart"/>
                  <w:tcMar>
                    <w:left w:w="0" w:type="dxa"/>
                    <w:right w:w="0" w:type="dxa"/>
                  </w:tcMar>
                  <w:vAlign w:val="center"/>
                </w:tcPr>
                <w:p w14:paraId="4E3520C2">
                  <w:pPr>
                    <w:jc w:val="center"/>
                    <w:rPr>
                      <w:kern w:val="0"/>
                    </w:rPr>
                  </w:pPr>
                  <w:r>
                    <w:rPr>
                      <w:kern w:val="0"/>
                    </w:rPr>
                    <w:t>污染物名称</w:t>
                  </w:r>
                </w:p>
              </w:tc>
              <w:tc>
                <w:tcPr>
                  <w:tcW w:w="3565" w:type="dxa"/>
                  <w:gridSpan w:val="2"/>
                  <w:vAlign w:val="center"/>
                </w:tcPr>
                <w:p w14:paraId="3EF95FD8">
                  <w:pPr>
                    <w:jc w:val="center"/>
                    <w:rPr>
                      <w:kern w:val="0"/>
                    </w:rPr>
                  </w:pPr>
                  <w:r>
                    <w:rPr>
                      <w:rFonts w:hint="eastAsia"/>
                      <w:kern w:val="0"/>
                    </w:rPr>
                    <w:t>有组织排放标准</w:t>
                  </w:r>
                </w:p>
              </w:tc>
              <w:tc>
                <w:tcPr>
                  <w:tcW w:w="2342" w:type="dxa"/>
                  <w:vMerge w:val="restart"/>
                  <w:vAlign w:val="center"/>
                </w:tcPr>
                <w:p w14:paraId="31F5434E">
                  <w:pPr>
                    <w:jc w:val="center"/>
                    <w:rPr>
                      <w:kern w:val="0"/>
                    </w:rPr>
                  </w:pPr>
                  <w:r>
                    <w:rPr>
                      <w:kern w:val="0"/>
                    </w:rPr>
                    <w:t>无组织排放限值（mg/m</w:t>
                  </w:r>
                  <w:r>
                    <w:rPr>
                      <w:kern w:val="0"/>
                      <w:vertAlign w:val="superscript"/>
                    </w:rPr>
                    <w:t>3</w:t>
                  </w:r>
                  <w:r>
                    <w:rPr>
                      <w:kern w:val="0"/>
                    </w:rPr>
                    <w:t>）</w:t>
                  </w:r>
                </w:p>
              </w:tc>
            </w:tr>
            <w:tr w14:paraId="12FF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057" w:type="dxa"/>
                  <w:vMerge w:val="continue"/>
                  <w:tcMar>
                    <w:left w:w="0" w:type="dxa"/>
                    <w:right w:w="0" w:type="dxa"/>
                  </w:tcMar>
                  <w:vAlign w:val="center"/>
                </w:tcPr>
                <w:p w14:paraId="306265B5">
                  <w:pPr>
                    <w:jc w:val="center"/>
                    <w:rPr>
                      <w:kern w:val="0"/>
                    </w:rPr>
                  </w:pPr>
                </w:p>
              </w:tc>
              <w:tc>
                <w:tcPr>
                  <w:tcW w:w="1782" w:type="dxa"/>
                  <w:vAlign w:val="center"/>
                </w:tcPr>
                <w:p w14:paraId="0B43FF6C">
                  <w:pPr>
                    <w:jc w:val="center"/>
                    <w:rPr>
                      <w:kern w:val="0"/>
                    </w:rPr>
                  </w:pPr>
                  <w:r>
                    <w:rPr>
                      <w:rFonts w:hint="eastAsia"/>
                      <w:kern w:val="0"/>
                    </w:rPr>
                    <w:t>排放浓度</w:t>
                  </w:r>
                  <w:r>
                    <w:rPr>
                      <w:kern w:val="0"/>
                    </w:rPr>
                    <w:t>（mg/m</w:t>
                  </w:r>
                  <w:r>
                    <w:rPr>
                      <w:kern w:val="0"/>
                      <w:vertAlign w:val="superscript"/>
                    </w:rPr>
                    <w:t>3</w:t>
                  </w:r>
                  <w:r>
                    <w:rPr>
                      <w:kern w:val="0"/>
                    </w:rPr>
                    <w:t>）</w:t>
                  </w:r>
                </w:p>
              </w:tc>
              <w:tc>
                <w:tcPr>
                  <w:tcW w:w="1783" w:type="dxa"/>
                  <w:vAlign w:val="center"/>
                </w:tcPr>
                <w:p w14:paraId="5CC54DA2">
                  <w:pPr>
                    <w:jc w:val="center"/>
                    <w:rPr>
                      <w:kern w:val="0"/>
                    </w:rPr>
                  </w:pPr>
                  <w:r>
                    <w:rPr>
                      <w:rFonts w:hint="eastAsia"/>
                      <w:kern w:val="0"/>
                    </w:rPr>
                    <w:t>排放速率（kg/h）</w:t>
                  </w:r>
                </w:p>
              </w:tc>
              <w:tc>
                <w:tcPr>
                  <w:tcW w:w="2342" w:type="dxa"/>
                  <w:vMerge w:val="continue"/>
                  <w:vAlign w:val="center"/>
                </w:tcPr>
                <w:p w14:paraId="5BA1A6E5">
                  <w:pPr>
                    <w:jc w:val="center"/>
                    <w:rPr>
                      <w:kern w:val="0"/>
                    </w:rPr>
                  </w:pPr>
                </w:p>
              </w:tc>
            </w:tr>
            <w:tr w14:paraId="511F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57" w:type="dxa"/>
                  <w:tcMar>
                    <w:left w:w="0" w:type="dxa"/>
                    <w:right w:w="0" w:type="dxa"/>
                  </w:tcMar>
                  <w:vAlign w:val="center"/>
                </w:tcPr>
                <w:p w14:paraId="6D542054">
                  <w:pPr>
                    <w:jc w:val="center"/>
                    <w:rPr>
                      <w:kern w:val="0"/>
                    </w:rPr>
                  </w:pPr>
                  <w:r>
                    <w:rPr>
                      <w:rFonts w:hint="eastAsia"/>
                      <w:kern w:val="0"/>
                    </w:rPr>
                    <w:t>颗粒物</w:t>
                  </w:r>
                </w:p>
              </w:tc>
              <w:tc>
                <w:tcPr>
                  <w:tcW w:w="1782" w:type="dxa"/>
                  <w:vAlign w:val="center"/>
                </w:tcPr>
                <w:p w14:paraId="2EC33725">
                  <w:pPr>
                    <w:jc w:val="center"/>
                    <w:rPr>
                      <w:kern w:val="0"/>
                    </w:rPr>
                  </w:pPr>
                  <w:r>
                    <w:rPr>
                      <w:rFonts w:hint="eastAsia"/>
                      <w:kern w:val="0"/>
                    </w:rPr>
                    <w:t>/</w:t>
                  </w:r>
                </w:p>
              </w:tc>
              <w:tc>
                <w:tcPr>
                  <w:tcW w:w="1783" w:type="dxa"/>
                  <w:vAlign w:val="center"/>
                </w:tcPr>
                <w:p w14:paraId="7809D44C">
                  <w:pPr>
                    <w:jc w:val="center"/>
                    <w:rPr>
                      <w:kern w:val="0"/>
                    </w:rPr>
                  </w:pPr>
                  <w:r>
                    <w:rPr>
                      <w:rFonts w:hint="eastAsia"/>
                      <w:kern w:val="0"/>
                    </w:rPr>
                    <w:t>/</w:t>
                  </w:r>
                </w:p>
              </w:tc>
              <w:tc>
                <w:tcPr>
                  <w:tcW w:w="2342" w:type="dxa"/>
                  <w:vAlign w:val="center"/>
                </w:tcPr>
                <w:p w14:paraId="0C6F9C52">
                  <w:pPr>
                    <w:jc w:val="center"/>
                    <w:rPr>
                      <w:kern w:val="0"/>
                    </w:rPr>
                  </w:pPr>
                  <w:r>
                    <w:rPr>
                      <w:rFonts w:hint="eastAsia"/>
                      <w:kern w:val="0"/>
                    </w:rPr>
                    <w:t>1.0</w:t>
                  </w:r>
                </w:p>
              </w:tc>
            </w:tr>
            <w:tr w14:paraId="2FDB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57" w:type="dxa"/>
                  <w:tcMar>
                    <w:left w:w="0" w:type="dxa"/>
                    <w:right w:w="0" w:type="dxa"/>
                  </w:tcMar>
                  <w:vAlign w:val="center"/>
                </w:tcPr>
                <w:p w14:paraId="1299FE80">
                  <w:pPr>
                    <w:jc w:val="center"/>
                    <w:rPr>
                      <w:kern w:val="0"/>
                    </w:rPr>
                  </w:pPr>
                  <w:r>
                    <w:rPr>
                      <w:rFonts w:hint="eastAsia"/>
                      <w:kern w:val="0"/>
                    </w:rPr>
                    <w:t>非甲烷总烃</w:t>
                  </w:r>
                </w:p>
              </w:tc>
              <w:tc>
                <w:tcPr>
                  <w:tcW w:w="1782" w:type="dxa"/>
                  <w:vAlign w:val="center"/>
                </w:tcPr>
                <w:p w14:paraId="2DF1928C">
                  <w:pPr>
                    <w:jc w:val="center"/>
                    <w:rPr>
                      <w:kern w:val="0"/>
                    </w:rPr>
                  </w:pPr>
                  <w:r>
                    <w:rPr>
                      <w:kern w:val="0"/>
                    </w:rPr>
                    <w:t>120</w:t>
                  </w:r>
                </w:p>
              </w:tc>
              <w:tc>
                <w:tcPr>
                  <w:tcW w:w="1783" w:type="dxa"/>
                  <w:vAlign w:val="center"/>
                </w:tcPr>
                <w:p w14:paraId="1CC5E0CE">
                  <w:pPr>
                    <w:jc w:val="center"/>
                    <w:rPr>
                      <w:kern w:val="0"/>
                    </w:rPr>
                  </w:pPr>
                  <w:r>
                    <w:rPr>
                      <w:kern w:val="0"/>
                    </w:rPr>
                    <w:t>17</w:t>
                  </w:r>
                </w:p>
              </w:tc>
              <w:tc>
                <w:tcPr>
                  <w:tcW w:w="2342" w:type="dxa"/>
                  <w:vAlign w:val="center"/>
                </w:tcPr>
                <w:p w14:paraId="79FC05AD">
                  <w:pPr>
                    <w:jc w:val="center"/>
                    <w:rPr>
                      <w:kern w:val="0"/>
                    </w:rPr>
                  </w:pPr>
                  <w:r>
                    <w:rPr>
                      <w:rFonts w:hint="eastAsia"/>
                      <w:kern w:val="0"/>
                    </w:rPr>
                    <w:t>4.0</w:t>
                  </w:r>
                </w:p>
              </w:tc>
            </w:tr>
            <w:tr w14:paraId="3F93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57" w:type="dxa"/>
                  <w:tcMar>
                    <w:left w:w="0" w:type="dxa"/>
                    <w:right w:w="0" w:type="dxa"/>
                  </w:tcMar>
                  <w:vAlign w:val="center"/>
                </w:tcPr>
                <w:p w14:paraId="21A33FD3">
                  <w:pPr>
                    <w:jc w:val="center"/>
                    <w:rPr>
                      <w:kern w:val="0"/>
                    </w:rPr>
                  </w:pPr>
                  <w:r>
                    <w:rPr>
                      <w:rFonts w:hint="eastAsia"/>
                      <w:kern w:val="0"/>
                    </w:rPr>
                    <w:t>二氧化硫</w:t>
                  </w:r>
                </w:p>
              </w:tc>
              <w:tc>
                <w:tcPr>
                  <w:tcW w:w="1782" w:type="dxa"/>
                  <w:vAlign w:val="center"/>
                </w:tcPr>
                <w:p w14:paraId="3C371594">
                  <w:pPr>
                    <w:jc w:val="center"/>
                    <w:rPr>
                      <w:kern w:val="0"/>
                    </w:rPr>
                  </w:pPr>
                  <w:r>
                    <w:rPr>
                      <w:rFonts w:hint="eastAsia"/>
                      <w:kern w:val="0"/>
                    </w:rPr>
                    <w:t>/</w:t>
                  </w:r>
                </w:p>
              </w:tc>
              <w:tc>
                <w:tcPr>
                  <w:tcW w:w="1783" w:type="dxa"/>
                  <w:vAlign w:val="center"/>
                </w:tcPr>
                <w:p w14:paraId="3489D5C7">
                  <w:pPr>
                    <w:jc w:val="center"/>
                    <w:rPr>
                      <w:kern w:val="0"/>
                    </w:rPr>
                  </w:pPr>
                  <w:r>
                    <w:rPr>
                      <w:rFonts w:hint="eastAsia"/>
                      <w:kern w:val="0"/>
                    </w:rPr>
                    <w:t>/</w:t>
                  </w:r>
                </w:p>
              </w:tc>
              <w:tc>
                <w:tcPr>
                  <w:tcW w:w="2342" w:type="dxa"/>
                  <w:vAlign w:val="center"/>
                </w:tcPr>
                <w:p w14:paraId="47B8E08C">
                  <w:pPr>
                    <w:widowControl/>
                    <w:jc w:val="center"/>
                    <w:rPr>
                      <w:kern w:val="0"/>
                    </w:rPr>
                  </w:pPr>
                  <w:r>
                    <w:rPr>
                      <w:kern w:val="0"/>
                    </w:rPr>
                    <w:t>0.40</w:t>
                  </w:r>
                </w:p>
              </w:tc>
            </w:tr>
            <w:tr w14:paraId="1E17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57" w:type="dxa"/>
                  <w:tcMar>
                    <w:left w:w="0" w:type="dxa"/>
                    <w:right w:w="0" w:type="dxa"/>
                  </w:tcMar>
                  <w:vAlign w:val="center"/>
                </w:tcPr>
                <w:p w14:paraId="379217B6">
                  <w:pPr>
                    <w:jc w:val="center"/>
                    <w:rPr>
                      <w:kern w:val="0"/>
                    </w:rPr>
                  </w:pPr>
                  <w:r>
                    <w:rPr>
                      <w:rFonts w:hint="eastAsia"/>
                      <w:kern w:val="0"/>
                    </w:rPr>
                    <w:t>氮氧化物</w:t>
                  </w:r>
                </w:p>
              </w:tc>
              <w:tc>
                <w:tcPr>
                  <w:tcW w:w="1782" w:type="dxa"/>
                  <w:vAlign w:val="center"/>
                </w:tcPr>
                <w:p w14:paraId="0987089A">
                  <w:pPr>
                    <w:jc w:val="center"/>
                    <w:rPr>
                      <w:kern w:val="0"/>
                    </w:rPr>
                  </w:pPr>
                  <w:r>
                    <w:rPr>
                      <w:rFonts w:hint="eastAsia"/>
                      <w:kern w:val="0"/>
                    </w:rPr>
                    <w:t>/</w:t>
                  </w:r>
                </w:p>
              </w:tc>
              <w:tc>
                <w:tcPr>
                  <w:tcW w:w="1783" w:type="dxa"/>
                  <w:vAlign w:val="center"/>
                </w:tcPr>
                <w:p w14:paraId="69DB30B7">
                  <w:pPr>
                    <w:jc w:val="center"/>
                    <w:rPr>
                      <w:kern w:val="0"/>
                    </w:rPr>
                  </w:pPr>
                  <w:r>
                    <w:rPr>
                      <w:rFonts w:hint="eastAsia"/>
                      <w:kern w:val="0"/>
                    </w:rPr>
                    <w:t>/</w:t>
                  </w:r>
                </w:p>
              </w:tc>
              <w:tc>
                <w:tcPr>
                  <w:tcW w:w="2342" w:type="dxa"/>
                  <w:vAlign w:val="center"/>
                </w:tcPr>
                <w:p w14:paraId="02DD4B97">
                  <w:pPr>
                    <w:jc w:val="center"/>
                    <w:rPr>
                      <w:kern w:val="0"/>
                    </w:rPr>
                  </w:pPr>
                  <w:r>
                    <w:rPr>
                      <w:rFonts w:hint="eastAsia"/>
                      <w:kern w:val="0"/>
                    </w:rPr>
                    <w:t>0</w:t>
                  </w:r>
                  <w:r>
                    <w:rPr>
                      <w:kern w:val="0"/>
                    </w:rPr>
                    <w:t>.12</w:t>
                  </w:r>
                </w:p>
              </w:tc>
            </w:tr>
            <w:tr w14:paraId="6B4D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57" w:type="dxa"/>
                  <w:tcMar>
                    <w:left w:w="0" w:type="dxa"/>
                    <w:right w:w="0" w:type="dxa"/>
                  </w:tcMar>
                  <w:vAlign w:val="center"/>
                </w:tcPr>
                <w:p w14:paraId="25378BDA">
                  <w:pPr>
                    <w:jc w:val="center"/>
                    <w:rPr>
                      <w:kern w:val="0"/>
                    </w:rPr>
                  </w:pPr>
                  <w:r>
                    <w:rPr>
                      <w:rFonts w:hint="eastAsia"/>
                      <w:kern w:val="0"/>
                    </w:rPr>
                    <w:t>氯化氢</w:t>
                  </w:r>
                </w:p>
              </w:tc>
              <w:tc>
                <w:tcPr>
                  <w:tcW w:w="1782" w:type="dxa"/>
                  <w:vAlign w:val="center"/>
                </w:tcPr>
                <w:p w14:paraId="378CBFFF">
                  <w:pPr>
                    <w:jc w:val="center"/>
                    <w:rPr>
                      <w:kern w:val="0"/>
                    </w:rPr>
                  </w:pPr>
                  <w:r>
                    <w:rPr>
                      <w:kern w:val="0"/>
                    </w:rPr>
                    <w:t>100</w:t>
                  </w:r>
                </w:p>
              </w:tc>
              <w:tc>
                <w:tcPr>
                  <w:tcW w:w="1783" w:type="dxa"/>
                  <w:vAlign w:val="center"/>
                </w:tcPr>
                <w:p w14:paraId="29832786">
                  <w:pPr>
                    <w:jc w:val="center"/>
                    <w:rPr>
                      <w:kern w:val="0"/>
                    </w:rPr>
                  </w:pPr>
                  <w:r>
                    <w:rPr>
                      <w:kern w:val="0"/>
                    </w:rPr>
                    <w:t>0.43</w:t>
                  </w:r>
                </w:p>
              </w:tc>
              <w:tc>
                <w:tcPr>
                  <w:tcW w:w="2342" w:type="dxa"/>
                  <w:vAlign w:val="center"/>
                </w:tcPr>
                <w:p w14:paraId="07CEA282">
                  <w:pPr>
                    <w:jc w:val="center"/>
                    <w:rPr>
                      <w:kern w:val="0"/>
                    </w:rPr>
                  </w:pPr>
                  <w:r>
                    <w:rPr>
                      <w:kern w:val="0"/>
                    </w:rPr>
                    <w:t>0.2</w:t>
                  </w:r>
                </w:p>
              </w:tc>
            </w:tr>
          </w:tbl>
          <w:p w14:paraId="504B4B5E">
            <w:pPr>
              <w:pStyle w:val="54"/>
              <w:spacing w:line="360" w:lineRule="auto"/>
              <w:jc w:val="center"/>
              <w:rPr>
                <w:rFonts w:ascii="Times New Roman"/>
                <w:color w:val="auto"/>
                <w:szCs w:val="21"/>
              </w:rPr>
            </w:pPr>
            <w:r>
              <w:rPr>
                <w:rFonts w:hint="eastAsia" w:ascii="Times New Roman"/>
                <w:color w:val="auto"/>
                <w:szCs w:val="21"/>
              </w:rPr>
              <w:t>表</w:t>
            </w:r>
            <w:r>
              <w:rPr>
                <w:rFonts w:ascii="Times New Roman"/>
                <w:color w:val="auto"/>
                <w:szCs w:val="21"/>
              </w:rPr>
              <w:t xml:space="preserve">3-9 </w:t>
            </w:r>
            <w:r>
              <w:rPr>
                <w:rFonts w:hint="eastAsia" w:ascii="Times New Roman"/>
                <w:color w:val="auto"/>
                <w:szCs w:val="21"/>
              </w:rPr>
              <w:t>《餐饮业大气污染物排放标准》（</w:t>
            </w:r>
            <w:r>
              <w:rPr>
                <w:rFonts w:ascii="Times New Roman"/>
                <w:color w:val="auto"/>
                <w:szCs w:val="21"/>
              </w:rPr>
              <w:t>DB50/859-2018</w:t>
            </w:r>
            <w:r>
              <w:rPr>
                <w:rFonts w:hint="eastAsia" w:ascii="Times New Roman"/>
                <w:color w:val="auto"/>
                <w:szCs w:val="21"/>
              </w:rPr>
              <w:t>）</w:t>
            </w:r>
          </w:p>
          <w:tbl>
            <w:tblPr>
              <w:tblStyle w:val="2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6062"/>
            </w:tblGrid>
            <w:tr w14:paraId="771D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26E54261">
                  <w:pPr>
                    <w:pStyle w:val="54"/>
                    <w:jc w:val="center"/>
                    <w:rPr>
                      <w:rFonts w:ascii="Times New Roman"/>
                      <w:color w:val="auto"/>
                      <w:sz w:val="21"/>
                      <w:szCs w:val="21"/>
                    </w:rPr>
                  </w:pPr>
                  <w:r>
                    <w:rPr>
                      <w:rFonts w:hint="eastAsia" w:ascii="Times New Roman"/>
                      <w:color w:val="auto"/>
                      <w:sz w:val="21"/>
                      <w:szCs w:val="21"/>
                    </w:rPr>
                    <w:t>污染物</w:t>
                  </w:r>
                </w:p>
              </w:tc>
              <w:tc>
                <w:tcPr>
                  <w:tcW w:w="6062" w:type="dxa"/>
                  <w:tcBorders>
                    <w:top w:val="single" w:color="auto" w:sz="4" w:space="0"/>
                    <w:left w:val="single" w:color="auto" w:sz="4" w:space="0"/>
                    <w:bottom w:val="single" w:color="auto" w:sz="4" w:space="0"/>
                    <w:right w:val="single" w:color="auto" w:sz="4" w:space="0"/>
                  </w:tcBorders>
                  <w:vAlign w:val="center"/>
                </w:tcPr>
                <w:p w14:paraId="30AAFE91">
                  <w:pPr>
                    <w:pStyle w:val="54"/>
                    <w:jc w:val="center"/>
                    <w:rPr>
                      <w:rFonts w:ascii="Times New Roman"/>
                      <w:color w:val="auto"/>
                      <w:sz w:val="21"/>
                      <w:szCs w:val="21"/>
                    </w:rPr>
                  </w:pPr>
                  <w:r>
                    <w:rPr>
                      <w:rFonts w:hint="eastAsia" w:ascii="Times New Roman"/>
                      <w:color w:val="auto"/>
                      <w:sz w:val="21"/>
                      <w:szCs w:val="21"/>
                    </w:rPr>
                    <w:t>最高允许排放浓度限值（</w:t>
                  </w:r>
                  <w:r>
                    <w:rPr>
                      <w:rFonts w:ascii="Times New Roman"/>
                      <w:color w:val="auto"/>
                      <w:sz w:val="21"/>
                      <w:szCs w:val="21"/>
                    </w:rPr>
                    <w:t>mg/m</w:t>
                  </w:r>
                  <w:r>
                    <w:rPr>
                      <w:rFonts w:ascii="Times New Roman"/>
                      <w:color w:val="auto"/>
                      <w:sz w:val="21"/>
                      <w:szCs w:val="21"/>
                      <w:vertAlign w:val="superscript"/>
                    </w:rPr>
                    <w:t>3</w:t>
                  </w:r>
                  <w:r>
                    <w:rPr>
                      <w:rFonts w:hint="eastAsia" w:ascii="Times New Roman"/>
                      <w:color w:val="auto"/>
                      <w:sz w:val="21"/>
                      <w:szCs w:val="21"/>
                    </w:rPr>
                    <w:t>）</w:t>
                  </w:r>
                </w:p>
              </w:tc>
            </w:tr>
            <w:tr w14:paraId="5274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270D07DC">
                  <w:pPr>
                    <w:pStyle w:val="54"/>
                    <w:jc w:val="center"/>
                    <w:rPr>
                      <w:rFonts w:ascii="Times New Roman"/>
                      <w:color w:val="auto"/>
                      <w:sz w:val="21"/>
                      <w:szCs w:val="21"/>
                    </w:rPr>
                  </w:pPr>
                  <w:r>
                    <w:rPr>
                      <w:rFonts w:hint="eastAsia" w:ascii="Times New Roman"/>
                      <w:color w:val="auto"/>
                      <w:sz w:val="21"/>
                      <w:szCs w:val="21"/>
                    </w:rPr>
                    <w:t>油烟</w:t>
                  </w:r>
                </w:p>
              </w:tc>
              <w:tc>
                <w:tcPr>
                  <w:tcW w:w="6062" w:type="dxa"/>
                  <w:tcBorders>
                    <w:top w:val="single" w:color="auto" w:sz="4" w:space="0"/>
                    <w:left w:val="single" w:color="auto" w:sz="4" w:space="0"/>
                    <w:bottom w:val="single" w:color="auto" w:sz="4" w:space="0"/>
                    <w:right w:val="single" w:color="auto" w:sz="4" w:space="0"/>
                  </w:tcBorders>
                  <w:vAlign w:val="center"/>
                </w:tcPr>
                <w:p w14:paraId="1C5EFD32">
                  <w:pPr>
                    <w:pStyle w:val="54"/>
                    <w:jc w:val="center"/>
                    <w:rPr>
                      <w:rFonts w:ascii="Times New Roman"/>
                      <w:color w:val="auto"/>
                      <w:sz w:val="21"/>
                      <w:szCs w:val="21"/>
                    </w:rPr>
                  </w:pPr>
                  <w:r>
                    <w:rPr>
                      <w:rFonts w:ascii="Times New Roman"/>
                      <w:color w:val="auto"/>
                      <w:sz w:val="21"/>
                      <w:szCs w:val="21"/>
                    </w:rPr>
                    <w:t>1.0</w:t>
                  </w:r>
                </w:p>
              </w:tc>
            </w:tr>
            <w:tr w14:paraId="0265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16E818B4">
                  <w:pPr>
                    <w:pStyle w:val="54"/>
                    <w:jc w:val="center"/>
                    <w:rPr>
                      <w:rFonts w:ascii="Times New Roman"/>
                      <w:color w:val="auto"/>
                      <w:sz w:val="21"/>
                      <w:szCs w:val="21"/>
                    </w:rPr>
                  </w:pPr>
                  <w:r>
                    <w:rPr>
                      <w:rFonts w:hint="eastAsia" w:ascii="Times New Roman"/>
                      <w:color w:val="auto"/>
                      <w:sz w:val="21"/>
                      <w:szCs w:val="21"/>
                    </w:rPr>
                    <w:t>非甲烷总烃</w:t>
                  </w:r>
                </w:p>
              </w:tc>
              <w:tc>
                <w:tcPr>
                  <w:tcW w:w="6062" w:type="dxa"/>
                  <w:tcBorders>
                    <w:top w:val="single" w:color="auto" w:sz="4" w:space="0"/>
                    <w:left w:val="single" w:color="auto" w:sz="4" w:space="0"/>
                    <w:bottom w:val="single" w:color="auto" w:sz="4" w:space="0"/>
                    <w:right w:val="single" w:color="auto" w:sz="4" w:space="0"/>
                  </w:tcBorders>
                  <w:vAlign w:val="center"/>
                </w:tcPr>
                <w:p w14:paraId="406B4C3D">
                  <w:pPr>
                    <w:pStyle w:val="54"/>
                    <w:jc w:val="center"/>
                    <w:rPr>
                      <w:rFonts w:ascii="Times New Roman"/>
                      <w:color w:val="auto"/>
                      <w:sz w:val="21"/>
                      <w:szCs w:val="21"/>
                    </w:rPr>
                  </w:pPr>
                  <w:r>
                    <w:rPr>
                      <w:rFonts w:ascii="Times New Roman"/>
                      <w:color w:val="auto"/>
                      <w:sz w:val="21"/>
                      <w:szCs w:val="21"/>
                    </w:rPr>
                    <w:t>10.0</w:t>
                  </w:r>
                </w:p>
              </w:tc>
            </w:tr>
          </w:tbl>
          <w:p w14:paraId="0C4B13EC">
            <w:pPr>
              <w:pStyle w:val="54"/>
              <w:spacing w:line="360" w:lineRule="auto"/>
              <w:jc w:val="center"/>
              <w:rPr>
                <w:rFonts w:ascii="Times New Roman"/>
                <w:color w:val="auto"/>
                <w:szCs w:val="21"/>
              </w:rPr>
            </w:pPr>
            <w:r>
              <w:rPr>
                <w:rFonts w:hint="eastAsia" w:ascii="Times New Roman"/>
                <w:color w:val="auto"/>
                <w:szCs w:val="21"/>
              </w:rPr>
              <w:t>表</w:t>
            </w:r>
            <w:r>
              <w:rPr>
                <w:rFonts w:ascii="Times New Roman"/>
                <w:color w:val="auto"/>
                <w:szCs w:val="21"/>
              </w:rPr>
              <w:t xml:space="preserve">3-10  </w:t>
            </w:r>
            <w:r>
              <w:rPr>
                <w:rFonts w:hint="eastAsia"/>
                <w:bCs/>
                <w:color w:val="auto"/>
              </w:rPr>
              <w:t>《恶臭污染物排放标准》（GB 14554-93）</w:t>
            </w:r>
          </w:p>
          <w:tbl>
            <w:tblPr>
              <w:tblStyle w:val="27"/>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6062"/>
            </w:tblGrid>
            <w:tr w14:paraId="316C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184770F0">
                  <w:pPr>
                    <w:pStyle w:val="54"/>
                    <w:jc w:val="center"/>
                    <w:rPr>
                      <w:rFonts w:ascii="Times New Roman" w:hAnsi="Times New Roman" w:cs="Times New Roman"/>
                      <w:color w:val="auto"/>
                      <w:sz w:val="21"/>
                      <w:szCs w:val="21"/>
                    </w:rPr>
                  </w:pPr>
                  <w:r>
                    <w:rPr>
                      <w:rFonts w:ascii="Times New Roman" w:hAnsi="Times New Roman" w:cs="Times New Roman"/>
                      <w:color w:val="auto"/>
                      <w:sz w:val="21"/>
                      <w:szCs w:val="21"/>
                    </w:rPr>
                    <w:t>污染物</w:t>
                  </w:r>
                </w:p>
              </w:tc>
              <w:tc>
                <w:tcPr>
                  <w:tcW w:w="6062" w:type="dxa"/>
                  <w:tcBorders>
                    <w:top w:val="single" w:color="auto" w:sz="4" w:space="0"/>
                    <w:left w:val="single" w:color="auto" w:sz="4" w:space="0"/>
                    <w:bottom w:val="single" w:color="auto" w:sz="4" w:space="0"/>
                    <w:right w:val="single" w:color="auto" w:sz="4" w:space="0"/>
                  </w:tcBorders>
                  <w:vAlign w:val="center"/>
                </w:tcPr>
                <w:p w14:paraId="02F41E8D">
                  <w:pPr>
                    <w:pStyle w:val="54"/>
                    <w:jc w:val="center"/>
                    <w:rPr>
                      <w:rFonts w:ascii="Times New Roman" w:hAnsi="Times New Roman" w:cs="Times New Roman"/>
                      <w:color w:val="auto"/>
                      <w:sz w:val="21"/>
                      <w:szCs w:val="21"/>
                    </w:rPr>
                  </w:pPr>
                  <w:r>
                    <w:rPr>
                      <w:rFonts w:ascii="Times New Roman" w:hAnsi="Times New Roman" w:cs="Times New Roman"/>
                      <w:color w:val="auto"/>
                      <w:sz w:val="21"/>
                      <w:szCs w:val="21"/>
                    </w:rPr>
                    <w:t>恶臭污染物厂界标准值</w:t>
                  </w:r>
                  <w:r>
                    <w:rPr>
                      <w:rFonts w:hint="eastAsia" w:ascii="Times New Roman" w:hAnsi="Times New Roman" w:cs="Times New Roman"/>
                      <w:color w:val="auto"/>
                      <w:sz w:val="21"/>
                      <w:szCs w:val="21"/>
                    </w:rPr>
                    <w:t>（</w:t>
                  </w:r>
                  <w:r>
                    <w:rPr>
                      <w:rFonts w:ascii="Times New Roman" w:hAnsi="Times New Roman" w:cs="Times New Roman"/>
                      <w:color w:val="auto"/>
                      <w:sz w:val="21"/>
                      <w:szCs w:val="21"/>
                    </w:rPr>
                    <w:t>mg/m</w:t>
                  </w:r>
                  <w:r>
                    <w:rPr>
                      <w:rFonts w:ascii="Times New Roman" w:hAnsi="Times New Roman" w:cs="Times New Roman"/>
                      <w:color w:val="auto"/>
                      <w:sz w:val="21"/>
                      <w:szCs w:val="21"/>
                      <w:vertAlign w:val="superscript"/>
                    </w:rPr>
                    <w:t>3</w:t>
                  </w:r>
                  <w:r>
                    <w:rPr>
                      <w:rFonts w:hint="eastAsia" w:ascii="Times New Roman" w:hAnsi="Times New Roman" w:cs="Times New Roman"/>
                      <w:color w:val="auto"/>
                      <w:sz w:val="21"/>
                      <w:szCs w:val="21"/>
                    </w:rPr>
                    <w:t>）</w:t>
                  </w:r>
                </w:p>
              </w:tc>
            </w:tr>
            <w:tr w14:paraId="6DEC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47AAA216">
                  <w:pPr>
                    <w:pStyle w:val="69"/>
                    <w:spacing w:line="260" w:lineRule="exact"/>
                    <w:rPr>
                      <w:rFonts w:ascii="Times New Roman" w:hAnsi="Times New Roman"/>
                    </w:rPr>
                  </w:pPr>
                  <w:r>
                    <w:rPr>
                      <w:rFonts w:ascii="Times New Roman" w:hAnsi="Times New Roman"/>
                      <w:bCs/>
                      <w:spacing w:val="-10"/>
                    </w:rPr>
                    <w:t>NH</w:t>
                  </w:r>
                  <w:r>
                    <w:rPr>
                      <w:rFonts w:ascii="Times New Roman" w:hAnsi="Times New Roman"/>
                      <w:bCs/>
                      <w:spacing w:val="-10"/>
                      <w:vertAlign w:val="subscript"/>
                    </w:rPr>
                    <w:t>3</w:t>
                  </w:r>
                </w:p>
              </w:tc>
              <w:tc>
                <w:tcPr>
                  <w:tcW w:w="6062" w:type="dxa"/>
                  <w:tcBorders>
                    <w:top w:val="single" w:color="auto" w:sz="4" w:space="0"/>
                    <w:left w:val="single" w:color="auto" w:sz="4" w:space="0"/>
                    <w:bottom w:val="single" w:color="auto" w:sz="4" w:space="0"/>
                    <w:right w:val="single" w:color="auto" w:sz="4" w:space="0"/>
                  </w:tcBorders>
                  <w:vAlign w:val="center"/>
                </w:tcPr>
                <w:p w14:paraId="7615099D">
                  <w:pPr>
                    <w:widowControl/>
                    <w:jc w:val="center"/>
                    <w:rPr>
                      <w:rStyle w:val="164"/>
                      <w:rFonts w:hint="default" w:ascii="Times New Roman" w:hAnsi="Times New Roman" w:eastAsia="宋体"/>
                      <w:color w:val="auto"/>
                    </w:rPr>
                  </w:pPr>
                  <w:r>
                    <w:rPr>
                      <w:rStyle w:val="164"/>
                      <w:rFonts w:hint="default" w:ascii="Times New Roman" w:hAnsi="Times New Roman" w:eastAsia="宋体"/>
                      <w:color w:val="auto"/>
                    </w:rPr>
                    <w:t>1.5</w:t>
                  </w:r>
                </w:p>
              </w:tc>
            </w:tr>
            <w:tr w14:paraId="7646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2E86E9D1">
                  <w:pPr>
                    <w:pStyle w:val="69"/>
                    <w:spacing w:line="260" w:lineRule="exact"/>
                    <w:rPr>
                      <w:rFonts w:ascii="Times New Roman" w:hAnsi="Times New Roman"/>
                    </w:rPr>
                  </w:pPr>
                  <w:r>
                    <w:rPr>
                      <w:rFonts w:ascii="Times New Roman" w:hAnsi="Times New Roman"/>
                      <w:bCs/>
                      <w:spacing w:val="-10"/>
                    </w:rPr>
                    <w:t>H</w:t>
                  </w:r>
                  <w:r>
                    <w:rPr>
                      <w:rFonts w:ascii="Times New Roman" w:hAnsi="Times New Roman"/>
                      <w:bCs/>
                      <w:spacing w:val="-10"/>
                      <w:vertAlign w:val="subscript"/>
                    </w:rPr>
                    <w:t>2</w:t>
                  </w:r>
                  <w:r>
                    <w:rPr>
                      <w:rFonts w:ascii="Times New Roman" w:hAnsi="Times New Roman"/>
                      <w:bCs/>
                      <w:spacing w:val="-10"/>
                    </w:rPr>
                    <w:t>S</w:t>
                  </w:r>
                </w:p>
              </w:tc>
              <w:tc>
                <w:tcPr>
                  <w:tcW w:w="6062" w:type="dxa"/>
                  <w:tcBorders>
                    <w:top w:val="single" w:color="auto" w:sz="4" w:space="0"/>
                    <w:left w:val="single" w:color="auto" w:sz="4" w:space="0"/>
                    <w:bottom w:val="single" w:color="auto" w:sz="4" w:space="0"/>
                    <w:right w:val="single" w:color="auto" w:sz="4" w:space="0"/>
                  </w:tcBorders>
                  <w:vAlign w:val="center"/>
                </w:tcPr>
                <w:p w14:paraId="3F82D24C">
                  <w:pPr>
                    <w:widowControl/>
                    <w:jc w:val="center"/>
                    <w:rPr>
                      <w:rStyle w:val="164"/>
                      <w:rFonts w:hint="default" w:ascii="Times New Roman" w:hAnsi="Times New Roman" w:eastAsia="宋体"/>
                      <w:color w:val="auto"/>
                    </w:rPr>
                  </w:pPr>
                  <w:r>
                    <w:rPr>
                      <w:rStyle w:val="164"/>
                      <w:rFonts w:hint="default" w:ascii="Times New Roman" w:hAnsi="Times New Roman" w:eastAsia="宋体"/>
                      <w:color w:val="auto"/>
                    </w:rPr>
                    <w:t>0.06</w:t>
                  </w:r>
                </w:p>
              </w:tc>
            </w:tr>
            <w:tr w14:paraId="6CCC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35654034">
                  <w:pPr>
                    <w:pStyle w:val="69"/>
                    <w:spacing w:line="260" w:lineRule="exact"/>
                    <w:rPr>
                      <w:rFonts w:ascii="Times New Roman" w:hAnsi="Times New Roman"/>
                    </w:rPr>
                  </w:pPr>
                  <w:r>
                    <w:rPr>
                      <w:rFonts w:hint="eastAsia" w:ascii="Times New Roman" w:hAnsi="Times New Roman"/>
                    </w:rPr>
                    <w:t>臭气浓度</w:t>
                  </w:r>
                </w:p>
              </w:tc>
              <w:tc>
                <w:tcPr>
                  <w:tcW w:w="6062" w:type="dxa"/>
                  <w:tcBorders>
                    <w:top w:val="single" w:color="auto" w:sz="4" w:space="0"/>
                    <w:left w:val="single" w:color="auto" w:sz="4" w:space="0"/>
                    <w:bottom w:val="single" w:color="auto" w:sz="4" w:space="0"/>
                    <w:right w:val="single" w:color="auto" w:sz="4" w:space="0"/>
                  </w:tcBorders>
                  <w:vAlign w:val="center"/>
                </w:tcPr>
                <w:p w14:paraId="07BC2464">
                  <w:pPr>
                    <w:widowControl/>
                    <w:jc w:val="center"/>
                    <w:rPr>
                      <w:rStyle w:val="164"/>
                      <w:rFonts w:hint="default" w:ascii="Times New Roman" w:hAnsi="Times New Roman" w:eastAsia="宋体"/>
                      <w:color w:val="auto"/>
                    </w:rPr>
                  </w:pPr>
                  <w:r>
                    <w:rPr>
                      <w:rStyle w:val="164"/>
                      <w:rFonts w:hint="default" w:ascii="Times New Roman" w:hAnsi="Times New Roman" w:eastAsia="宋体"/>
                      <w:color w:val="auto"/>
                    </w:rPr>
                    <w:t>20（无量纲）</w:t>
                  </w:r>
                </w:p>
              </w:tc>
            </w:tr>
          </w:tbl>
          <w:p w14:paraId="24520362">
            <w:pPr>
              <w:adjustRightInd w:val="0"/>
              <w:snapToGrid w:val="0"/>
              <w:spacing w:line="360" w:lineRule="auto"/>
              <w:ind w:firstLine="482" w:firstLineChars="200"/>
              <w:contextualSpacing/>
              <w:rPr>
                <w:b/>
                <w:kern w:val="44"/>
                <w:sz w:val="24"/>
              </w:rPr>
            </w:pPr>
            <w:r>
              <w:rPr>
                <w:b/>
                <w:kern w:val="44"/>
                <w:sz w:val="24"/>
              </w:rPr>
              <w:t>2水污染物排放标准</w:t>
            </w:r>
          </w:p>
          <w:p w14:paraId="7273CCA8">
            <w:pPr>
              <w:adjustRightInd w:val="0"/>
              <w:snapToGrid w:val="0"/>
              <w:spacing w:line="360" w:lineRule="auto"/>
              <w:ind w:firstLine="480" w:firstLineChars="200"/>
              <w:contextualSpacing/>
              <w:rPr>
                <w:kern w:val="44"/>
                <w:sz w:val="24"/>
              </w:rPr>
            </w:pPr>
            <w:r>
              <w:rPr>
                <w:rFonts w:hint="eastAsia"/>
                <w:kern w:val="44"/>
                <w:sz w:val="24"/>
              </w:rPr>
              <w:t>项目废水经厂内污水处理设施处理达《污水综合排放标准》（GB8978-1996）三级标准（氨氮参照《污水排入城镇下水道水质标准》（GB/T31962-2015）中氨氮45mg/L）后排入园区污水管网进入李渡大耍坝污水处理厂进一步处理，最终经处理达《城镇污水处理厂污染物排放标准》（GB18918-2002）一级B标准后排入到长江。</w:t>
            </w:r>
          </w:p>
          <w:p w14:paraId="3F49A1B3">
            <w:pPr>
              <w:snapToGrid w:val="0"/>
              <w:spacing w:line="360" w:lineRule="auto"/>
              <w:contextualSpacing/>
              <w:jc w:val="center"/>
              <w:rPr>
                <w:kern w:val="0"/>
                <w:sz w:val="24"/>
              </w:rPr>
            </w:pPr>
            <w:r>
              <w:rPr>
                <w:kern w:val="0"/>
                <w:sz w:val="24"/>
              </w:rPr>
              <w:t>表3-11   废水污染物排放标准   单位：mg/L</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381"/>
              <w:gridCol w:w="980"/>
              <w:gridCol w:w="2236"/>
              <w:gridCol w:w="2429"/>
            </w:tblGrid>
            <w:tr w14:paraId="7B37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589" w:type="pct"/>
                  <w:vAlign w:val="center"/>
                </w:tcPr>
                <w:p w14:paraId="32C678CD">
                  <w:pPr>
                    <w:adjustRightInd w:val="0"/>
                    <w:snapToGrid w:val="0"/>
                    <w:jc w:val="center"/>
                    <w:rPr>
                      <w:bCs/>
                      <w:snapToGrid w:val="0"/>
                      <w:sz w:val="22"/>
                      <w:szCs w:val="22"/>
                    </w:rPr>
                  </w:pPr>
                  <w:r>
                    <w:rPr>
                      <w:bCs/>
                      <w:snapToGrid w:val="0"/>
                      <w:sz w:val="22"/>
                      <w:szCs w:val="22"/>
                    </w:rPr>
                    <w:t>序号</w:t>
                  </w:r>
                </w:p>
              </w:tc>
              <w:tc>
                <w:tcPr>
                  <w:tcW w:w="867" w:type="pct"/>
                  <w:vAlign w:val="center"/>
                </w:tcPr>
                <w:p w14:paraId="3C69FD3F">
                  <w:pPr>
                    <w:adjustRightInd w:val="0"/>
                    <w:snapToGrid w:val="0"/>
                    <w:jc w:val="center"/>
                    <w:rPr>
                      <w:bCs/>
                      <w:snapToGrid w:val="0"/>
                      <w:sz w:val="22"/>
                      <w:szCs w:val="22"/>
                    </w:rPr>
                  </w:pPr>
                  <w:r>
                    <w:rPr>
                      <w:bCs/>
                      <w:snapToGrid w:val="0"/>
                      <w:sz w:val="22"/>
                      <w:szCs w:val="22"/>
                    </w:rPr>
                    <w:t>项目</w:t>
                  </w:r>
                </w:p>
              </w:tc>
              <w:tc>
                <w:tcPr>
                  <w:tcW w:w="615" w:type="pct"/>
                  <w:vAlign w:val="center"/>
                </w:tcPr>
                <w:p w14:paraId="1A0BDBD7">
                  <w:pPr>
                    <w:adjustRightInd w:val="0"/>
                    <w:snapToGrid w:val="0"/>
                    <w:jc w:val="center"/>
                    <w:rPr>
                      <w:bCs/>
                      <w:snapToGrid w:val="0"/>
                      <w:sz w:val="22"/>
                      <w:szCs w:val="22"/>
                    </w:rPr>
                  </w:pPr>
                  <w:r>
                    <w:rPr>
                      <w:bCs/>
                      <w:snapToGrid w:val="0"/>
                      <w:sz w:val="22"/>
                      <w:szCs w:val="22"/>
                    </w:rPr>
                    <w:t>单位</w:t>
                  </w:r>
                </w:p>
              </w:tc>
              <w:tc>
                <w:tcPr>
                  <w:tcW w:w="1404" w:type="pct"/>
                  <w:vAlign w:val="center"/>
                </w:tcPr>
                <w:p w14:paraId="7FDF696E">
                  <w:pPr>
                    <w:adjustRightInd w:val="0"/>
                    <w:snapToGrid w:val="0"/>
                    <w:jc w:val="center"/>
                    <w:rPr>
                      <w:bCs/>
                      <w:snapToGrid w:val="0"/>
                      <w:sz w:val="22"/>
                      <w:szCs w:val="22"/>
                    </w:rPr>
                  </w:pPr>
                  <w:r>
                    <w:rPr>
                      <w:bCs/>
                      <w:snapToGrid w:val="0"/>
                      <w:kern w:val="0"/>
                      <w:sz w:val="22"/>
                      <w:szCs w:val="22"/>
                    </w:rPr>
                    <w:t>GB8978-1996三级标准</w:t>
                  </w:r>
                </w:p>
              </w:tc>
              <w:tc>
                <w:tcPr>
                  <w:tcW w:w="1525" w:type="pct"/>
                  <w:vAlign w:val="center"/>
                </w:tcPr>
                <w:p w14:paraId="2B5F48F8">
                  <w:pPr>
                    <w:adjustRightInd w:val="0"/>
                    <w:snapToGrid w:val="0"/>
                    <w:jc w:val="center"/>
                    <w:rPr>
                      <w:bCs/>
                      <w:snapToGrid w:val="0"/>
                      <w:sz w:val="22"/>
                      <w:szCs w:val="22"/>
                    </w:rPr>
                  </w:pPr>
                  <w:r>
                    <w:rPr>
                      <w:bCs/>
                      <w:snapToGrid w:val="0"/>
                      <w:kern w:val="0"/>
                      <w:sz w:val="22"/>
                      <w:szCs w:val="22"/>
                    </w:rPr>
                    <w:t>GB18918-2002一级</w:t>
                  </w:r>
                  <w:r>
                    <w:rPr>
                      <w:rFonts w:hint="eastAsia"/>
                      <w:bCs/>
                      <w:snapToGrid w:val="0"/>
                      <w:kern w:val="0"/>
                      <w:sz w:val="22"/>
                      <w:szCs w:val="22"/>
                    </w:rPr>
                    <w:t>B</w:t>
                  </w:r>
                  <w:r>
                    <w:rPr>
                      <w:bCs/>
                      <w:snapToGrid w:val="0"/>
                      <w:kern w:val="0"/>
                      <w:sz w:val="22"/>
                      <w:szCs w:val="22"/>
                    </w:rPr>
                    <w:t>标准</w:t>
                  </w:r>
                </w:p>
              </w:tc>
            </w:tr>
            <w:tr w14:paraId="2559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363AF6D2">
                  <w:pPr>
                    <w:adjustRightInd w:val="0"/>
                    <w:snapToGrid w:val="0"/>
                    <w:jc w:val="center"/>
                    <w:rPr>
                      <w:bCs/>
                      <w:snapToGrid w:val="0"/>
                      <w:sz w:val="22"/>
                      <w:szCs w:val="22"/>
                    </w:rPr>
                  </w:pPr>
                  <w:r>
                    <w:rPr>
                      <w:bCs/>
                      <w:snapToGrid w:val="0"/>
                      <w:sz w:val="22"/>
                      <w:szCs w:val="22"/>
                    </w:rPr>
                    <w:t>1</w:t>
                  </w:r>
                </w:p>
              </w:tc>
              <w:tc>
                <w:tcPr>
                  <w:tcW w:w="867" w:type="pct"/>
                  <w:vAlign w:val="center"/>
                </w:tcPr>
                <w:p w14:paraId="317D2BA1">
                  <w:pPr>
                    <w:adjustRightInd w:val="0"/>
                    <w:snapToGrid w:val="0"/>
                    <w:jc w:val="center"/>
                    <w:rPr>
                      <w:bCs/>
                      <w:snapToGrid w:val="0"/>
                      <w:sz w:val="22"/>
                      <w:szCs w:val="22"/>
                    </w:rPr>
                  </w:pPr>
                  <w:r>
                    <w:rPr>
                      <w:bCs/>
                      <w:snapToGrid w:val="0"/>
                      <w:sz w:val="22"/>
                      <w:szCs w:val="22"/>
                    </w:rPr>
                    <w:t>pH</w:t>
                  </w:r>
                </w:p>
              </w:tc>
              <w:tc>
                <w:tcPr>
                  <w:tcW w:w="615" w:type="pct"/>
                  <w:vAlign w:val="center"/>
                </w:tcPr>
                <w:p w14:paraId="572C3846">
                  <w:pPr>
                    <w:adjustRightInd w:val="0"/>
                    <w:snapToGrid w:val="0"/>
                    <w:jc w:val="center"/>
                    <w:rPr>
                      <w:bCs/>
                      <w:snapToGrid w:val="0"/>
                      <w:sz w:val="22"/>
                      <w:szCs w:val="22"/>
                    </w:rPr>
                  </w:pPr>
                  <w:r>
                    <w:rPr>
                      <w:bCs/>
                      <w:snapToGrid w:val="0"/>
                      <w:sz w:val="22"/>
                      <w:szCs w:val="22"/>
                    </w:rPr>
                    <w:t>无量纲</w:t>
                  </w:r>
                </w:p>
              </w:tc>
              <w:tc>
                <w:tcPr>
                  <w:tcW w:w="1404" w:type="pct"/>
                  <w:vAlign w:val="center"/>
                </w:tcPr>
                <w:p w14:paraId="6183028D">
                  <w:pPr>
                    <w:adjustRightInd w:val="0"/>
                    <w:snapToGrid w:val="0"/>
                    <w:jc w:val="center"/>
                    <w:rPr>
                      <w:bCs/>
                      <w:snapToGrid w:val="0"/>
                      <w:sz w:val="22"/>
                      <w:szCs w:val="22"/>
                    </w:rPr>
                  </w:pPr>
                  <w:r>
                    <w:rPr>
                      <w:bCs/>
                      <w:snapToGrid w:val="0"/>
                      <w:sz w:val="22"/>
                      <w:szCs w:val="22"/>
                    </w:rPr>
                    <w:t>6～9</w:t>
                  </w:r>
                </w:p>
              </w:tc>
              <w:tc>
                <w:tcPr>
                  <w:tcW w:w="1525" w:type="pct"/>
                  <w:vAlign w:val="center"/>
                </w:tcPr>
                <w:p w14:paraId="38A63FBD">
                  <w:pPr>
                    <w:adjustRightInd w:val="0"/>
                    <w:snapToGrid w:val="0"/>
                    <w:jc w:val="center"/>
                    <w:rPr>
                      <w:bCs/>
                      <w:snapToGrid w:val="0"/>
                      <w:sz w:val="22"/>
                      <w:szCs w:val="22"/>
                    </w:rPr>
                  </w:pPr>
                  <w:r>
                    <w:rPr>
                      <w:rFonts w:hint="eastAsia"/>
                      <w:bCs/>
                      <w:snapToGrid w:val="0"/>
                      <w:sz w:val="22"/>
                      <w:szCs w:val="22"/>
                    </w:rPr>
                    <w:t>6</w:t>
                  </w:r>
                  <w:r>
                    <w:rPr>
                      <w:bCs/>
                      <w:snapToGrid w:val="0"/>
                      <w:sz w:val="22"/>
                      <w:szCs w:val="22"/>
                    </w:rPr>
                    <w:t>~9</w:t>
                  </w:r>
                </w:p>
              </w:tc>
            </w:tr>
            <w:tr w14:paraId="36EB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1AB8C26F">
                  <w:pPr>
                    <w:adjustRightInd w:val="0"/>
                    <w:snapToGrid w:val="0"/>
                    <w:jc w:val="center"/>
                    <w:rPr>
                      <w:bCs/>
                      <w:snapToGrid w:val="0"/>
                      <w:sz w:val="22"/>
                      <w:szCs w:val="22"/>
                    </w:rPr>
                  </w:pPr>
                  <w:r>
                    <w:rPr>
                      <w:bCs/>
                      <w:snapToGrid w:val="0"/>
                      <w:sz w:val="22"/>
                      <w:szCs w:val="22"/>
                    </w:rPr>
                    <w:t>2</w:t>
                  </w:r>
                </w:p>
              </w:tc>
              <w:tc>
                <w:tcPr>
                  <w:tcW w:w="867" w:type="pct"/>
                  <w:vAlign w:val="center"/>
                </w:tcPr>
                <w:p w14:paraId="736B224D">
                  <w:pPr>
                    <w:adjustRightInd w:val="0"/>
                    <w:snapToGrid w:val="0"/>
                    <w:jc w:val="center"/>
                    <w:rPr>
                      <w:bCs/>
                      <w:snapToGrid w:val="0"/>
                      <w:sz w:val="22"/>
                      <w:szCs w:val="22"/>
                    </w:rPr>
                  </w:pPr>
                  <w:r>
                    <w:rPr>
                      <w:bCs/>
                      <w:snapToGrid w:val="0"/>
                      <w:sz w:val="22"/>
                      <w:szCs w:val="22"/>
                    </w:rPr>
                    <w:t>COD</w:t>
                  </w:r>
                </w:p>
              </w:tc>
              <w:tc>
                <w:tcPr>
                  <w:tcW w:w="615" w:type="pct"/>
                  <w:vAlign w:val="center"/>
                </w:tcPr>
                <w:p w14:paraId="06693615">
                  <w:pPr>
                    <w:adjustRightInd w:val="0"/>
                    <w:snapToGrid w:val="0"/>
                    <w:jc w:val="center"/>
                    <w:rPr>
                      <w:bCs/>
                      <w:snapToGrid w:val="0"/>
                      <w:sz w:val="22"/>
                      <w:szCs w:val="22"/>
                    </w:rPr>
                  </w:pPr>
                  <w:r>
                    <w:rPr>
                      <w:bCs/>
                      <w:snapToGrid w:val="0"/>
                      <w:sz w:val="22"/>
                      <w:szCs w:val="22"/>
                    </w:rPr>
                    <w:t>mg/L</w:t>
                  </w:r>
                </w:p>
              </w:tc>
              <w:tc>
                <w:tcPr>
                  <w:tcW w:w="1404" w:type="pct"/>
                  <w:vAlign w:val="center"/>
                </w:tcPr>
                <w:p w14:paraId="23E1C93D">
                  <w:pPr>
                    <w:adjustRightInd w:val="0"/>
                    <w:snapToGrid w:val="0"/>
                    <w:jc w:val="center"/>
                    <w:rPr>
                      <w:bCs/>
                      <w:snapToGrid w:val="0"/>
                      <w:sz w:val="22"/>
                      <w:szCs w:val="22"/>
                    </w:rPr>
                  </w:pPr>
                  <w:r>
                    <w:rPr>
                      <w:bCs/>
                      <w:snapToGrid w:val="0"/>
                      <w:sz w:val="22"/>
                      <w:szCs w:val="22"/>
                    </w:rPr>
                    <w:t>500</w:t>
                  </w:r>
                </w:p>
              </w:tc>
              <w:tc>
                <w:tcPr>
                  <w:tcW w:w="1525" w:type="pct"/>
                  <w:vAlign w:val="center"/>
                </w:tcPr>
                <w:p w14:paraId="6A442044">
                  <w:pPr>
                    <w:adjustRightInd w:val="0"/>
                    <w:snapToGrid w:val="0"/>
                    <w:jc w:val="center"/>
                    <w:rPr>
                      <w:bCs/>
                      <w:snapToGrid w:val="0"/>
                      <w:sz w:val="22"/>
                      <w:szCs w:val="22"/>
                    </w:rPr>
                  </w:pPr>
                  <w:r>
                    <w:rPr>
                      <w:rFonts w:hint="eastAsia"/>
                      <w:bCs/>
                      <w:snapToGrid w:val="0"/>
                      <w:sz w:val="22"/>
                      <w:szCs w:val="22"/>
                    </w:rPr>
                    <w:t>6</w:t>
                  </w:r>
                  <w:r>
                    <w:rPr>
                      <w:bCs/>
                      <w:snapToGrid w:val="0"/>
                      <w:sz w:val="22"/>
                      <w:szCs w:val="22"/>
                    </w:rPr>
                    <w:t>0</w:t>
                  </w:r>
                </w:p>
              </w:tc>
            </w:tr>
            <w:tr w14:paraId="71B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5F4D1570">
                  <w:pPr>
                    <w:adjustRightInd w:val="0"/>
                    <w:snapToGrid w:val="0"/>
                    <w:jc w:val="center"/>
                    <w:rPr>
                      <w:bCs/>
                      <w:snapToGrid w:val="0"/>
                      <w:sz w:val="22"/>
                      <w:szCs w:val="22"/>
                    </w:rPr>
                  </w:pPr>
                  <w:r>
                    <w:rPr>
                      <w:bCs/>
                      <w:snapToGrid w:val="0"/>
                      <w:sz w:val="22"/>
                      <w:szCs w:val="22"/>
                    </w:rPr>
                    <w:t>3</w:t>
                  </w:r>
                </w:p>
              </w:tc>
              <w:tc>
                <w:tcPr>
                  <w:tcW w:w="867" w:type="pct"/>
                  <w:vAlign w:val="center"/>
                </w:tcPr>
                <w:p w14:paraId="7FD1FDD3">
                  <w:pPr>
                    <w:adjustRightInd w:val="0"/>
                    <w:snapToGrid w:val="0"/>
                    <w:jc w:val="center"/>
                    <w:rPr>
                      <w:bCs/>
                      <w:snapToGrid w:val="0"/>
                      <w:sz w:val="22"/>
                      <w:szCs w:val="22"/>
                    </w:rPr>
                  </w:pPr>
                  <w:r>
                    <w:rPr>
                      <w:bCs/>
                      <w:snapToGrid w:val="0"/>
                      <w:sz w:val="22"/>
                      <w:szCs w:val="22"/>
                    </w:rPr>
                    <w:t>BOD</w:t>
                  </w:r>
                  <w:r>
                    <w:rPr>
                      <w:bCs/>
                      <w:snapToGrid w:val="0"/>
                      <w:sz w:val="22"/>
                      <w:szCs w:val="22"/>
                      <w:vertAlign w:val="subscript"/>
                    </w:rPr>
                    <w:t>5</w:t>
                  </w:r>
                </w:p>
              </w:tc>
              <w:tc>
                <w:tcPr>
                  <w:tcW w:w="615" w:type="pct"/>
                  <w:vAlign w:val="center"/>
                </w:tcPr>
                <w:p w14:paraId="2B6A2C14">
                  <w:pPr>
                    <w:adjustRightInd w:val="0"/>
                    <w:snapToGrid w:val="0"/>
                    <w:jc w:val="center"/>
                    <w:rPr>
                      <w:bCs/>
                      <w:snapToGrid w:val="0"/>
                      <w:sz w:val="22"/>
                      <w:szCs w:val="22"/>
                    </w:rPr>
                  </w:pPr>
                  <w:r>
                    <w:rPr>
                      <w:bCs/>
                      <w:snapToGrid w:val="0"/>
                      <w:sz w:val="22"/>
                      <w:szCs w:val="22"/>
                    </w:rPr>
                    <w:t>mg/L</w:t>
                  </w:r>
                </w:p>
              </w:tc>
              <w:tc>
                <w:tcPr>
                  <w:tcW w:w="1404" w:type="pct"/>
                  <w:vAlign w:val="center"/>
                </w:tcPr>
                <w:p w14:paraId="1C875966">
                  <w:pPr>
                    <w:adjustRightInd w:val="0"/>
                    <w:snapToGrid w:val="0"/>
                    <w:jc w:val="center"/>
                    <w:rPr>
                      <w:bCs/>
                      <w:snapToGrid w:val="0"/>
                      <w:sz w:val="22"/>
                      <w:szCs w:val="22"/>
                    </w:rPr>
                  </w:pPr>
                  <w:r>
                    <w:rPr>
                      <w:bCs/>
                      <w:snapToGrid w:val="0"/>
                      <w:sz w:val="22"/>
                      <w:szCs w:val="22"/>
                    </w:rPr>
                    <w:t>300</w:t>
                  </w:r>
                </w:p>
              </w:tc>
              <w:tc>
                <w:tcPr>
                  <w:tcW w:w="1525" w:type="pct"/>
                  <w:vAlign w:val="center"/>
                </w:tcPr>
                <w:p w14:paraId="49C1A127">
                  <w:pPr>
                    <w:adjustRightInd w:val="0"/>
                    <w:snapToGrid w:val="0"/>
                    <w:jc w:val="center"/>
                    <w:rPr>
                      <w:bCs/>
                      <w:snapToGrid w:val="0"/>
                      <w:sz w:val="22"/>
                      <w:szCs w:val="22"/>
                    </w:rPr>
                  </w:pPr>
                  <w:r>
                    <w:rPr>
                      <w:rFonts w:hint="eastAsia"/>
                      <w:bCs/>
                      <w:snapToGrid w:val="0"/>
                      <w:sz w:val="22"/>
                      <w:szCs w:val="22"/>
                    </w:rPr>
                    <w:t>2</w:t>
                  </w:r>
                  <w:r>
                    <w:rPr>
                      <w:bCs/>
                      <w:snapToGrid w:val="0"/>
                      <w:sz w:val="22"/>
                      <w:szCs w:val="22"/>
                    </w:rPr>
                    <w:t>0</w:t>
                  </w:r>
                </w:p>
              </w:tc>
            </w:tr>
            <w:tr w14:paraId="4BAC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699F7A99">
                  <w:pPr>
                    <w:adjustRightInd w:val="0"/>
                    <w:snapToGrid w:val="0"/>
                    <w:jc w:val="center"/>
                    <w:rPr>
                      <w:bCs/>
                      <w:snapToGrid w:val="0"/>
                      <w:sz w:val="22"/>
                      <w:szCs w:val="22"/>
                    </w:rPr>
                  </w:pPr>
                  <w:r>
                    <w:rPr>
                      <w:rFonts w:hint="eastAsia"/>
                      <w:bCs/>
                      <w:snapToGrid w:val="0"/>
                      <w:sz w:val="22"/>
                      <w:szCs w:val="22"/>
                    </w:rPr>
                    <w:t>4</w:t>
                  </w:r>
                </w:p>
              </w:tc>
              <w:tc>
                <w:tcPr>
                  <w:tcW w:w="867" w:type="pct"/>
                  <w:vAlign w:val="center"/>
                </w:tcPr>
                <w:p w14:paraId="34479709">
                  <w:pPr>
                    <w:adjustRightInd w:val="0"/>
                    <w:snapToGrid w:val="0"/>
                    <w:jc w:val="center"/>
                    <w:rPr>
                      <w:bCs/>
                      <w:snapToGrid w:val="0"/>
                      <w:sz w:val="22"/>
                      <w:szCs w:val="22"/>
                    </w:rPr>
                  </w:pPr>
                  <w:r>
                    <w:rPr>
                      <w:rFonts w:hint="eastAsia"/>
                      <w:bCs/>
                      <w:snapToGrid w:val="0"/>
                      <w:sz w:val="22"/>
                      <w:szCs w:val="22"/>
                    </w:rPr>
                    <w:t>S</w:t>
                  </w:r>
                  <w:r>
                    <w:rPr>
                      <w:bCs/>
                      <w:snapToGrid w:val="0"/>
                      <w:sz w:val="22"/>
                      <w:szCs w:val="22"/>
                    </w:rPr>
                    <w:t>S</w:t>
                  </w:r>
                </w:p>
              </w:tc>
              <w:tc>
                <w:tcPr>
                  <w:tcW w:w="615" w:type="pct"/>
                  <w:vAlign w:val="center"/>
                </w:tcPr>
                <w:p w14:paraId="1DD1C9BD">
                  <w:pPr>
                    <w:adjustRightInd w:val="0"/>
                    <w:snapToGrid w:val="0"/>
                    <w:jc w:val="center"/>
                    <w:rPr>
                      <w:bCs/>
                      <w:snapToGrid w:val="0"/>
                      <w:sz w:val="22"/>
                      <w:szCs w:val="22"/>
                    </w:rPr>
                  </w:pPr>
                  <w:r>
                    <w:rPr>
                      <w:bCs/>
                      <w:snapToGrid w:val="0"/>
                      <w:sz w:val="22"/>
                      <w:szCs w:val="22"/>
                    </w:rPr>
                    <w:t>mg/L</w:t>
                  </w:r>
                </w:p>
              </w:tc>
              <w:tc>
                <w:tcPr>
                  <w:tcW w:w="1404" w:type="pct"/>
                  <w:vAlign w:val="center"/>
                </w:tcPr>
                <w:p w14:paraId="33F63529">
                  <w:pPr>
                    <w:adjustRightInd w:val="0"/>
                    <w:snapToGrid w:val="0"/>
                    <w:jc w:val="center"/>
                    <w:rPr>
                      <w:bCs/>
                      <w:snapToGrid w:val="0"/>
                      <w:sz w:val="22"/>
                      <w:szCs w:val="22"/>
                    </w:rPr>
                  </w:pPr>
                  <w:r>
                    <w:rPr>
                      <w:rFonts w:hint="eastAsia"/>
                      <w:bCs/>
                      <w:snapToGrid w:val="0"/>
                      <w:sz w:val="22"/>
                      <w:szCs w:val="22"/>
                    </w:rPr>
                    <w:t>4</w:t>
                  </w:r>
                  <w:r>
                    <w:rPr>
                      <w:bCs/>
                      <w:snapToGrid w:val="0"/>
                      <w:sz w:val="22"/>
                      <w:szCs w:val="22"/>
                    </w:rPr>
                    <w:t>00</w:t>
                  </w:r>
                </w:p>
              </w:tc>
              <w:tc>
                <w:tcPr>
                  <w:tcW w:w="1525" w:type="pct"/>
                  <w:vAlign w:val="center"/>
                </w:tcPr>
                <w:p w14:paraId="65814A3D">
                  <w:pPr>
                    <w:adjustRightInd w:val="0"/>
                    <w:snapToGrid w:val="0"/>
                    <w:jc w:val="center"/>
                    <w:rPr>
                      <w:bCs/>
                      <w:snapToGrid w:val="0"/>
                      <w:sz w:val="22"/>
                      <w:szCs w:val="22"/>
                    </w:rPr>
                  </w:pPr>
                  <w:r>
                    <w:rPr>
                      <w:rFonts w:hint="eastAsia"/>
                      <w:bCs/>
                      <w:snapToGrid w:val="0"/>
                      <w:sz w:val="22"/>
                      <w:szCs w:val="22"/>
                    </w:rPr>
                    <w:t>2</w:t>
                  </w:r>
                  <w:r>
                    <w:rPr>
                      <w:bCs/>
                      <w:snapToGrid w:val="0"/>
                      <w:sz w:val="22"/>
                      <w:szCs w:val="22"/>
                    </w:rPr>
                    <w:t>0</w:t>
                  </w:r>
                </w:p>
              </w:tc>
            </w:tr>
            <w:tr w14:paraId="2002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67248553">
                  <w:pPr>
                    <w:adjustRightInd w:val="0"/>
                    <w:snapToGrid w:val="0"/>
                    <w:jc w:val="center"/>
                    <w:rPr>
                      <w:bCs/>
                      <w:snapToGrid w:val="0"/>
                      <w:sz w:val="22"/>
                      <w:szCs w:val="22"/>
                    </w:rPr>
                  </w:pPr>
                  <w:r>
                    <w:rPr>
                      <w:bCs/>
                      <w:snapToGrid w:val="0"/>
                      <w:sz w:val="22"/>
                      <w:szCs w:val="22"/>
                    </w:rPr>
                    <w:t>5</w:t>
                  </w:r>
                </w:p>
              </w:tc>
              <w:tc>
                <w:tcPr>
                  <w:tcW w:w="867" w:type="pct"/>
                  <w:vAlign w:val="center"/>
                </w:tcPr>
                <w:p w14:paraId="6BF397AB">
                  <w:pPr>
                    <w:adjustRightInd w:val="0"/>
                    <w:snapToGrid w:val="0"/>
                    <w:jc w:val="center"/>
                    <w:rPr>
                      <w:bCs/>
                      <w:snapToGrid w:val="0"/>
                      <w:sz w:val="22"/>
                      <w:szCs w:val="22"/>
                    </w:rPr>
                  </w:pPr>
                  <w:r>
                    <w:rPr>
                      <w:bCs/>
                      <w:snapToGrid w:val="0"/>
                      <w:sz w:val="22"/>
                      <w:szCs w:val="22"/>
                    </w:rPr>
                    <w:t>氨氮</w:t>
                  </w:r>
                </w:p>
              </w:tc>
              <w:tc>
                <w:tcPr>
                  <w:tcW w:w="615" w:type="pct"/>
                  <w:vAlign w:val="center"/>
                </w:tcPr>
                <w:p w14:paraId="32675483">
                  <w:pPr>
                    <w:adjustRightInd w:val="0"/>
                    <w:snapToGrid w:val="0"/>
                    <w:jc w:val="center"/>
                    <w:rPr>
                      <w:bCs/>
                      <w:snapToGrid w:val="0"/>
                      <w:sz w:val="22"/>
                      <w:szCs w:val="22"/>
                    </w:rPr>
                  </w:pPr>
                  <w:r>
                    <w:rPr>
                      <w:bCs/>
                      <w:snapToGrid w:val="0"/>
                      <w:sz w:val="22"/>
                      <w:szCs w:val="22"/>
                    </w:rPr>
                    <w:t>mg/L</w:t>
                  </w:r>
                </w:p>
              </w:tc>
              <w:tc>
                <w:tcPr>
                  <w:tcW w:w="1404" w:type="pct"/>
                  <w:vAlign w:val="center"/>
                </w:tcPr>
                <w:p w14:paraId="62CBD2A3">
                  <w:pPr>
                    <w:adjustRightInd w:val="0"/>
                    <w:snapToGrid w:val="0"/>
                    <w:jc w:val="center"/>
                    <w:rPr>
                      <w:bCs/>
                      <w:snapToGrid w:val="0"/>
                      <w:sz w:val="22"/>
                      <w:szCs w:val="22"/>
                    </w:rPr>
                  </w:pPr>
                  <w:r>
                    <w:rPr>
                      <w:bCs/>
                      <w:snapToGrid w:val="0"/>
                      <w:sz w:val="22"/>
                      <w:szCs w:val="22"/>
                    </w:rPr>
                    <w:t>45</w:t>
                  </w:r>
                </w:p>
              </w:tc>
              <w:tc>
                <w:tcPr>
                  <w:tcW w:w="1525" w:type="pct"/>
                  <w:vAlign w:val="center"/>
                </w:tcPr>
                <w:p w14:paraId="58869B3D">
                  <w:pPr>
                    <w:adjustRightInd w:val="0"/>
                    <w:snapToGrid w:val="0"/>
                    <w:jc w:val="center"/>
                    <w:rPr>
                      <w:bCs/>
                      <w:snapToGrid w:val="0"/>
                      <w:sz w:val="22"/>
                      <w:szCs w:val="22"/>
                    </w:rPr>
                  </w:pPr>
                  <w:r>
                    <w:rPr>
                      <w:rFonts w:hint="eastAsia"/>
                      <w:bCs/>
                      <w:snapToGrid w:val="0"/>
                      <w:sz w:val="22"/>
                      <w:szCs w:val="22"/>
                    </w:rPr>
                    <w:t>8（1</w:t>
                  </w:r>
                  <w:r>
                    <w:rPr>
                      <w:bCs/>
                      <w:snapToGrid w:val="0"/>
                      <w:sz w:val="22"/>
                      <w:szCs w:val="22"/>
                    </w:rPr>
                    <w:t>5</w:t>
                  </w:r>
                  <w:r>
                    <w:rPr>
                      <w:rFonts w:hint="eastAsia"/>
                      <w:bCs/>
                      <w:snapToGrid w:val="0"/>
                      <w:sz w:val="22"/>
                      <w:szCs w:val="22"/>
                    </w:rPr>
                    <w:t>）</w:t>
                  </w:r>
                </w:p>
              </w:tc>
            </w:tr>
            <w:tr w14:paraId="068C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0C3AF634">
                  <w:pPr>
                    <w:adjustRightInd w:val="0"/>
                    <w:snapToGrid w:val="0"/>
                    <w:jc w:val="center"/>
                    <w:rPr>
                      <w:bCs/>
                      <w:snapToGrid w:val="0"/>
                      <w:sz w:val="22"/>
                      <w:szCs w:val="22"/>
                    </w:rPr>
                  </w:pPr>
                  <w:r>
                    <w:rPr>
                      <w:bCs/>
                      <w:snapToGrid w:val="0"/>
                      <w:sz w:val="22"/>
                      <w:szCs w:val="22"/>
                    </w:rPr>
                    <w:t>6</w:t>
                  </w:r>
                </w:p>
              </w:tc>
              <w:tc>
                <w:tcPr>
                  <w:tcW w:w="867" w:type="pct"/>
                  <w:vAlign w:val="center"/>
                </w:tcPr>
                <w:p w14:paraId="1CF7CFCA">
                  <w:pPr>
                    <w:adjustRightInd w:val="0"/>
                    <w:snapToGrid w:val="0"/>
                    <w:jc w:val="center"/>
                    <w:rPr>
                      <w:bCs/>
                      <w:snapToGrid w:val="0"/>
                      <w:sz w:val="22"/>
                      <w:szCs w:val="22"/>
                    </w:rPr>
                  </w:pPr>
                  <w:r>
                    <w:rPr>
                      <w:bCs/>
                      <w:snapToGrid w:val="0"/>
                      <w:sz w:val="22"/>
                      <w:szCs w:val="22"/>
                    </w:rPr>
                    <w:t>石油类</w:t>
                  </w:r>
                </w:p>
              </w:tc>
              <w:tc>
                <w:tcPr>
                  <w:tcW w:w="615" w:type="pct"/>
                  <w:vAlign w:val="center"/>
                </w:tcPr>
                <w:p w14:paraId="54D36517">
                  <w:pPr>
                    <w:adjustRightInd w:val="0"/>
                    <w:snapToGrid w:val="0"/>
                    <w:jc w:val="center"/>
                    <w:rPr>
                      <w:bCs/>
                      <w:snapToGrid w:val="0"/>
                      <w:sz w:val="22"/>
                      <w:szCs w:val="22"/>
                    </w:rPr>
                  </w:pPr>
                  <w:r>
                    <w:rPr>
                      <w:bCs/>
                      <w:snapToGrid w:val="0"/>
                      <w:sz w:val="22"/>
                      <w:szCs w:val="22"/>
                    </w:rPr>
                    <w:t>mg/L</w:t>
                  </w:r>
                </w:p>
              </w:tc>
              <w:tc>
                <w:tcPr>
                  <w:tcW w:w="1404" w:type="pct"/>
                  <w:vAlign w:val="center"/>
                </w:tcPr>
                <w:p w14:paraId="3E852AEF">
                  <w:pPr>
                    <w:adjustRightInd w:val="0"/>
                    <w:snapToGrid w:val="0"/>
                    <w:jc w:val="center"/>
                    <w:rPr>
                      <w:bCs/>
                      <w:snapToGrid w:val="0"/>
                      <w:sz w:val="22"/>
                      <w:szCs w:val="22"/>
                    </w:rPr>
                  </w:pPr>
                  <w:r>
                    <w:rPr>
                      <w:bCs/>
                      <w:snapToGrid w:val="0"/>
                      <w:sz w:val="22"/>
                      <w:szCs w:val="22"/>
                    </w:rPr>
                    <w:t>20</w:t>
                  </w:r>
                </w:p>
              </w:tc>
              <w:tc>
                <w:tcPr>
                  <w:tcW w:w="1525" w:type="pct"/>
                  <w:vAlign w:val="center"/>
                </w:tcPr>
                <w:p w14:paraId="757050CA">
                  <w:pPr>
                    <w:adjustRightInd w:val="0"/>
                    <w:snapToGrid w:val="0"/>
                    <w:jc w:val="center"/>
                    <w:rPr>
                      <w:bCs/>
                      <w:snapToGrid w:val="0"/>
                      <w:sz w:val="22"/>
                      <w:szCs w:val="22"/>
                    </w:rPr>
                  </w:pPr>
                  <w:r>
                    <w:rPr>
                      <w:rFonts w:hint="eastAsia"/>
                      <w:bCs/>
                      <w:snapToGrid w:val="0"/>
                      <w:sz w:val="22"/>
                      <w:szCs w:val="22"/>
                    </w:rPr>
                    <w:t>3</w:t>
                  </w:r>
                </w:p>
              </w:tc>
            </w:tr>
            <w:tr w14:paraId="57B3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1A404E01">
                  <w:pPr>
                    <w:adjustRightInd w:val="0"/>
                    <w:snapToGrid w:val="0"/>
                    <w:jc w:val="center"/>
                    <w:rPr>
                      <w:bCs/>
                      <w:snapToGrid w:val="0"/>
                      <w:sz w:val="22"/>
                      <w:szCs w:val="22"/>
                    </w:rPr>
                  </w:pPr>
                  <w:r>
                    <w:rPr>
                      <w:bCs/>
                      <w:snapToGrid w:val="0"/>
                      <w:sz w:val="22"/>
                      <w:szCs w:val="22"/>
                    </w:rPr>
                    <w:t>7</w:t>
                  </w:r>
                </w:p>
              </w:tc>
              <w:tc>
                <w:tcPr>
                  <w:tcW w:w="867" w:type="pct"/>
                  <w:vAlign w:val="center"/>
                </w:tcPr>
                <w:p w14:paraId="02392202">
                  <w:pPr>
                    <w:adjustRightInd w:val="0"/>
                    <w:snapToGrid w:val="0"/>
                    <w:jc w:val="center"/>
                    <w:rPr>
                      <w:bCs/>
                      <w:snapToGrid w:val="0"/>
                      <w:sz w:val="22"/>
                      <w:szCs w:val="22"/>
                    </w:rPr>
                  </w:pPr>
                  <w:r>
                    <w:rPr>
                      <w:rFonts w:hint="eastAsia"/>
                      <w:bCs/>
                      <w:snapToGrid w:val="0"/>
                      <w:sz w:val="22"/>
                      <w:szCs w:val="22"/>
                    </w:rPr>
                    <w:t>L</w:t>
                  </w:r>
                  <w:r>
                    <w:rPr>
                      <w:bCs/>
                      <w:snapToGrid w:val="0"/>
                      <w:sz w:val="22"/>
                      <w:szCs w:val="22"/>
                    </w:rPr>
                    <w:t>AS</w:t>
                  </w:r>
                </w:p>
              </w:tc>
              <w:tc>
                <w:tcPr>
                  <w:tcW w:w="615" w:type="pct"/>
                  <w:vAlign w:val="center"/>
                </w:tcPr>
                <w:p w14:paraId="66916FAB">
                  <w:pPr>
                    <w:adjustRightInd w:val="0"/>
                    <w:snapToGrid w:val="0"/>
                    <w:jc w:val="center"/>
                    <w:rPr>
                      <w:bCs/>
                      <w:snapToGrid w:val="0"/>
                      <w:sz w:val="22"/>
                      <w:szCs w:val="22"/>
                    </w:rPr>
                  </w:pPr>
                  <w:r>
                    <w:rPr>
                      <w:bCs/>
                      <w:snapToGrid w:val="0"/>
                      <w:sz w:val="22"/>
                      <w:szCs w:val="22"/>
                    </w:rPr>
                    <w:t>mg/L</w:t>
                  </w:r>
                </w:p>
              </w:tc>
              <w:tc>
                <w:tcPr>
                  <w:tcW w:w="1404" w:type="pct"/>
                  <w:vAlign w:val="center"/>
                </w:tcPr>
                <w:p w14:paraId="63A2E7F8">
                  <w:pPr>
                    <w:adjustRightInd w:val="0"/>
                    <w:snapToGrid w:val="0"/>
                    <w:jc w:val="center"/>
                    <w:rPr>
                      <w:bCs/>
                      <w:snapToGrid w:val="0"/>
                      <w:sz w:val="22"/>
                      <w:szCs w:val="22"/>
                    </w:rPr>
                  </w:pPr>
                  <w:r>
                    <w:rPr>
                      <w:rFonts w:hint="eastAsia"/>
                      <w:bCs/>
                      <w:snapToGrid w:val="0"/>
                      <w:sz w:val="22"/>
                      <w:szCs w:val="22"/>
                    </w:rPr>
                    <w:t>2</w:t>
                  </w:r>
                  <w:r>
                    <w:rPr>
                      <w:bCs/>
                      <w:snapToGrid w:val="0"/>
                      <w:sz w:val="22"/>
                      <w:szCs w:val="22"/>
                    </w:rPr>
                    <w:t>0</w:t>
                  </w:r>
                </w:p>
              </w:tc>
              <w:tc>
                <w:tcPr>
                  <w:tcW w:w="1525" w:type="pct"/>
                  <w:vAlign w:val="center"/>
                </w:tcPr>
                <w:p w14:paraId="761FA8F3">
                  <w:pPr>
                    <w:adjustRightInd w:val="0"/>
                    <w:snapToGrid w:val="0"/>
                    <w:jc w:val="center"/>
                    <w:rPr>
                      <w:bCs/>
                      <w:snapToGrid w:val="0"/>
                      <w:sz w:val="22"/>
                      <w:szCs w:val="22"/>
                    </w:rPr>
                  </w:pPr>
                  <w:r>
                    <w:rPr>
                      <w:rFonts w:hint="eastAsia"/>
                      <w:bCs/>
                      <w:snapToGrid w:val="0"/>
                      <w:sz w:val="22"/>
                      <w:szCs w:val="22"/>
                    </w:rPr>
                    <w:t>1</w:t>
                  </w:r>
                </w:p>
              </w:tc>
            </w:tr>
            <w:tr w14:paraId="779B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14:paraId="32BBF74F">
                  <w:pPr>
                    <w:adjustRightInd w:val="0"/>
                    <w:snapToGrid w:val="0"/>
                    <w:jc w:val="center"/>
                    <w:rPr>
                      <w:bCs/>
                      <w:snapToGrid w:val="0"/>
                      <w:sz w:val="22"/>
                      <w:szCs w:val="22"/>
                    </w:rPr>
                  </w:pPr>
                  <w:r>
                    <w:rPr>
                      <w:rFonts w:hint="eastAsia"/>
                      <w:bCs/>
                      <w:snapToGrid w:val="0"/>
                      <w:sz w:val="22"/>
                      <w:szCs w:val="22"/>
                    </w:rPr>
                    <w:t>8</w:t>
                  </w:r>
                </w:p>
              </w:tc>
              <w:tc>
                <w:tcPr>
                  <w:tcW w:w="867" w:type="pct"/>
                  <w:vAlign w:val="center"/>
                </w:tcPr>
                <w:p w14:paraId="15664CDA">
                  <w:pPr>
                    <w:adjustRightInd w:val="0"/>
                    <w:snapToGrid w:val="0"/>
                    <w:jc w:val="center"/>
                    <w:rPr>
                      <w:bCs/>
                      <w:snapToGrid w:val="0"/>
                      <w:sz w:val="22"/>
                      <w:szCs w:val="22"/>
                    </w:rPr>
                  </w:pPr>
                  <w:r>
                    <w:rPr>
                      <w:rFonts w:hint="eastAsia"/>
                      <w:bCs/>
                      <w:snapToGrid w:val="0"/>
                      <w:sz w:val="22"/>
                      <w:szCs w:val="22"/>
                    </w:rPr>
                    <w:t>动植物油</w:t>
                  </w:r>
                </w:p>
              </w:tc>
              <w:tc>
                <w:tcPr>
                  <w:tcW w:w="615" w:type="pct"/>
                  <w:vAlign w:val="center"/>
                </w:tcPr>
                <w:p w14:paraId="5B699042">
                  <w:pPr>
                    <w:adjustRightInd w:val="0"/>
                    <w:snapToGrid w:val="0"/>
                    <w:jc w:val="center"/>
                    <w:rPr>
                      <w:bCs/>
                      <w:snapToGrid w:val="0"/>
                      <w:sz w:val="22"/>
                      <w:szCs w:val="22"/>
                    </w:rPr>
                  </w:pPr>
                  <w:r>
                    <w:rPr>
                      <w:bCs/>
                      <w:snapToGrid w:val="0"/>
                      <w:sz w:val="22"/>
                      <w:szCs w:val="22"/>
                    </w:rPr>
                    <w:t>mg/L</w:t>
                  </w:r>
                </w:p>
              </w:tc>
              <w:tc>
                <w:tcPr>
                  <w:tcW w:w="1404" w:type="pct"/>
                  <w:vAlign w:val="center"/>
                </w:tcPr>
                <w:p w14:paraId="10767673">
                  <w:pPr>
                    <w:adjustRightInd w:val="0"/>
                    <w:snapToGrid w:val="0"/>
                    <w:jc w:val="center"/>
                    <w:rPr>
                      <w:bCs/>
                      <w:snapToGrid w:val="0"/>
                      <w:sz w:val="22"/>
                      <w:szCs w:val="22"/>
                    </w:rPr>
                  </w:pPr>
                  <w:r>
                    <w:rPr>
                      <w:rFonts w:hint="eastAsia"/>
                      <w:bCs/>
                      <w:snapToGrid w:val="0"/>
                      <w:sz w:val="22"/>
                      <w:szCs w:val="22"/>
                    </w:rPr>
                    <w:t>1</w:t>
                  </w:r>
                  <w:r>
                    <w:rPr>
                      <w:bCs/>
                      <w:snapToGrid w:val="0"/>
                      <w:sz w:val="22"/>
                      <w:szCs w:val="22"/>
                    </w:rPr>
                    <w:t>00</w:t>
                  </w:r>
                </w:p>
              </w:tc>
              <w:tc>
                <w:tcPr>
                  <w:tcW w:w="1525" w:type="pct"/>
                  <w:vAlign w:val="center"/>
                </w:tcPr>
                <w:p w14:paraId="5C3B9459">
                  <w:pPr>
                    <w:adjustRightInd w:val="0"/>
                    <w:snapToGrid w:val="0"/>
                    <w:jc w:val="center"/>
                    <w:rPr>
                      <w:bCs/>
                      <w:snapToGrid w:val="0"/>
                      <w:sz w:val="22"/>
                      <w:szCs w:val="22"/>
                    </w:rPr>
                  </w:pPr>
                  <w:r>
                    <w:rPr>
                      <w:bCs/>
                      <w:snapToGrid w:val="0"/>
                    </w:rPr>
                    <w:t>3</w:t>
                  </w:r>
                </w:p>
              </w:tc>
            </w:tr>
            <w:tr w14:paraId="7857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23F4D6AB">
                  <w:pPr>
                    <w:snapToGrid w:val="0"/>
                    <w:contextualSpacing/>
                    <w:rPr>
                      <w:rFonts w:eastAsia="黑体"/>
                      <w:kern w:val="0"/>
                      <w:sz w:val="22"/>
                      <w:szCs w:val="22"/>
                    </w:rPr>
                  </w:pPr>
                  <w:r>
                    <w:rPr>
                      <w:rFonts w:hint="eastAsia"/>
                      <w:kern w:val="0"/>
                    </w:rPr>
                    <w:t>注：氨氮参照《污水排入城市下水道水质标准》(CJ 3082-1999)B级；括号外数值为水温＞12℃时的控制指标，括号内数值为水温≤12℃时的控制指标</w:t>
                  </w:r>
                </w:p>
              </w:tc>
            </w:tr>
          </w:tbl>
          <w:p w14:paraId="6EA54B3F">
            <w:pPr>
              <w:pStyle w:val="14"/>
              <w:adjustRightInd w:val="0"/>
              <w:snapToGrid w:val="0"/>
              <w:spacing w:line="360" w:lineRule="auto"/>
              <w:ind w:firstLine="482" w:firstLineChars="200"/>
              <w:contextualSpacing/>
              <w:rPr>
                <w:rFonts w:ascii="Times New Roman" w:hAnsi="Times New Roman"/>
                <w:b/>
                <w:sz w:val="24"/>
                <w:szCs w:val="24"/>
              </w:rPr>
            </w:pPr>
            <w:r>
              <w:rPr>
                <w:rFonts w:ascii="Times New Roman" w:hAnsi="Times New Roman"/>
                <w:b/>
                <w:sz w:val="24"/>
                <w:szCs w:val="24"/>
              </w:rPr>
              <w:t>3环境噪声排放标准</w:t>
            </w:r>
          </w:p>
          <w:p w14:paraId="40728D93">
            <w:pPr>
              <w:adjustRightInd w:val="0"/>
              <w:snapToGrid w:val="0"/>
              <w:spacing w:line="360" w:lineRule="auto"/>
              <w:ind w:firstLine="480" w:firstLineChars="200"/>
              <w:rPr>
                <w:bCs/>
                <w:snapToGrid w:val="0"/>
                <w:kern w:val="0"/>
                <w:sz w:val="24"/>
              </w:rPr>
            </w:pPr>
            <w:r>
              <w:rPr>
                <w:rFonts w:hint="eastAsia"/>
                <w:bCs/>
                <w:snapToGrid w:val="0"/>
                <w:kern w:val="0"/>
                <w:sz w:val="24"/>
              </w:rPr>
              <w:t>施工期厂界噪声执行</w:t>
            </w:r>
            <w:r>
              <w:rPr>
                <w:rFonts w:hint="eastAsia" w:hAnsi="宋体"/>
                <w:sz w:val="24"/>
              </w:rPr>
              <w:t>执行《建筑施工场界环境噪声排放标准》</w:t>
            </w:r>
            <w:r>
              <w:rPr>
                <w:sz w:val="24"/>
              </w:rPr>
              <w:t>(GB12523-2011)</w:t>
            </w:r>
            <w:r>
              <w:rPr>
                <w:rFonts w:hint="eastAsia" w:hAnsi="宋体"/>
                <w:sz w:val="24"/>
              </w:rPr>
              <w:t>中的标准，</w:t>
            </w:r>
            <w:r>
              <w:rPr>
                <w:rFonts w:hint="eastAsia"/>
                <w:bCs/>
                <w:snapToGrid w:val="0"/>
                <w:kern w:val="0"/>
                <w:sz w:val="24"/>
              </w:rPr>
              <w:t>营运期厂界执行《工业企业厂界环境噪声排放标准》（GB12348-2008）执行3类标准</w:t>
            </w:r>
            <w:r>
              <w:rPr>
                <w:bCs/>
                <w:snapToGrid w:val="0"/>
                <w:kern w:val="0"/>
                <w:sz w:val="24"/>
              </w:rPr>
              <w:t>。</w:t>
            </w:r>
          </w:p>
          <w:p w14:paraId="6F05984D">
            <w:pPr>
              <w:spacing w:line="360" w:lineRule="auto"/>
              <w:jc w:val="center"/>
              <w:rPr>
                <w:snapToGrid w:val="0"/>
                <w:kern w:val="0"/>
                <w:sz w:val="24"/>
              </w:rPr>
            </w:pPr>
            <w:r>
              <w:rPr>
                <w:rFonts w:hint="eastAsia" w:hAnsi="宋体"/>
                <w:snapToGrid w:val="0"/>
                <w:kern w:val="0"/>
                <w:sz w:val="24"/>
              </w:rPr>
              <w:t>表</w:t>
            </w:r>
            <w:r>
              <w:rPr>
                <w:snapToGrid w:val="0"/>
                <w:kern w:val="0"/>
                <w:sz w:val="24"/>
              </w:rPr>
              <w:t xml:space="preserve">3-12  </w:t>
            </w:r>
            <w:r>
              <w:rPr>
                <w:rFonts w:hint="eastAsia" w:hAnsi="宋体"/>
                <w:snapToGrid w:val="0"/>
                <w:kern w:val="0"/>
                <w:sz w:val="24"/>
              </w:rPr>
              <w:t>建筑施工场界环境噪声排放标准</w:t>
            </w:r>
            <w:r>
              <w:rPr>
                <w:snapToGrid w:val="0"/>
                <w:kern w:val="0"/>
                <w:sz w:val="24"/>
              </w:rPr>
              <w:t xml:space="preserve">  </w:t>
            </w:r>
            <w:r>
              <w:rPr>
                <w:rFonts w:hint="eastAsia" w:hAnsi="宋体"/>
                <w:snapToGrid w:val="0"/>
                <w:kern w:val="0"/>
                <w:sz w:val="24"/>
              </w:rPr>
              <w:t>单位：</w:t>
            </w:r>
            <w:r>
              <w:rPr>
                <w:snapToGrid w:val="0"/>
                <w:kern w:val="0"/>
                <w:sz w:val="24"/>
              </w:rPr>
              <w:t>dB</w:t>
            </w:r>
            <w:r>
              <w:rPr>
                <w:rFonts w:hint="eastAsia" w:hAnsi="宋体"/>
                <w:snapToGrid w:val="0"/>
                <w:kern w:val="0"/>
                <w:sz w:val="24"/>
              </w:rPr>
              <w:t>（</w:t>
            </w:r>
            <w:r>
              <w:rPr>
                <w:snapToGrid w:val="0"/>
                <w:kern w:val="0"/>
                <w:sz w:val="24"/>
              </w:rPr>
              <w:t>A</w:t>
            </w:r>
            <w:r>
              <w:rPr>
                <w:rFonts w:hint="eastAsia" w:hAnsi="宋体"/>
                <w:snapToGrid w:val="0"/>
                <w:kern w:val="0"/>
                <w:sz w:val="24"/>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2"/>
              <w:gridCol w:w="3962"/>
            </w:tblGrid>
            <w:tr w14:paraId="7489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515" w:type="dxa"/>
                  <w:tcBorders>
                    <w:top w:val="single" w:color="auto" w:sz="4" w:space="0"/>
                    <w:left w:val="single" w:color="auto" w:sz="4" w:space="0"/>
                    <w:bottom w:val="single" w:color="auto" w:sz="4" w:space="0"/>
                    <w:right w:val="single" w:color="auto" w:sz="4" w:space="0"/>
                  </w:tcBorders>
                  <w:vAlign w:val="center"/>
                </w:tcPr>
                <w:p w14:paraId="10901FBE">
                  <w:pPr>
                    <w:pStyle w:val="178"/>
                    <w:spacing w:before="36" w:after="36" w:line="240" w:lineRule="auto"/>
                    <w:rPr>
                      <w:rFonts w:ascii="Times New Roman" w:hAnsi="Times New Roman"/>
                      <w:color w:val="auto"/>
                      <w:szCs w:val="21"/>
                    </w:rPr>
                  </w:pPr>
                  <w:r>
                    <w:rPr>
                      <w:rFonts w:hint="eastAsia" w:ascii="Times New Roman"/>
                      <w:color w:val="auto"/>
                      <w:szCs w:val="21"/>
                    </w:rPr>
                    <w:t>昼间</w:t>
                  </w:r>
                </w:p>
              </w:tc>
              <w:tc>
                <w:tcPr>
                  <w:tcW w:w="4469" w:type="dxa"/>
                  <w:tcBorders>
                    <w:top w:val="single" w:color="auto" w:sz="4" w:space="0"/>
                    <w:left w:val="single" w:color="auto" w:sz="4" w:space="0"/>
                    <w:bottom w:val="single" w:color="auto" w:sz="4" w:space="0"/>
                    <w:right w:val="single" w:color="auto" w:sz="4" w:space="0"/>
                  </w:tcBorders>
                  <w:vAlign w:val="center"/>
                </w:tcPr>
                <w:p w14:paraId="7160D391">
                  <w:pPr>
                    <w:pStyle w:val="178"/>
                    <w:spacing w:before="36" w:after="36" w:line="240" w:lineRule="auto"/>
                    <w:rPr>
                      <w:rFonts w:ascii="Times New Roman" w:hAnsi="Times New Roman"/>
                      <w:color w:val="auto"/>
                      <w:szCs w:val="21"/>
                    </w:rPr>
                  </w:pPr>
                  <w:r>
                    <w:rPr>
                      <w:rFonts w:hint="eastAsia" w:ascii="Times New Roman"/>
                      <w:color w:val="auto"/>
                      <w:szCs w:val="21"/>
                    </w:rPr>
                    <w:t>夜间</w:t>
                  </w:r>
                </w:p>
              </w:tc>
            </w:tr>
            <w:tr w14:paraId="3A76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515" w:type="dxa"/>
                  <w:tcBorders>
                    <w:top w:val="single" w:color="auto" w:sz="4" w:space="0"/>
                    <w:left w:val="single" w:color="auto" w:sz="4" w:space="0"/>
                    <w:bottom w:val="single" w:color="auto" w:sz="4" w:space="0"/>
                    <w:right w:val="single" w:color="auto" w:sz="4" w:space="0"/>
                  </w:tcBorders>
                  <w:vAlign w:val="center"/>
                </w:tcPr>
                <w:p w14:paraId="52A6E292">
                  <w:pPr>
                    <w:pStyle w:val="178"/>
                    <w:spacing w:before="36" w:after="36" w:line="240" w:lineRule="auto"/>
                    <w:rPr>
                      <w:rFonts w:ascii="Times New Roman" w:hAnsi="Times New Roman"/>
                      <w:color w:val="auto"/>
                      <w:szCs w:val="21"/>
                    </w:rPr>
                  </w:pPr>
                  <w:r>
                    <w:rPr>
                      <w:rFonts w:ascii="Times New Roman" w:hAnsi="Times New Roman"/>
                      <w:color w:val="auto"/>
                      <w:szCs w:val="21"/>
                    </w:rPr>
                    <w:t>70</w:t>
                  </w:r>
                </w:p>
              </w:tc>
              <w:tc>
                <w:tcPr>
                  <w:tcW w:w="4469" w:type="dxa"/>
                  <w:tcBorders>
                    <w:top w:val="single" w:color="auto" w:sz="4" w:space="0"/>
                    <w:left w:val="single" w:color="auto" w:sz="4" w:space="0"/>
                    <w:bottom w:val="single" w:color="auto" w:sz="4" w:space="0"/>
                    <w:right w:val="single" w:color="auto" w:sz="4" w:space="0"/>
                  </w:tcBorders>
                  <w:vAlign w:val="center"/>
                </w:tcPr>
                <w:p w14:paraId="64FF0A2C">
                  <w:pPr>
                    <w:pStyle w:val="178"/>
                    <w:spacing w:before="36" w:after="36" w:line="240" w:lineRule="auto"/>
                    <w:rPr>
                      <w:rFonts w:ascii="Times New Roman" w:hAnsi="Times New Roman"/>
                      <w:color w:val="auto"/>
                      <w:szCs w:val="21"/>
                    </w:rPr>
                  </w:pPr>
                  <w:r>
                    <w:rPr>
                      <w:rFonts w:ascii="Times New Roman" w:hAnsi="Times New Roman"/>
                      <w:color w:val="auto"/>
                      <w:szCs w:val="21"/>
                    </w:rPr>
                    <w:t>55</w:t>
                  </w:r>
                </w:p>
              </w:tc>
            </w:tr>
          </w:tbl>
          <w:p w14:paraId="345AD5AF">
            <w:pPr>
              <w:pBdr>
                <w:left w:val="single" w:color="auto" w:sz="4" w:space="31"/>
                <w:right w:val="single" w:color="auto" w:sz="4" w:space="31"/>
              </w:pBdr>
              <w:snapToGrid w:val="0"/>
              <w:spacing w:line="360" w:lineRule="auto"/>
              <w:contextualSpacing/>
              <w:jc w:val="center"/>
              <w:rPr>
                <w:bCs/>
                <w:snapToGrid w:val="0"/>
                <w:kern w:val="0"/>
                <w:sz w:val="24"/>
              </w:rPr>
            </w:pPr>
          </w:p>
          <w:p w14:paraId="6A002AD5">
            <w:pPr>
              <w:pBdr>
                <w:left w:val="single" w:color="auto" w:sz="4" w:space="31"/>
                <w:right w:val="single" w:color="auto" w:sz="4" w:space="31"/>
              </w:pBdr>
              <w:snapToGrid w:val="0"/>
              <w:spacing w:line="360" w:lineRule="auto"/>
              <w:contextualSpacing/>
              <w:jc w:val="center"/>
              <w:rPr>
                <w:bCs/>
                <w:snapToGrid w:val="0"/>
                <w:kern w:val="0"/>
                <w:sz w:val="24"/>
              </w:rPr>
            </w:pPr>
          </w:p>
          <w:p w14:paraId="47F150B9">
            <w:pPr>
              <w:pBdr>
                <w:left w:val="single" w:color="auto" w:sz="4" w:space="31"/>
                <w:right w:val="single" w:color="auto" w:sz="4" w:space="31"/>
              </w:pBdr>
              <w:snapToGrid w:val="0"/>
              <w:spacing w:line="360" w:lineRule="auto"/>
              <w:contextualSpacing/>
              <w:jc w:val="center"/>
              <w:rPr>
                <w:bCs/>
                <w:snapToGrid w:val="0"/>
                <w:kern w:val="0"/>
                <w:sz w:val="24"/>
              </w:rPr>
            </w:pPr>
            <w:r>
              <w:rPr>
                <w:bCs/>
                <w:snapToGrid w:val="0"/>
                <w:kern w:val="0"/>
                <w:sz w:val="24"/>
              </w:rPr>
              <w:t>表3-13  《工业企业厂界环境噪声排放标准》（GB12348-2008）</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3209"/>
              <w:gridCol w:w="3059"/>
            </w:tblGrid>
            <w:tr w14:paraId="1041E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2" w:type="pct"/>
                  <w:vMerge w:val="restart"/>
                  <w:vAlign w:val="center"/>
                </w:tcPr>
                <w:p w14:paraId="38F306DD">
                  <w:pPr>
                    <w:snapToGrid w:val="0"/>
                    <w:contextualSpacing/>
                    <w:jc w:val="center"/>
                    <w:rPr>
                      <w:sz w:val="24"/>
                    </w:rPr>
                  </w:pPr>
                  <w:r>
                    <w:rPr>
                      <w:sz w:val="24"/>
                    </w:rPr>
                    <w:t>类别</w:t>
                  </w:r>
                </w:p>
              </w:tc>
              <w:tc>
                <w:tcPr>
                  <w:tcW w:w="3938" w:type="pct"/>
                  <w:gridSpan w:val="2"/>
                  <w:vAlign w:val="center"/>
                </w:tcPr>
                <w:p w14:paraId="6B7F0B3C">
                  <w:pPr>
                    <w:snapToGrid w:val="0"/>
                    <w:contextualSpacing/>
                    <w:jc w:val="center"/>
                    <w:rPr>
                      <w:sz w:val="24"/>
                      <w:lang w:val="en-GB"/>
                    </w:rPr>
                  </w:pPr>
                  <w:r>
                    <w:rPr>
                      <w:sz w:val="24"/>
                    </w:rPr>
                    <w:t>标准限值</w:t>
                  </w:r>
                  <w:r>
                    <w:rPr>
                      <w:rFonts w:hint="eastAsia"/>
                      <w:sz w:val="24"/>
                    </w:rPr>
                    <w:t>（</w:t>
                  </w:r>
                  <w:r>
                    <w:rPr>
                      <w:bCs/>
                      <w:snapToGrid w:val="0"/>
                      <w:kern w:val="0"/>
                      <w:sz w:val="24"/>
                    </w:rPr>
                    <w:t>LeqdB(A)</w:t>
                  </w:r>
                  <w:r>
                    <w:rPr>
                      <w:rFonts w:hint="eastAsia"/>
                      <w:sz w:val="24"/>
                    </w:rPr>
                    <w:t>）</w:t>
                  </w:r>
                </w:p>
              </w:tc>
            </w:tr>
            <w:tr w14:paraId="5D3A0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2" w:type="pct"/>
                  <w:vMerge w:val="continue"/>
                  <w:vAlign w:val="center"/>
                </w:tcPr>
                <w:p w14:paraId="6476E2C9">
                  <w:pPr>
                    <w:snapToGrid w:val="0"/>
                    <w:contextualSpacing/>
                    <w:jc w:val="center"/>
                    <w:rPr>
                      <w:sz w:val="24"/>
                    </w:rPr>
                  </w:pPr>
                </w:p>
              </w:tc>
              <w:tc>
                <w:tcPr>
                  <w:tcW w:w="2016" w:type="pct"/>
                  <w:vAlign w:val="center"/>
                </w:tcPr>
                <w:p w14:paraId="13B6F8C4">
                  <w:pPr>
                    <w:snapToGrid w:val="0"/>
                    <w:contextualSpacing/>
                    <w:jc w:val="center"/>
                    <w:rPr>
                      <w:sz w:val="24"/>
                    </w:rPr>
                  </w:pPr>
                  <w:r>
                    <w:rPr>
                      <w:sz w:val="24"/>
                    </w:rPr>
                    <w:t>昼间</w:t>
                  </w:r>
                </w:p>
              </w:tc>
              <w:tc>
                <w:tcPr>
                  <w:tcW w:w="1922" w:type="pct"/>
                  <w:vAlign w:val="center"/>
                </w:tcPr>
                <w:p w14:paraId="313F087D">
                  <w:pPr>
                    <w:snapToGrid w:val="0"/>
                    <w:contextualSpacing/>
                    <w:jc w:val="center"/>
                    <w:rPr>
                      <w:sz w:val="24"/>
                    </w:rPr>
                  </w:pPr>
                  <w:r>
                    <w:rPr>
                      <w:sz w:val="24"/>
                    </w:rPr>
                    <w:t>夜间</w:t>
                  </w:r>
                </w:p>
              </w:tc>
            </w:tr>
            <w:tr w14:paraId="1BD87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2" w:type="pct"/>
                  <w:vAlign w:val="center"/>
                </w:tcPr>
                <w:p w14:paraId="4ABC0092">
                  <w:pPr>
                    <w:snapToGrid w:val="0"/>
                    <w:contextualSpacing/>
                    <w:jc w:val="center"/>
                    <w:rPr>
                      <w:sz w:val="24"/>
                    </w:rPr>
                  </w:pPr>
                  <w:r>
                    <w:rPr>
                      <w:sz w:val="24"/>
                    </w:rPr>
                    <w:t>3</w:t>
                  </w:r>
                </w:p>
              </w:tc>
              <w:tc>
                <w:tcPr>
                  <w:tcW w:w="2016" w:type="pct"/>
                  <w:vAlign w:val="center"/>
                </w:tcPr>
                <w:p w14:paraId="0EA96A8D">
                  <w:pPr>
                    <w:snapToGrid w:val="0"/>
                    <w:contextualSpacing/>
                    <w:jc w:val="center"/>
                    <w:rPr>
                      <w:sz w:val="24"/>
                    </w:rPr>
                  </w:pPr>
                  <w:r>
                    <w:rPr>
                      <w:sz w:val="24"/>
                    </w:rPr>
                    <w:t>65</w:t>
                  </w:r>
                </w:p>
              </w:tc>
              <w:tc>
                <w:tcPr>
                  <w:tcW w:w="1922" w:type="pct"/>
                  <w:vAlign w:val="center"/>
                </w:tcPr>
                <w:p w14:paraId="32895976">
                  <w:pPr>
                    <w:snapToGrid w:val="0"/>
                    <w:contextualSpacing/>
                    <w:jc w:val="center"/>
                    <w:rPr>
                      <w:sz w:val="24"/>
                    </w:rPr>
                  </w:pPr>
                  <w:r>
                    <w:rPr>
                      <w:sz w:val="24"/>
                    </w:rPr>
                    <w:t>55</w:t>
                  </w:r>
                </w:p>
              </w:tc>
            </w:tr>
          </w:tbl>
          <w:p w14:paraId="368462BE">
            <w:pPr>
              <w:pStyle w:val="14"/>
              <w:adjustRightInd w:val="0"/>
              <w:snapToGrid w:val="0"/>
              <w:spacing w:line="360" w:lineRule="auto"/>
              <w:ind w:firstLine="482" w:firstLineChars="200"/>
              <w:contextualSpacing/>
              <w:rPr>
                <w:rFonts w:ascii="Times New Roman" w:hAnsi="Times New Roman"/>
                <w:b/>
                <w:sz w:val="24"/>
                <w:szCs w:val="24"/>
              </w:rPr>
            </w:pPr>
            <w:r>
              <w:rPr>
                <w:rFonts w:ascii="Times New Roman" w:hAnsi="Times New Roman"/>
                <w:b/>
                <w:sz w:val="24"/>
                <w:szCs w:val="24"/>
              </w:rPr>
              <w:t>4固体废物</w:t>
            </w:r>
          </w:p>
          <w:p w14:paraId="263E0086">
            <w:pPr>
              <w:adjustRightInd w:val="0"/>
              <w:snapToGrid w:val="0"/>
              <w:spacing w:line="360" w:lineRule="auto"/>
              <w:ind w:firstLine="480" w:firstLineChars="200"/>
              <w:rPr>
                <w:sz w:val="24"/>
              </w:rPr>
            </w:pPr>
            <w:r>
              <w:rPr>
                <w:rFonts w:hint="eastAsia"/>
                <w:sz w:val="24"/>
              </w:rPr>
              <w:t>危险废物按照《国家危险废物名录》（2021版）、危险废物鉴别标准（GB5085.7-2019）、《危险废物贮存污染控制标准》（GB18597-2001）（2013年修订）进行识别、贮存和管理；一般工业固体废物其贮存过程应满足相应防渗漏、防雨淋、防扬尘等环境保护要求。</w:t>
            </w:r>
          </w:p>
        </w:tc>
      </w:tr>
      <w:tr w14:paraId="3A62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800" w:type="dxa"/>
            <w:vAlign w:val="center"/>
          </w:tcPr>
          <w:p w14:paraId="18B15711">
            <w:pPr>
              <w:adjustRightInd w:val="0"/>
              <w:snapToGrid w:val="0"/>
              <w:jc w:val="center"/>
              <w:rPr>
                <w:kern w:val="0"/>
                <w:szCs w:val="21"/>
              </w:rPr>
            </w:pPr>
            <w:r>
              <w:rPr>
                <w:kern w:val="0"/>
                <w:szCs w:val="21"/>
              </w:rPr>
              <w:t>总量</w:t>
            </w:r>
          </w:p>
          <w:p w14:paraId="754811E7">
            <w:pPr>
              <w:adjustRightInd w:val="0"/>
              <w:snapToGrid w:val="0"/>
              <w:jc w:val="center"/>
              <w:rPr>
                <w:kern w:val="0"/>
                <w:szCs w:val="21"/>
              </w:rPr>
            </w:pPr>
            <w:r>
              <w:rPr>
                <w:kern w:val="0"/>
                <w:szCs w:val="21"/>
              </w:rPr>
              <w:t>控制</w:t>
            </w:r>
          </w:p>
          <w:p w14:paraId="3280A54A">
            <w:pPr>
              <w:adjustRightInd w:val="0"/>
              <w:snapToGrid w:val="0"/>
              <w:jc w:val="center"/>
              <w:rPr>
                <w:kern w:val="0"/>
                <w:szCs w:val="21"/>
              </w:rPr>
            </w:pPr>
            <w:r>
              <w:rPr>
                <w:kern w:val="0"/>
                <w:szCs w:val="21"/>
              </w:rPr>
              <w:t>指标</w:t>
            </w:r>
          </w:p>
        </w:tc>
        <w:tc>
          <w:tcPr>
            <w:tcW w:w="8190" w:type="dxa"/>
            <w:vAlign w:val="center"/>
          </w:tcPr>
          <w:p w14:paraId="5D061088">
            <w:pPr>
              <w:adjustRightInd w:val="0"/>
              <w:snapToGrid w:val="0"/>
              <w:spacing w:line="360" w:lineRule="auto"/>
              <w:ind w:firstLine="480" w:firstLineChars="200"/>
              <w:jc w:val="left"/>
              <w:rPr>
                <w:rFonts w:hAnsi="宋体"/>
                <w:bCs/>
                <w:sz w:val="24"/>
              </w:rPr>
            </w:pPr>
            <w:r>
              <w:rPr>
                <w:rFonts w:hAnsi="宋体"/>
                <w:bCs/>
                <w:sz w:val="24"/>
              </w:rPr>
              <w:t>项目总量控制指标：</w:t>
            </w:r>
          </w:p>
          <w:p w14:paraId="7D46DBED">
            <w:pPr>
              <w:adjustRightInd w:val="0"/>
              <w:snapToGrid w:val="0"/>
              <w:spacing w:line="360" w:lineRule="auto"/>
              <w:ind w:firstLine="480" w:firstLineChars="200"/>
              <w:jc w:val="left"/>
              <w:rPr>
                <w:rFonts w:hAnsi="宋体"/>
                <w:bCs/>
                <w:sz w:val="24"/>
                <w:highlight w:val="yellow"/>
              </w:rPr>
            </w:pPr>
            <w:r>
              <w:rPr>
                <w:rFonts w:hAnsi="宋体"/>
                <w:bCs/>
                <w:sz w:val="24"/>
              </w:rPr>
              <w:t>废气</w:t>
            </w:r>
            <w:r>
              <w:rPr>
                <w:rFonts w:hint="eastAsia" w:hAnsi="宋体"/>
                <w:bCs/>
                <w:sz w:val="24"/>
              </w:rPr>
              <w:t>：</w:t>
            </w:r>
            <w:r>
              <w:rPr>
                <w:rFonts w:hAnsi="宋体"/>
                <w:bCs/>
                <w:sz w:val="24"/>
              </w:rPr>
              <w:t>颗粒物</w:t>
            </w:r>
            <w:r>
              <w:rPr>
                <w:rFonts w:eastAsia="等线"/>
                <w:sz w:val="24"/>
              </w:rPr>
              <w:t>1.998</w:t>
            </w:r>
            <w:r>
              <w:rPr>
                <w:bCs/>
                <w:sz w:val="24"/>
              </w:rPr>
              <w:t>t/a</w:t>
            </w:r>
            <w:r>
              <w:rPr>
                <w:rFonts w:hint="eastAsia"/>
                <w:bCs/>
                <w:sz w:val="24"/>
              </w:rPr>
              <w:t>，</w:t>
            </w:r>
            <w:r>
              <w:rPr>
                <w:bCs/>
                <w:sz w:val="24"/>
              </w:rPr>
              <w:t>VOCs</w:t>
            </w:r>
            <w:r>
              <w:rPr>
                <w:rFonts w:hAnsi="宋体"/>
                <w:bCs/>
                <w:sz w:val="24"/>
              </w:rPr>
              <w:t>（非甲烷总烃）</w:t>
            </w:r>
            <w:r>
              <w:rPr>
                <w:sz w:val="24"/>
              </w:rPr>
              <w:t>0.371</w:t>
            </w:r>
            <w:r>
              <w:rPr>
                <w:bCs/>
                <w:sz w:val="24"/>
              </w:rPr>
              <w:t>t/a</w:t>
            </w:r>
            <w:r>
              <w:rPr>
                <w:rFonts w:hint="eastAsia"/>
                <w:bCs/>
                <w:sz w:val="24"/>
              </w:rPr>
              <w:t>，SO</w:t>
            </w:r>
            <w:r>
              <w:rPr>
                <w:rFonts w:hint="eastAsia"/>
                <w:bCs/>
                <w:sz w:val="24"/>
                <w:vertAlign w:val="subscript"/>
              </w:rPr>
              <w:t>2</w:t>
            </w:r>
            <w:r>
              <w:rPr>
                <w:rFonts w:hint="eastAsia"/>
                <w:bCs/>
                <w:sz w:val="24"/>
              </w:rPr>
              <w:t>：</w:t>
            </w:r>
            <w:r>
              <w:rPr>
                <w:bCs/>
                <w:sz w:val="24"/>
              </w:rPr>
              <w:t>0.606t/a</w:t>
            </w:r>
            <w:r>
              <w:rPr>
                <w:rFonts w:hint="eastAsia"/>
                <w:bCs/>
                <w:sz w:val="24"/>
              </w:rPr>
              <w:t>、NO</w:t>
            </w:r>
            <w:r>
              <w:rPr>
                <w:rFonts w:hint="eastAsia"/>
                <w:bCs/>
                <w:sz w:val="24"/>
                <w:vertAlign w:val="subscript"/>
              </w:rPr>
              <w:t>X</w:t>
            </w:r>
            <w:r>
              <w:rPr>
                <w:rFonts w:hint="eastAsia"/>
                <w:bCs/>
                <w:sz w:val="24"/>
              </w:rPr>
              <w:t>：</w:t>
            </w:r>
            <w:r>
              <w:rPr>
                <w:bCs/>
                <w:sz w:val="24"/>
              </w:rPr>
              <w:t>5.674t/a</w:t>
            </w:r>
            <w:r>
              <w:rPr>
                <w:rFonts w:hAnsi="宋体"/>
                <w:bCs/>
                <w:sz w:val="24"/>
              </w:rPr>
              <w:t>。</w:t>
            </w:r>
          </w:p>
          <w:p w14:paraId="391AC66B">
            <w:pPr>
              <w:adjustRightInd w:val="0"/>
              <w:snapToGrid w:val="0"/>
              <w:spacing w:line="360" w:lineRule="auto"/>
              <w:ind w:firstLine="480" w:firstLineChars="200"/>
              <w:jc w:val="left"/>
              <w:rPr>
                <w:rFonts w:hAnsi="宋体"/>
                <w:sz w:val="24"/>
              </w:rPr>
            </w:pPr>
            <w:r>
              <w:rPr>
                <w:rFonts w:hAnsi="宋体"/>
                <w:bCs/>
                <w:sz w:val="24"/>
              </w:rPr>
              <w:t>废水</w:t>
            </w:r>
            <w:r>
              <w:rPr>
                <w:rFonts w:hint="eastAsia" w:hAnsi="宋体"/>
                <w:bCs/>
                <w:sz w:val="24"/>
              </w:rPr>
              <w:t>：排入李渡大耍坝污水处理厂：</w:t>
            </w:r>
            <w:r>
              <w:rPr>
                <w:sz w:val="24"/>
              </w:rPr>
              <w:t>COD9.049t/a</w:t>
            </w:r>
            <w:r>
              <w:rPr>
                <w:rFonts w:hint="eastAsia"/>
                <w:sz w:val="24"/>
              </w:rPr>
              <w:t>，</w:t>
            </w:r>
            <w:r>
              <w:rPr>
                <w:sz w:val="24"/>
              </w:rPr>
              <w:t>NH</w:t>
            </w:r>
            <w:r>
              <w:rPr>
                <w:sz w:val="24"/>
                <w:vertAlign w:val="subscript"/>
              </w:rPr>
              <w:t>3</w:t>
            </w:r>
            <w:r>
              <w:rPr>
                <w:sz w:val="24"/>
              </w:rPr>
              <w:t>-N0.302t/a</w:t>
            </w:r>
            <w:r>
              <w:rPr>
                <w:rFonts w:hint="eastAsia" w:hAnsi="宋体"/>
                <w:sz w:val="24"/>
              </w:rPr>
              <w:t>，</w:t>
            </w:r>
            <w:r>
              <w:rPr>
                <w:rFonts w:hint="eastAsia" w:hAnsi="宋体"/>
                <w:bCs/>
                <w:sz w:val="24"/>
              </w:rPr>
              <w:t>排入环境：</w:t>
            </w:r>
            <w:r>
              <w:rPr>
                <w:sz w:val="24"/>
              </w:rPr>
              <w:t>COD1.086t/a</w:t>
            </w:r>
            <w:r>
              <w:rPr>
                <w:rFonts w:hint="eastAsia"/>
                <w:sz w:val="24"/>
              </w:rPr>
              <w:t>，</w:t>
            </w:r>
            <w:r>
              <w:rPr>
                <w:sz w:val="24"/>
              </w:rPr>
              <w:t>NH</w:t>
            </w:r>
            <w:r>
              <w:rPr>
                <w:sz w:val="24"/>
                <w:vertAlign w:val="subscript"/>
              </w:rPr>
              <w:t>3</w:t>
            </w:r>
            <w:r>
              <w:rPr>
                <w:sz w:val="24"/>
              </w:rPr>
              <w:t>-N0.145t/a</w:t>
            </w:r>
            <w:r>
              <w:rPr>
                <w:rFonts w:hAnsi="宋体"/>
                <w:sz w:val="24"/>
              </w:rPr>
              <w:t>。</w:t>
            </w:r>
          </w:p>
          <w:p w14:paraId="48D6BFFF">
            <w:pPr>
              <w:adjustRightInd w:val="0"/>
              <w:snapToGrid w:val="0"/>
              <w:spacing w:line="360" w:lineRule="auto"/>
              <w:ind w:firstLine="480" w:firstLineChars="200"/>
              <w:jc w:val="left"/>
              <w:rPr>
                <w:rFonts w:hAnsi="宋体"/>
                <w:sz w:val="24"/>
              </w:rPr>
            </w:pPr>
          </w:p>
          <w:p w14:paraId="561548A3">
            <w:pPr>
              <w:adjustRightInd w:val="0"/>
              <w:snapToGrid w:val="0"/>
              <w:spacing w:line="360" w:lineRule="auto"/>
              <w:ind w:firstLine="480" w:firstLineChars="200"/>
              <w:jc w:val="left"/>
              <w:rPr>
                <w:rFonts w:hAnsi="宋体"/>
                <w:sz w:val="24"/>
              </w:rPr>
            </w:pPr>
          </w:p>
          <w:p w14:paraId="7E8A54A6">
            <w:pPr>
              <w:adjustRightInd w:val="0"/>
              <w:snapToGrid w:val="0"/>
              <w:spacing w:line="360" w:lineRule="auto"/>
              <w:ind w:firstLine="480" w:firstLineChars="200"/>
              <w:jc w:val="left"/>
              <w:rPr>
                <w:rFonts w:hAnsi="宋体"/>
                <w:sz w:val="24"/>
              </w:rPr>
            </w:pPr>
          </w:p>
          <w:p w14:paraId="2F4B991C">
            <w:pPr>
              <w:adjustRightInd w:val="0"/>
              <w:snapToGrid w:val="0"/>
              <w:spacing w:line="360" w:lineRule="auto"/>
              <w:ind w:firstLine="480" w:firstLineChars="200"/>
              <w:jc w:val="left"/>
              <w:rPr>
                <w:rFonts w:hAnsi="宋体"/>
                <w:sz w:val="24"/>
              </w:rPr>
            </w:pPr>
          </w:p>
          <w:p w14:paraId="42C4B347">
            <w:pPr>
              <w:adjustRightInd w:val="0"/>
              <w:snapToGrid w:val="0"/>
              <w:spacing w:line="360" w:lineRule="auto"/>
              <w:ind w:firstLine="480" w:firstLineChars="200"/>
              <w:jc w:val="left"/>
              <w:rPr>
                <w:rFonts w:hAnsi="宋体"/>
                <w:sz w:val="24"/>
              </w:rPr>
            </w:pPr>
          </w:p>
          <w:p w14:paraId="646A50AB">
            <w:pPr>
              <w:adjustRightInd w:val="0"/>
              <w:snapToGrid w:val="0"/>
              <w:spacing w:line="360" w:lineRule="auto"/>
              <w:ind w:firstLine="480" w:firstLineChars="200"/>
              <w:jc w:val="left"/>
              <w:rPr>
                <w:rFonts w:hAnsi="宋体"/>
                <w:sz w:val="24"/>
              </w:rPr>
            </w:pPr>
          </w:p>
          <w:p w14:paraId="4FAF4B6C">
            <w:pPr>
              <w:adjustRightInd w:val="0"/>
              <w:snapToGrid w:val="0"/>
              <w:spacing w:line="360" w:lineRule="auto"/>
              <w:ind w:firstLine="480" w:firstLineChars="200"/>
              <w:jc w:val="left"/>
              <w:rPr>
                <w:rFonts w:hAnsi="宋体"/>
                <w:sz w:val="24"/>
              </w:rPr>
            </w:pPr>
          </w:p>
          <w:p w14:paraId="2707F892">
            <w:pPr>
              <w:adjustRightInd w:val="0"/>
              <w:snapToGrid w:val="0"/>
              <w:spacing w:line="360" w:lineRule="auto"/>
              <w:ind w:firstLine="480" w:firstLineChars="200"/>
              <w:jc w:val="left"/>
              <w:rPr>
                <w:rFonts w:hAnsi="宋体"/>
                <w:sz w:val="24"/>
              </w:rPr>
            </w:pPr>
          </w:p>
          <w:p w14:paraId="7DC29F7E">
            <w:pPr>
              <w:adjustRightInd w:val="0"/>
              <w:snapToGrid w:val="0"/>
              <w:spacing w:line="360" w:lineRule="auto"/>
              <w:ind w:firstLine="480" w:firstLineChars="200"/>
              <w:jc w:val="left"/>
              <w:rPr>
                <w:rFonts w:hAnsi="宋体"/>
                <w:sz w:val="24"/>
              </w:rPr>
            </w:pPr>
          </w:p>
          <w:p w14:paraId="17855F3D">
            <w:pPr>
              <w:adjustRightInd w:val="0"/>
              <w:snapToGrid w:val="0"/>
              <w:spacing w:line="360" w:lineRule="auto"/>
              <w:ind w:firstLine="480" w:firstLineChars="200"/>
              <w:jc w:val="left"/>
              <w:rPr>
                <w:rFonts w:hAnsi="宋体"/>
                <w:sz w:val="24"/>
              </w:rPr>
            </w:pPr>
          </w:p>
          <w:p w14:paraId="6D599667">
            <w:pPr>
              <w:adjustRightInd w:val="0"/>
              <w:snapToGrid w:val="0"/>
              <w:spacing w:line="360" w:lineRule="auto"/>
              <w:ind w:firstLine="480" w:firstLineChars="200"/>
              <w:jc w:val="left"/>
              <w:rPr>
                <w:rFonts w:hAnsi="宋体"/>
                <w:sz w:val="24"/>
              </w:rPr>
            </w:pPr>
          </w:p>
          <w:p w14:paraId="64CE6F68">
            <w:pPr>
              <w:adjustRightInd w:val="0"/>
              <w:snapToGrid w:val="0"/>
              <w:spacing w:line="360" w:lineRule="auto"/>
              <w:ind w:firstLine="480" w:firstLineChars="200"/>
              <w:jc w:val="left"/>
              <w:rPr>
                <w:rFonts w:hAnsi="宋体"/>
                <w:sz w:val="24"/>
              </w:rPr>
            </w:pPr>
          </w:p>
          <w:p w14:paraId="75BD228D">
            <w:pPr>
              <w:adjustRightInd w:val="0"/>
              <w:snapToGrid w:val="0"/>
              <w:spacing w:line="360" w:lineRule="auto"/>
              <w:ind w:firstLine="480" w:firstLineChars="200"/>
              <w:jc w:val="left"/>
              <w:rPr>
                <w:rFonts w:hAnsi="宋体"/>
                <w:sz w:val="24"/>
              </w:rPr>
            </w:pPr>
          </w:p>
          <w:p w14:paraId="6545A788">
            <w:pPr>
              <w:adjustRightInd w:val="0"/>
              <w:snapToGrid w:val="0"/>
              <w:spacing w:line="360" w:lineRule="auto"/>
              <w:ind w:firstLine="480" w:firstLineChars="200"/>
              <w:jc w:val="left"/>
              <w:rPr>
                <w:rFonts w:hAnsi="宋体"/>
                <w:sz w:val="24"/>
              </w:rPr>
            </w:pPr>
          </w:p>
          <w:p w14:paraId="5479F188">
            <w:pPr>
              <w:adjustRightInd w:val="0"/>
              <w:snapToGrid w:val="0"/>
              <w:spacing w:line="360" w:lineRule="auto"/>
              <w:ind w:firstLine="480" w:firstLineChars="200"/>
              <w:jc w:val="left"/>
              <w:rPr>
                <w:rFonts w:hAnsi="宋体"/>
                <w:sz w:val="24"/>
              </w:rPr>
            </w:pPr>
          </w:p>
          <w:p w14:paraId="25B1757C">
            <w:pPr>
              <w:adjustRightInd w:val="0"/>
              <w:snapToGrid w:val="0"/>
              <w:spacing w:line="360" w:lineRule="auto"/>
              <w:ind w:firstLine="480" w:firstLineChars="200"/>
              <w:jc w:val="left"/>
              <w:rPr>
                <w:kern w:val="0"/>
                <w:sz w:val="24"/>
              </w:rPr>
            </w:pPr>
          </w:p>
        </w:tc>
      </w:tr>
    </w:tbl>
    <w:p w14:paraId="1B4EDBAA">
      <w:pPr>
        <w:pStyle w:val="24"/>
        <w:jc w:val="center"/>
        <w:outlineLvl w:val="0"/>
        <w:rPr>
          <w:rFonts w:ascii="Times New Roman" w:hAnsi="Times New Roman"/>
          <w:snapToGrid w:val="0"/>
          <w:sz w:val="30"/>
          <w:szCs w:val="30"/>
        </w:rPr>
      </w:pPr>
      <w:r>
        <w:rPr>
          <w:rFonts w:ascii="Times New Roman" w:hAnsi="Times New Roman"/>
          <w:snapToGrid w:val="0"/>
          <w:sz w:val="36"/>
          <w:szCs w:val="36"/>
        </w:rPr>
        <w:br w:type="page"/>
      </w:r>
      <w:r>
        <w:rPr>
          <w:rFonts w:ascii="Times New Roman" w:hAnsi="Times New Roman"/>
          <w:snapToGrid w:val="0"/>
          <w:sz w:val="30"/>
          <w:szCs w:val="30"/>
        </w:rPr>
        <w:t>四、主要环境影响和保护措施</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23F1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14:paraId="10B74A61">
            <w:pPr>
              <w:pStyle w:val="24"/>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w:t>
            </w:r>
          </w:p>
          <w:p w14:paraId="7F3771E1">
            <w:pPr>
              <w:pStyle w:val="24"/>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期环</w:t>
            </w:r>
          </w:p>
          <w:p w14:paraId="2AD40841">
            <w:pPr>
              <w:pStyle w:val="24"/>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境保</w:t>
            </w:r>
          </w:p>
          <w:p w14:paraId="00346FC2">
            <w:pPr>
              <w:pStyle w:val="24"/>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护措</w:t>
            </w:r>
          </w:p>
          <w:p w14:paraId="0D65B480">
            <w:pPr>
              <w:pStyle w:val="24"/>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 w:val="21"/>
                <w:szCs w:val="21"/>
              </w:rPr>
              <w:t>施</w:t>
            </w:r>
          </w:p>
        </w:tc>
        <w:tc>
          <w:tcPr>
            <w:tcW w:w="8162" w:type="dxa"/>
            <w:vAlign w:val="center"/>
          </w:tcPr>
          <w:p w14:paraId="2712B9F7">
            <w:pPr>
              <w:spacing w:line="360" w:lineRule="auto"/>
              <w:rPr>
                <w:b/>
                <w:sz w:val="24"/>
                <w:szCs w:val="21"/>
              </w:rPr>
            </w:pPr>
            <w:r>
              <w:rPr>
                <w:b/>
                <w:sz w:val="24"/>
                <w:szCs w:val="21"/>
              </w:rPr>
              <w:t>1、</w:t>
            </w:r>
            <w:r>
              <w:rPr>
                <w:rFonts w:hint="eastAsia"/>
                <w:b/>
                <w:sz w:val="24"/>
                <w:szCs w:val="21"/>
              </w:rPr>
              <w:t>大</w:t>
            </w:r>
            <w:r>
              <w:rPr>
                <w:b/>
                <w:sz w:val="24"/>
                <w:szCs w:val="21"/>
              </w:rPr>
              <w:t>气环境</w:t>
            </w:r>
          </w:p>
          <w:p w14:paraId="20654CD9">
            <w:pPr>
              <w:widowControl/>
              <w:spacing w:line="360" w:lineRule="auto"/>
              <w:ind w:firstLine="480" w:firstLineChars="200"/>
              <w:rPr>
                <w:rFonts w:ascii="宋体" w:hAnsi="宋体" w:cs="宋体"/>
                <w:kern w:val="0"/>
                <w:sz w:val="24"/>
                <w:szCs w:val="21"/>
                <w:lang w:bidi="ar"/>
              </w:rPr>
            </w:pPr>
            <w:r>
              <w:rPr>
                <w:rFonts w:hint="eastAsia" w:ascii="宋体" w:hAnsi="宋体" w:cs="宋体"/>
                <w:kern w:val="0"/>
                <w:sz w:val="24"/>
                <w:szCs w:val="21"/>
                <w:lang w:bidi="ar"/>
              </w:rPr>
              <w:t>施工期废气主要为各类燃油机械在作业时产生的废气，主要含</w:t>
            </w:r>
            <w:r>
              <w:rPr>
                <w:kern w:val="0"/>
                <w:sz w:val="24"/>
                <w:szCs w:val="21"/>
                <w:lang w:bidi="ar"/>
              </w:rPr>
              <w:t>CO和NO</w:t>
            </w:r>
            <w:r>
              <w:rPr>
                <w:kern w:val="0"/>
                <w:sz w:val="24"/>
                <w:szCs w:val="21"/>
                <w:vertAlign w:val="subscript"/>
                <w:lang w:bidi="ar"/>
              </w:rPr>
              <w:t>X</w:t>
            </w:r>
            <w:r>
              <w:rPr>
                <w:rFonts w:hint="eastAsia" w:ascii="宋体" w:hAnsi="宋体" w:cs="宋体"/>
                <w:kern w:val="0"/>
                <w:sz w:val="24"/>
                <w:szCs w:val="21"/>
                <w:lang w:bidi="ar"/>
              </w:rPr>
              <w:t>等废气；土石方开挖、原材料运输作业中产生的粉尘，车辆运输产生的二次扬尘等。</w:t>
            </w:r>
          </w:p>
          <w:p w14:paraId="6C70BB2D">
            <w:pPr>
              <w:spacing w:line="360" w:lineRule="auto"/>
              <w:ind w:firstLine="480" w:firstLineChars="200"/>
              <w:rPr>
                <w:bCs/>
                <w:sz w:val="24"/>
                <w:szCs w:val="21"/>
              </w:rPr>
            </w:pPr>
            <w:r>
              <w:rPr>
                <w:rFonts w:hint="eastAsia"/>
                <w:bCs/>
                <w:sz w:val="24"/>
                <w:szCs w:val="21"/>
              </w:rPr>
              <w:t>施工单位必须严格遵守《重庆市大气污染防治条例》（2017年3月29日）、《重庆市建设委员会关于加强建筑施工扬尘污染控制工作的紧急通知》（渝建发第131号）等有关规定，严格控制施工扬尘污染。具体如下：</w:t>
            </w:r>
          </w:p>
          <w:p w14:paraId="4363EFA9">
            <w:pPr>
              <w:spacing w:line="360" w:lineRule="auto"/>
              <w:ind w:firstLine="480" w:firstLineChars="200"/>
              <w:rPr>
                <w:bCs/>
                <w:sz w:val="24"/>
                <w:szCs w:val="21"/>
              </w:rPr>
            </w:pPr>
            <w:r>
              <w:rPr>
                <w:rFonts w:hint="eastAsia"/>
                <w:bCs/>
                <w:sz w:val="24"/>
                <w:szCs w:val="21"/>
              </w:rPr>
              <w:t>（1）围挡、围栏及防溢座的设置。工地周围设置不低于1.8m的硬质密闭围档，围档要求坚固、稳定、整洁、规范、美观。围挡底端应设置防溢座，围挡之间及围挡与防溢座之间无缝隙。对于特殊地点无法设置围挡、围栏及防溢座的，应设置警示牌。</w:t>
            </w:r>
          </w:p>
          <w:p w14:paraId="5EDBD098">
            <w:pPr>
              <w:spacing w:line="360" w:lineRule="auto"/>
              <w:ind w:firstLine="480" w:firstLineChars="200"/>
              <w:rPr>
                <w:bCs/>
                <w:sz w:val="24"/>
                <w:szCs w:val="21"/>
              </w:rPr>
            </w:pPr>
            <w:r>
              <w:rPr>
                <w:rFonts w:hint="eastAsia"/>
                <w:bCs/>
                <w:sz w:val="24"/>
                <w:szCs w:val="21"/>
              </w:rPr>
              <w:t>（2）建筑材料的防尘管理措施。施工过程中使用水泥、石灰、砂石、涂料、铺装材料等易产生扬尘的建筑材料，应采取下列措施之一：a.密闭存储；b.设置围挡或堆砌围墙；c.采用防尘布覆盖；d.其他有效的防尘措施。</w:t>
            </w:r>
          </w:p>
          <w:p w14:paraId="766845CB">
            <w:pPr>
              <w:spacing w:line="360" w:lineRule="auto"/>
              <w:ind w:firstLine="480" w:firstLineChars="200"/>
              <w:rPr>
                <w:bCs/>
                <w:sz w:val="24"/>
                <w:szCs w:val="21"/>
              </w:rPr>
            </w:pPr>
            <w:r>
              <w:rPr>
                <w:rFonts w:hint="eastAsia"/>
                <w:bCs/>
                <w:sz w:val="24"/>
                <w:szCs w:val="21"/>
              </w:rPr>
              <w:t>（3）建筑垃圾的防尘管理措施。施工工程中产生的弃料及其他建筑垃圾，应及时清运。若在工地内堆置超过一周的，则应采取下列措施之一，防止风蚀起尘及水蚀迁移：a.覆盖防尘布、防尘网；b.定期喷洒抑尘剂；c.定期喷水压尘；d.其他有效的防尘措施。</w:t>
            </w:r>
          </w:p>
          <w:p w14:paraId="242B5418">
            <w:pPr>
              <w:spacing w:line="360" w:lineRule="auto"/>
              <w:ind w:firstLine="480" w:firstLineChars="200"/>
              <w:rPr>
                <w:bCs/>
                <w:sz w:val="24"/>
                <w:szCs w:val="21"/>
              </w:rPr>
            </w:pPr>
            <w:r>
              <w:rPr>
                <w:rFonts w:hint="eastAsia"/>
                <w:bCs/>
                <w:sz w:val="24"/>
                <w:szCs w:val="21"/>
              </w:rPr>
              <w:t>（4）设置洗车平台，完善排水设施，防止泥土粘带。施工期间，应在物料、渣土、垃圾运输车辆的出口内侧设置洗车平台，车辆驶离工地前，应在洗车平台清洗轮胎及车身，不得带泥上路。洗车平台四周应设置防溢座、废水导流渠、废水收集池、沉砂池及其他防治措施，收集洗车、施工以及降水过程中产生的废水和泥浆。工地出口处铺装道路上可见粘带泥土不得超过10m，并应及时清扫冲洗。</w:t>
            </w:r>
          </w:p>
          <w:p w14:paraId="3374A5D6">
            <w:pPr>
              <w:spacing w:line="360" w:lineRule="auto"/>
              <w:ind w:firstLine="480" w:firstLineChars="200"/>
              <w:rPr>
                <w:bCs/>
                <w:sz w:val="24"/>
                <w:szCs w:val="21"/>
              </w:rPr>
            </w:pPr>
            <w:r>
              <w:rPr>
                <w:rFonts w:hint="eastAsia"/>
                <w:bCs/>
                <w:sz w:val="24"/>
                <w:szCs w:val="21"/>
              </w:rPr>
              <w:t>（5）进出工地的物料、渣土、垃圾运输车辆的防尘措施、运输路线和时间。进出工地的物料、渣土、垃圾运输车辆，应采用密闭车斗，并保证物料不遗撒外漏。车辆应按照批准的线路和时间进行物料、渣土、垃圾的运输。</w:t>
            </w:r>
          </w:p>
          <w:p w14:paraId="4E818D12">
            <w:pPr>
              <w:pStyle w:val="11"/>
              <w:spacing w:before="0" w:after="0" w:line="360" w:lineRule="auto"/>
              <w:ind w:right="0" w:firstLine="480" w:firstLineChars="200"/>
              <w:rPr>
                <w:bCs/>
                <w:sz w:val="24"/>
                <w:szCs w:val="21"/>
              </w:rPr>
            </w:pPr>
            <w:r>
              <w:rPr>
                <w:rFonts w:hint="eastAsia"/>
                <w:bCs/>
                <w:sz w:val="24"/>
                <w:szCs w:val="21"/>
              </w:rPr>
              <w:t>（6）施工工地道路防尘措施。施工期间，施工工地内及工地出口至铺装道路间的车行道路，应采取下列措施之一，并保持路面情节，防止机动车扬尘：a.铺设钢板；b.铺设水泥混凝土；c.铺设沥青混凝土；d.铺设用礁渣、细石或其他功能相当的材料等，并辅以洒水、喷洒抑尘剂等措施；e.其他有效的防尘措施。</w:t>
            </w:r>
          </w:p>
          <w:p w14:paraId="4DC3CB7E">
            <w:pPr>
              <w:pStyle w:val="11"/>
              <w:spacing w:before="0" w:after="0" w:line="360" w:lineRule="auto"/>
              <w:ind w:right="0" w:firstLine="480" w:firstLineChars="200"/>
              <w:rPr>
                <w:bCs/>
                <w:sz w:val="24"/>
                <w:szCs w:val="21"/>
              </w:rPr>
            </w:pPr>
            <w:r>
              <w:rPr>
                <w:rFonts w:hint="eastAsia"/>
                <w:bCs/>
                <w:sz w:val="24"/>
                <w:szCs w:val="21"/>
              </w:rPr>
              <w:t>（7）混凝土的防尘措施。施工期间需使用混凝土时，使用预拌商品混凝土，不得现场露天搅拌混凝土、消化石及拌石灰土等。应尽量采用石材、木制等成品或半成品，实施装配式施工，减少因石材、木制品切割所造成的扬尘污染。</w:t>
            </w:r>
          </w:p>
          <w:p w14:paraId="4F7F959F">
            <w:pPr>
              <w:pStyle w:val="11"/>
              <w:spacing w:before="0" w:after="0" w:line="360" w:lineRule="auto"/>
              <w:ind w:right="0" w:firstLine="480" w:firstLineChars="200"/>
              <w:rPr>
                <w:bCs/>
                <w:sz w:val="24"/>
                <w:szCs w:val="21"/>
              </w:rPr>
            </w:pPr>
            <w:r>
              <w:rPr>
                <w:rFonts w:hint="eastAsia"/>
                <w:bCs/>
                <w:sz w:val="24"/>
                <w:szCs w:val="21"/>
              </w:rPr>
              <w:t>（8）物料、渣土、垃圾等纵向输送作业的防尘措施。施工期间，工地内从建筑上层将具有粉尘逸散性的物料、渣土或废弃物输送至地面层时，可从电梯孔道、建筑内部管道或密闭输送管道输送，或者打包装框搬运，不得凌空抛撒。</w:t>
            </w:r>
          </w:p>
          <w:p w14:paraId="027A58C6">
            <w:pPr>
              <w:pStyle w:val="11"/>
              <w:spacing w:before="0" w:after="0" w:line="360" w:lineRule="auto"/>
              <w:ind w:right="0" w:firstLine="480" w:firstLineChars="200"/>
              <w:rPr>
                <w:bCs/>
                <w:sz w:val="24"/>
                <w:szCs w:val="21"/>
              </w:rPr>
            </w:pPr>
            <w:r>
              <w:rPr>
                <w:rFonts w:hint="eastAsia"/>
                <w:bCs/>
                <w:sz w:val="24"/>
                <w:szCs w:val="21"/>
              </w:rPr>
              <w:t>（9）工地周围环境的保洁。施工单位保洁责任区的范围应根据施工扬尘影响情况确定，一般设在施工工地周围20m范围内。</w:t>
            </w:r>
          </w:p>
          <w:p w14:paraId="7908EC1F">
            <w:pPr>
              <w:pStyle w:val="12"/>
              <w:ind w:left="0" w:leftChars="0" w:firstLine="480" w:firstLineChars="200"/>
              <w:rPr>
                <w:szCs w:val="21"/>
              </w:rPr>
            </w:pPr>
            <w:r>
              <w:rPr>
                <w:rFonts w:hint="eastAsia"/>
                <w:szCs w:val="21"/>
              </w:rPr>
              <w:t>采取上述措施后，可有效减轻施工中的大气污染，施工期大气对外界环境影响小。</w:t>
            </w:r>
          </w:p>
          <w:p w14:paraId="562BA0BA">
            <w:pPr>
              <w:spacing w:line="360" w:lineRule="auto"/>
              <w:rPr>
                <w:b/>
                <w:sz w:val="24"/>
                <w:szCs w:val="21"/>
              </w:rPr>
            </w:pPr>
            <w:r>
              <w:rPr>
                <w:b/>
                <w:sz w:val="24"/>
                <w:szCs w:val="21"/>
              </w:rPr>
              <w:t>2、水</w:t>
            </w:r>
            <w:r>
              <w:rPr>
                <w:rFonts w:hint="eastAsia"/>
                <w:b/>
                <w:sz w:val="24"/>
                <w:szCs w:val="21"/>
              </w:rPr>
              <w:t>环境</w:t>
            </w:r>
          </w:p>
          <w:p w14:paraId="25EBA6AB">
            <w:pPr>
              <w:widowControl/>
              <w:spacing w:line="360" w:lineRule="auto"/>
              <w:ind w:firstLine="480" w:firstLineChars="200"/>
              <w:jc w:val="left"/>
              <w:rPr>
                <w:sz w:val="24"/>
              </w:rPr>
            </w:pPr>
            <w:r>
              <w:rPr>
                <w:rFonts w:hint="eastAsia" w:cs="宋体"/>
                <w:kern w:val="0"/>
                <w:sz w:val="24"/>
                <w:lang w:bidi="ar"/>
              </w:rPr>
              <w:t>施工期间产生的废水主要包括施工人员的生活污水和施工本身产生的废水，生活污水主要有</w:t>
            </w:r>
            <w:r>
              <w:rPr>
                <w:kern w:val="0"/>
                <w:sz w:val="24"/>
                <w:lang w:bidi="ar"/>
              </w:rPr>
              <w:t>COD</w:t>
            </w:r>
            <w:r>
              <w:rPr>
                <w:rFonts w:hint="eastAsia" w:cs="宋体"/>
                <w:kern w:val="0"/>
                <w:sz w:val="24"/>
                <w:lang w:bidi="ar"/>
              </w:rPr>
              <w:t>、</w:t>
            </w:r>
            <w:r>
              <w:rPr>
                <w:kern w:val="0"/>
                <w:sz w:val="24"/>
                <w:lang w:bidi="ar"/>
              </w:rPr>
              <w:t>BOD</w:t>
            </w:r>
            <w:r>
              <w:rPr>
                <w:kern w:val="0"/>
                <w:sz w:val="24"/>
                <w:szCs w:val="16"/>
                <w:vertAlign w:val="subscript"/>
                <w:lang w:bidi="ar"/>
              </w:rPr>
              <w:t>5</w:t>
            </w:r>
            <w:r>
              <w:rPr>
                <w:rFonts w:hint="eastAsia" w:cs="宋体"/>
                <w:kern w:val="0"/>
                <w:sz w:val="24"/>
                <w:lang w:bidi="ar"/>
              </w:rPr>
              <w:t>、</w:t>
            </w:r>
            <w:r>
              <w:rPr>
                <w:kern w:val="0"/>
                <w:sz w:val="24"/>
                <w:lang w:bidi="ar"/>
              </w:rPr>
              <w:t>SS</w:t>
            </w:r>
            <w:r>
              <w:rPr>
                <w:rFonts w:hint="eastAsia" w:cs="宋体"/>
                <w:kern w:val="0"/>
                <w:sz w:val="24"/>
                <w:lang w:bidi="ar"/>
              </w:rPr>
              <w:t>等污染物，生活污水依托周边已建污水处理设施收集处理后排入污水管网；施工废水污染物主要为</w:t>
            </w:r>
            <w:r>
              <w:rPr>
                <w:kern w:val="0"/>
                <w:sz w:val="24"/>
                <w:lang w:bidi="ar"/>
              </w:rPr>
              <w:t>SS</w:t>
            </w:r>
            <w:r>
              <w:rPr>
                <w:rFonts w:hint="eastAsia" w:cs="宋体"/>
                <w:kern w:val="0"/>
                <w:sz w:val="24"/>
                <w:lang w:bidi="ar"/>
              </w:rPr>
              <w:t>和石油类。施工场地四周设废水收集沟，将施工中混凝土养护、车辆、施工机械冲洗等废水收集至隔油沉淀池，隔油沉淀后回用，不外排。</w:t>
            </w:r>
          </w:p>
          <w:p w14:paraId="0835646D">
            <w:pPr>
              <w:spacing w:line="360" w:lineRule="auto"/>
              <w:rPr>
                <w:b/>
                <w:sz w:val="24"/>
                <w:szCs w:val="21"/>
              </w:rPr>
            </w:pPr>
            <w:r>
              <w:rPr>
                <w:b/>
                <w:sz w:val="24"/>
                <w:szCs w:val="21"/>
              </w:rPr>
              <w:t>3、</w:t>
            </w:r>
            <w:r>
              <w:rPr>
                <w:rFonts w:hint="eastAsia"/>
                <w:b/>
                <w:sz w:val="24"/>
                <w:szCs w:val="21"/>
              </w:rPr>
              <w:t>声环境</w:t>
            </w:r>
          </w:p>
          <w:p w14:paraId="0DA588B7">
            <w:pPr>
              <w:adjustRightInd w:val="0"/>
              <w:snapToGrid w:val="0"/>
              <w:spacing w:line="360" w:lineRule="auto"/>
              <w:ind w:firstLine="480" w:firstLineChars="200"/>
              <w:rPr>
                <w:rFonts w:hAnsi="宋体"/>
                <w:kern w:val="0"/>
                <w:szCs w:val="21"/>
              </w:rPr>
            </w:pPr>
            <w:r>
              <w:rPr>
                <w:rFonts w:hint="eastAsia" w:hAnsi="宋体"/>
                <w:bCs/>
                <w:sz w:val="24"/>
                <w:szCs w:val="21"/>
              </w:rPr>
              <w:t>施工期噪声主要是各类机械设备噪声和物料、设备运输的交通噪声以及敲打产生的短时间的强大噪声，噪声值约在75～90dB（A）之间。</w:t>
            </w:r>
            <w:r>
              <w:rPr>
                <w:rFonts w:hint="eastAsia" w:hAnsi="宋体"/>
                <w:kern w:val="0"/>
                <w:sz w:val="24"/>
              </w:rPr>
              <w:t>施工期主要施工设备声源见下表。</w:t>
            </w:r>
          </w:p>
          <w:p w14:paraId="6B208831">
            <w:pPr>
              <w:adjustRightInd w:val="0"/>
              <w:snapToGrid w:val="0"/>
              <w:spacing w:line="360" w:lineRule="auto"/>
              <w:jc w:val="center"/>
              <w:rPr>
                <w:rFonts w:ascii="等线" w:hAnsi="等线" w:eastAsia="等线"/>
                <w:snapToGrid w:val="0"/>
                <w:kern w:val="0"/>
                <w:sz w:val="24"/>
              </w:rPr>
            </w:pPr>
            <w:r>
              <w:rPr>
                <w:rFonts w:hint="eastAsia" w:hAnsi="宋体"/>
                <w:kern w:val="0"/>
                <w:sz w:val="24"/>
                <w:szCs w:val="21"/>
              </w:rPr>
              <w:t>表</w:t>
            </w:r>
            <w:r>
              <w:rPr>
                <w:rFonts w:hAnsi="宋体"/>
                <w:kern w:val="0"/>
                <w:sz w:val="24"/>
                <w:szCs w:val="21"/>
              </w:rPr>
              <w:t xml:space="preserve">4-1 </w:t>
            </w:r>
            <w:r>
              <w:rPr>
                <w:rFonts w:hint="eastAsia" w:hAnsi="宋体"/>
                <w:kern w:val="0"/>
                <w:sz w:val="24"/>
                <w:szCs w:val="21"/>
              </w:rPr>
              <w:t>主要施工设备噪声声级</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2359"/>
              <w:gridCol w:w="2998"/>
              <w:gridCol w:w="1783"/>
            </w:tblGrid>
            <w:tr w14:paraId="33549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499" w:type="pct"/>
                  <w:tcBorders>
                    <w:top w:val="single" w:color="auto" w:sz="6" w:space="0"/>
                    <w:left w:val="single" w:color="auto" w:sz="6" w:space="0"/>
                    <w:bottom w:val="single" w:color="auto" w:sz="6" w:space="0"/>
                    <w:right w:val="single" w:color="auto" w:sz="6" w:space="0"/>
                  </w:tcBorders>
                  <w:vAlign w:val="center"/>
                </w:tcPr>
                <w:p w14:paraId="799D1537">
                  <w:pPr>
                    <w:jc w:val="center"/>
                    <w:rPr>
                      <w:bCs/>
                      <w:szCs w:val="21"/>
                    </w:rPr>
                  </w:pPr>
                  <w:r>
                    <w:rPr>
                      <w:rFonts w:hint="eastAsia" w:hAnsi="宋体"/>
                      <w:bCs/>
                      <w:szCs w:val="21"/>
                    </w:rPr>
                    <w:t>序号</w:t>
                  </w:r>
                </w:p>
              </w:tc>
              <w:tc>
                <w:tcPr>
                  <w:tcW w:w="1487" w:type="pct"/>
                  <w:tcBorders>
                    <w:top w:val="single" w:color="auto" w:sz="6" w:space="0"/>
                    <w:left w:val="single" w:color="auto" w:sz="6" w:space="0"/>
                    <w:bottom w:val="single" w:color="auto" w:sz="6" w:space="0"/>
                    <w:right w:val="single" w:color="auto" w:sz="6" w:space="0"/>
                  </w:tcBorders>
                  <w:vAlign w:val="center"/>
                </w:tcPr>
                <w:p w14:paraId="0865B640">
                  <w:pPr>
                    <w:jc w:val="center"/>
                    <w:rPr>
                      <w:bCs/>
                      <w:szCs w:val="21"/>
                    </w:rPr>
                  </w:pPr>
                  <w:r>
                    <w:rPr>
                      <w:rFonts w:hint="eastAsia" w:hAnsi="宋体"/>
                      <w:bCs/>
                      <w:szCs w:val="21"/>
                    </w:rPr>
                    <w:t>机械类型</w:t>
                  </w:r>
                </w:p>
              </w:tc>
              <w:tc>
                <w:tcPr>
                  <w:tcW w:w="1890" w:type="pct"/>
                  <w:tcBorders>
                    <w:top w:val="single" w:color="auto" w:sz="6" w:space="0"/>
                    <w:left w:val="single" w:color="auto" w:sz="6" w:space="0"/>
                    <w:bottom w:val="single" w:color="auto" w:sz="6" w:space="0"/>
                    <w:right w:val="single" w:color="auto" w:sz="6" w:space="0"/>
                  </w:tcBorders>
                  <w:vAlign w:val="center"/>
                </w:tcPr>
                <w:p w14:paraId="28DE065D">
                  <w:pPr>
                    <w:jc w:val="center"/>
                    <w:rPr>
                      <w:bCs/>
                      <w:szCs w:val="21"/>
                    </w:rPr>
                  </w:pPr>
                  <w:r>
                    <w:rPr>
                      <w:rFonts w:hint="eastAsia" w:hAnsi="宋体"/>
                      <w:bCs/>
                      <w:szCs w:val="21"/>
                    </w:rPr>
                    <w:t>测点距施工机械距离</w:t>
                  </w:r>
                  <w:r>
                    <w:rPr>
                      <w:bCs/>
                      <w:szCs w:val="21"/>
                    </w:rPr>
                    <w:t>(m)</w:t>
                  </w:r>
                </w:p>
              </w:tc>
              <w:tc>
                <w:tcPr>
                  <w:tcW w:w="1124" w:type="pct"/>
                  <w:tcBorders>
                    <w:top w:val="single" w:color="auto" w:sz="6" w:space="0"/>
                    <w:left w:val="single" w:color="auto" w:sz="6" w:space="0"/>
                    <w:bottom w:val="single" w:color="auto" w:sz="6" w:space="0"/>
                    <w:right w:val="single" w:color="auto" w:sz="6" w:space="0"/>
                  </w:tcBorders>
                  <w:vAlign w:val="center"/>
                </w:tcPr>
                <w:p w14:paraId="692F218B">
                  <w:pPr>
                    <w:jc w:val="center"/>
                    <w:rPr>
                      <w:bCs/>
                      <w:szCs w:val="21"/>
                    </w:rPr>
                  </w:pPr>
                  <w:r>
                    <w:rPr>
                      <w:rFonts w:hint="eastAsia" w:hAnsi="宋体"/>
                      <w:bCs/>
                      <w:szCs w:val="21"/>
                    </w:rPr>
                    <w:t>最大声级</w:t>
                  </w:r>
                  <w:r>
                    <w:rPr>
                      <w:bCs/>
                      <w:szCs w:val="21"/>
                    </w:rPr>
                    <w:t>Leq</w:t>
                  </w:r>
                </w:p>
              </w:tc>
            </w:tr>
            <w:tr w14:paraId="4BCFF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499" w:type="pct"/>
                  <w:tcBorders>
                    <w:top w:val="single" w:color="auto" w:sz="6" w:space="0"/>
                    <w:left w:val="single" w:color="auto" w:sz="6" w:space="0"/>
                    <w:bottom w:val="single" w:color="auto" w:sz="6" w:space="0"/>
                    <w:right w:val="single" w:color="auto" w:sz="6" w:space="0"/>
                  </w:tcBorders>
                  <w:vAlign w:val="center"/>
                </w:tcPr>
                <w:p w14:paraId="1292704E">
                  <w:pPr>
                    <w:jc w:val="center"/>
                    <w:rPr>
                      <w:szCs w:val="21"/>
                    </w:rPr>
                  </w:pPr>
                  <w:r>
                    <w:rPr>
                      <w:szCs w:val="21"/>
                    </w:rPr>
                    <w:t>1</w:t>
                  </w:r>
                </w:p>
              </w:tc>
              <w:tc>
                <w:tcPr>
                  <w:tcW w:w="1487" w:type="pct"/>
                  <w:tcBorders>
                    <w:top w:val="single" w:color="auto" w:sz="6" w:space="0"/>
                    <w:left w:val="single" w:color="auto" w:sz="6" w:space="0"/>
                    <w:bottom w:val="single" w:color="auto" w:sz="6" w:space="0"/>
                    <w:right w:val="single" w:color="auto" w:sz="6" w:space="0"/>
                  </w:tcBorders>
                  <w:vAlign w:val="center"/>
                </w:tcPr>
                <w:p w14:paraId="360EFEB2">
                  <w:pPr>
                    <w:jc w:val="center"/>
                    <w:rPr>
                      <w:szCs w:val="21"/>
                    </w:rPr>
                  </w:pPr>
                  <w:r>
                    <w:rPr>
                      <w:szCs w:val="21"/>
                    </w:rPr>
                    <w:t>缓凝土泵车</w:t>
                  </w:r>
                </w:p>
              </w:tc>
              <w:tc>
                <w:tcPr>
                  <w:tcW w:w="1890" w:type="pct"/>
                  <w:tcBorders>
                    <w:top w:val="single" w:color="auto" w:sz="6" w:space="0"/>
                    <w:left w:val="single" w:color="auto" w:sz="6" w:space="0"/>
                    <w:bottom w:val="single" w:color="auto" w:sz="6" w:space="0"/>
                    <w:right w:val="single" w:color="auto" w:sz="6" w:space="0"/>
                  </w:tcBorders>
                  <w:vAlign w:val="center"/>
                </w:tcPr>
                <w:p w14:paraId="4647157C">
                  <w:pPr>
                    <w:jc w:val="center"/>
                    <w:rPr>
                      <w:szCs w:val="21"/>
                    </w:rPr>
                  </w:pPr>
                  <w:r>
                    <w:rPr>
                      <w:szCs w:val="21"/>
                    </w:rPr>
                    <w:t>5</w:t>
                  </w:r>
                </w:p>
              </w:tc>
              <w:tc>
                <w:tcPr>
                  <w:tcW w:w="1124" w:type="pct"/>
                  <w:tcBorders>
                    <w:top w:val="single" w:color="auto" w:sz="6" w:space="0"/>
                    <w:left w:val="single" w:color="auto" w:sz="6" w:space="0"/>
                    <w:bottom w:val="single" w:color="auto" w:sz="6" w:space="0"/>
                    <w:right w:val="single" w:color="auto" w:sz="6" w:space="0"/>
                  </w:tcBorders>
                  <w:vAlign w:val="center"/>
                </w:tcPr>
                <w:p w14:paraId="57BAEFC3">
                  <w:pPr>
                    <w:jc w:val="center"/>
                    <w:rPr>
                      <w:szCs w:val="21"/>
                    </w:rPr>
                  </w:pPr>
                  <w:r>
                    <w:rPr>
                      <w:szCs w:val="21"/>
                    </w:rPr>
                    <w:t>86</w:t>
                  </w:r>
                </w:p>
              </w:tc>
            </w:tr>
            <w:tr w14:paraId="33306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499" w:type="pct"/>
                  <w:tcBorders>
                    <w:top w:val="single" w:color="auto" w:sz="6" w:space="0"/>
                    <w:left w:val="single" w:color="auto" w:sz="6" w:space="0"/>
                    <w:bottom w:val="single" w:color="auto" w:sz="6" w:space="0"/>
                    <w:right w:val="single" w:color="auto" w:sz="6" w:space="0"/>
                  </w:tcBorders>
                  <w:vAlign w:val="center"/>
                </w:tcPr>
                <w:p w14:paraId="3F21D257">
                  <w:pPr>
                    <w:jc w:val="center"/>
                    <w:rPr>
                      <w:szCs w:val="21"/>
                    </w:rPr>
                  </w:pPr>
                  <w:r>
                    <w:rPr>
                      <w:szCs w:val="21"/>
                    </w:rPr>
                    <w:t>2</w:t>
                  </w:r>
                </w:p>
              </w:tc>
              <w:tc>
                <w:tcPr>
                  <w:tcW w:w="1487" w:type="pct"/>
                  <w:tcBorders>
                    <w:top w:val="single" w:color="auto" w:sz="6" w:space="0"/>
                    <w:left w:val="single" w:color="auto" w:sz="6" w:space="0"/>
                    <w:bottom w:val="single" w:color="auto" w:sz="6" w:space="0"/>
                    <w:right w:val="single" w:color="auto" w:sz="6" w:space="0"/>
                  </w:tcBorders>
                  <w:vAlign w:val="center"/>
                </w:tcPr>
                <w:p w14:paraId="10094A4A">
                  <w:pPr>
                    <w:jc w:val="center"/>
                    <w:rPr>
                      <w:szCs w:val="21"/>
                    </w:rPr>
                  </w:pPr>
                  <w:r>
                    <w:rPr>
                      <w:rFonts w:hint="eastAsia" w:hAnsi="宋体"/>
                      <w:szCs w:val="21"/>
                    </w:rPr>
                    <w:t>轮胎式液压挖掘机</w:t>
                  </w:r>
                </w:p>
              </w:tc>
              <w:tc>
                <w:tcPr>
                  <w:tcW w:w="1890" w:type="pct"/>
                  <w:tcBorders>
                    <w:top w:val="single" w:color="auto" w:sz="6" w:space="0"/>
                    <w:left w:val="single" w:color="auto" w:sz="6" w:space="0"/>
                    <w:bottom w:val="single" w:color="auto" w:sz="6" w:space="0"/>
                    <w:right w:val="single" w:color="auto" w:sz="6" w:space="0"/>
                  </w:tcBorders>
                  <w:vAlign w:val="center"/>
                </w:tcPr>
                <w:p w14:paraId="7AF30BF7">
                  <w:pPr>
                    <w:jc w:val="center"/>
                    <w:rPr>
                      <w:szCs w:val="21"/>
                    </w:rPr>
                  </w:pPr>
                  <w:r>
                    <w:rPr>
                      <w:szCs w:val="21"/>
                    </w:rPr>
                    <w:t>5</w:t>
                  </w:r>
                </w:p>
              </w:tc>
              <w:tc>
                <w:tcPr>
                  <w:tcW w:w="1124" w:type="pct"/>
                  <w:tcBorders>
                    <w:top w:val="single" w:color="auto" w:sz="6" w:space="0"/>
                    <w:left w:val="single" w:color="auto" w:sz="6" w:space="0"/>
                    <w:bottom w:val="single" w:color="auto" w:sz="6" w:space="0"/>
                    <w:right w:val="single" w:color="auto" w:sz="6" w:space="0"/>
                  </w:tcBorders>
                  <w:vAlign w:val="center"/>
                </w:tcPr>
                <w:p w14:paraId="38D8971D">
                  <w:pPr>
                    <w:jc w:val="center"/>
                    <w:rPr>
                      <w:szCs w:val="21"/>
                    </w:rPr>
                  </w:pPr>
                  <w:r>
                    <w:rPr>
                      <w:szCs w:val="21"/>
                    </w:rPr>
                    <w:t>84</w:t>
                  </w:r>
                </w:p>
              </w:tc>
            </w:tr>
            <w:tr w14:paraId="5AB39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499" w:type="pct"/>
                  <w:tcBorders>
                    <w:top w:val="single" w:color="auto" w:sz="6" w:space="0"/>
                    <w:left w:val="single" w:color="auto" w:sz="6" w:space="0"/>
                    <w:bottom w:val="single" w:color="auto" w:sz="6" w:space="0"/>
                    <w:right w:val="single" w:color="auto" w:sz="6" w:space="0"/>
                  </w:tcBorders>
                  <w:vAlign w:val="center"/>
                </w:tcPr>
                <w:p w14:paraId="15FBE2F3">
                  <w:pPr>
                    <w:jc w:val="center"/>
                    <w:rPr>
                      <w:szCs w:val="21"/>
                    </w:rPr>
                  </w:pPr>
                  <w:r>
                    <w:rPr>
                      <w:szCs w:val="21"/>
                    </w:rPr>
                    <w:t>3</w:t>
                  </w:r>
                </w:p>
              </w:tc>
              <w:tc>
                <w:tcPr>
                  <w:tcW w:w="1487" w:type="pct"/>
                  <w:tcBorders>
                    <w:top w:val="single" w:color="auto" w:sz="6" w:space="0"/>
                    <w:left w:val="single" w:color="auto" w:sz="6" w:space="0"/>
                    <w:bottom w:val="single" w:color="auto" w:sz="6" w:space="0"/>
                    <w:right w:val="single" w:color="auto" w:sz="6" w:space="0"/>
                  </w:tcBorders>
                  <w:vAlign w:val="center"/>
                </w:tcPr>
                <w:p w14:paraId="6807969D">
                  <w:pPr>
                    <w:jc w:val="center"/>
                    <w:rPr>
                      <w:rFonts w:hAnsi="宋体"/>
                      <w:szCs w:val="21"/>
                    </w:rPr>
                  </w:pPr>
                  <w:r>
                    <w:rPr>
                      <w:rFonts w:hint="eastAsia" w:hAnsi="宋体"/>
                      <w:szCs w:val="21"/>
                    </w:rPr>
                    <w:t>履带式液压挖掘机</w:t>
                  </w:r>
                </w:p>
              </w:tc>
              <w:tc>
                <w:tcPr>
                  <w:tcW w:w="1890" w:type="pct"/>
                  <w:tcBorders>
                    <w:top w:val="single" w:color="auto" w:sz="6" w:space="0"/>
                    <w:left w:val="single" w:color="auto" w:sz="6" w:space="0"/>
                    <w:bottom w:val="single" w:color="auto" w:sz="6" w:space="0"/>
                    <w:right w:val="single" w:color="auto" w:sz="6" w:space="0"/>
                  </w:tcBorders>
                  <w:vAlign w:val="center"/>
                </w:tcPr>
                <w:p w14:paraId="4B922CDF">
                  <w:pPr>
                    <w:jc w:val="center"/>
                    <w:rPr>
                      <w:szCs w:val="21"/>
                    </w:rPr>
                  </w:pPr>
                  <w:r>
                    <w:rPr>
                      <w:szCs w:val="21"/>
                    </w:rPr>
                    <w:t>5</w:t>
                  </w:r>
                </w:p>
              </w:tc>
              <w:tc>
                <w:tcPr>
                  <w:tcW w:w="1124" w:type="pct"/>
                  <w:tcBorders>
                    <w:top w:val="single" w:color="auto" w:sz="6" w:space="0"/>
                    <w:left w:val="single" w:color="auto" w:sz="6" w:space="0"/>
                    <w:bottom w:val="single" w:color="auto" w:sz="6" w:space="0"/>
                    <w:right w:val="single" w:color="auto" w:sz="6" w:space="0"/>
                  </w:tcBorders>
                  <w:vAlign w:val="center"/>
                </w:tcPr>
                <w:p w14:paraId="02002349">
                  <w:pPr>
                    <w:jc w:val="center"/>
                    <w:rPr>
                      <w:szCs w:val="21"/>
                    </w:rPr>
                  </w:pPr>
                  <w:r>
                    <w:rPr>
                      <w:szCs w:val="21"/>
                    </w:rPr>
                    <w:t>84</w:t>
                  </w:r>
                </w:p>
              </w:tc>
            </w:tr>
            <w:tr w14:paraId="5BF44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499" w:type="pct"/>
                  <w:tcBorders>
                    <w:top w:val="single" w:color="auto" w:sz="6" w:space="0"/>
                    <w:left w:val="single" w:color="auto" w:sz="6" w:space="0"/>
                    <w:bottom w:val="single" w:color="auto" w:sz="6" w:space="0"/>
                    <w:right w:val="single" w:color="auto" w:sz="6" w:space="0"/>
                  </w:tcBorders>
                  <w:vAlign w:val="center"/>
                </w:tcPr>
                <w:p w14:paraId="3095BFA6">
                  <w:pPr>
                    <w:jc w:val="center"/>
                    <w:rPr>
                      <w:szCs w:val="21"/>
                    </w:rPr>
                  </w:pPr>
                  <w:r>
                    <w:rPr>
                      <w:szCs w:val="21"/>
                    </w:rPr>
                    <w:t>4</w:t>
                  </w:r>
                </w:p>
              </w:tc>
              <w:tc>
                <w:tcPr>
                  <w:tcW w:w="1487" w:type="pct"/>
                  <w:tcBorders>
                    <w:top w:val="single" w:color="auto" w:sz="6" w:space="0"/>
                    <w:left w:val="single" w:color="auto" w:sz="6" w:space="0"/>
                    <w:bottom w:val="single" w:color="auto" w:sz="6" w:space="0"/>
                    <w:right w:val="single" w:color="auto" w:sz="6" w:space="0"/>
                  </w:tcBorders>
                  <w:vAlign w:val="center"/>
                </w:tcPr>
                <w:p w14:paraId="71EEE8DE">
                  <w:pPr>
                    <w:jc w:val="center"/>
                    <w:rPr>
                      <w:szCs w:val="21"/>
                    </w:rPr>
                  </w:pPr>
                  <w:r>
                    <w:rPr>
                      <w:rFonts w:hint="eastAsia" w:hAnsi="宋体"/>
                      <w:szCs w:val="21"/>
                    </w:rPr>
                    <w:t>冲击式钻井机</w:t>
                  </w:r>
                </w:p>
              </w:tc>
              <w:tc>
                <w:tcPr>
                  <w:tcW w:w="1890" w:type="pct"/>
                  <w:tcBorders>
                    <w:top w:val="single" w:color="auto" w:sz="6" w:space="0"/>
                    <w:left w:val="single" w:color="auto" w:sz="6" w:space="0"/>
                    <w:bottom w:val="single" w:color="auto" w:sz="6" w:space="0"/>
                    <w:right w:val="single" w:color="auto" w:sz="6" w:space="0"/>
                  </w:tcBorders>
                  <w:vAlign w:val="center"/>
                </w:tcPr>
                <w:p w14:paraId="090AFD91">
                  <w:pPr>
                    <w:jc w:val="center"/>
                    <w:rPr>
                      <w:szCs w:val="21"/>
                    </w:rPr>
                  </w:pPr>
                  <w:r>
                    <w:rPr>
                      <w:szCs w:val="21"/>
                    </w:rPr>
                    <w:t>1</w:t>
                  </w:r>
                </w:p>
              </w:tc>
              <w:tc>
                <w:tcPr>
                  <w:tcW w:w="1124" w:type="pct"/>
                  <w:tcBorders>
                    <w:top w:val="single" w:color="auto" w:sz="6" w:space="0"/>
                    <w:left w:val="single" w:color="auto" w:sz="6" w:space="0"/>
                    <w:bottom w:val="single" w:color="auto" w:sz="6" w:space="0"/>
                    <w:right w:val="single" w:color="auto" w:sz="6" w:space="0"/>
                  </w:tcBorders>
                  <w:vAlign w:val="center"/>
                </w:tcPr>
                <w:p w14:paraId="7EA871A6">
                  <w:pPr>
                    <w:jc w:val="center"/>
                    <w:rPr>
                      <w:szCs w:val="21"/>
                    </w:rPr>
                  </w:pPr>
                  <w:r>
                    <w:rPr>
                      <w:szCs w:val="21"/>
                    </w:rPr>
                    <w:t>87</w:t>
                  </w:r>
                </w:p>
              </w:tc>
            </w:tr>
          </w:tbl>
          <w:p w14:paraId="4FC1029C">
            <w:pPr>
              <w:spacing w:line="360" w:lineRule="auto"/>
              <w:ind w:firstLine="520" w:firstLineChars="200"/>
              <w:jc w:val="left"/>
              <w:rPr>
                <w:rFonts w:hAnsi="宋体"/>
                <w:spacing w:val="10"/>
                <w:kern w:val="0"/>
                <w:sz w:val="24"/>
              </w:rPr>
            </w:pPr>
            <w:r>
              <w:rPr>
                <w:rFonts w:hint="eastAsia" w:hAnsi="宋体"/>
                <w:spacing w:val="10"/>
                <w:kern w:val="0"/>
                <w:sz w:val="24"/>
              </w:rPr>
              <w:t>主要施工设备声源介于</w:t>
            </w:r>
            <w:r>
              <w:rPr>
                <w:rFonts w:hAnsi="宋体"/>
                <w:spacing w:val="10"/>
                <w:kern w:val="0"/>
                <w:sz w:val="24"/>
              </w:rPr>
              <w:t>84</w:t>
            </w:r>
            <w:r>
              <w:rPr>
                <w:rFonts w:hint="eastAsia" w:hAnsi="宋体"/>
                <w:spacing w:val="10"/>
                <w:kern w:val="0"/>
                <w:sz w:val="24"/>
              </w:rPr>
              <w:t>～</w:t>
            </w:r>
            <w:r>
              <w:rPr>
                <w:rFonts w:hAnsi="宋体"/>
                <w:spacing w:val="10"/>
                <w:kern w:val="0"/>
                <w:sz w:val="24"/>
              </w:rPr>
              <w:t>87</w:t>
            </w:r>
            <w:r>
              <w:rPr>
                <w:rFonts w:hint="eastAsia" w:hAnsi="宋体"/>
                <w:spacing w:val="10"/>
                <w:kern w:val="0"/>
                <w:sz w:val="24"/>
              </w:rPr>
              <w:t>dB(A)，根据重庆市环境监测中心多年对各类建筑施工工地的噪声监测结果统计，施工工地场界外5m处的噪声声级峰值为91dB（A），一般情况为81dB（A）。</w:t>
            </w:r>
          </w:p>
          <w:p w14:paraId="6CBB63E3">
            <w:pPr>
              <w:spacing w:line="360" w:lineRule="auto"/>
              <w:ind w:firstLine="520" w:firstLineChars="200"/>
              <w:jc w:val="left"/>
              <w:rPr>
                <w:spacing w:val="10"/>
                <w:kern w:val="0"/>
                <w:sz w:val="24"/>
              </w:rPr>
            </w:pPr>
            <w:r>
              <w:rPr>
                <w:rFonts w:hint="eastAsia" w:hAnsi="宋体"/>
                <w:spacing w:val="10"/>
                <w:kern w:val="0"/>
                <w:sz w:val="24"/>
              </w:rPr>
              <w:t>为反映施工噪声对环境的影响，按《环境影响评价技术导则声环境》（</w:t>
            </w:r>
            <w:r>
              <w:rPr>
                <w:spacing w:val="10"/>
                <w:kern w:val="0"/>
                <w:sz w:val="24"/>
              </w:rPr>
              <w:t>HJ2.4-2009</w:t>
            </w:r>
            <w:r>
              <w:rPr>
                <w:rFonts w:hint="eastAsia" w:hAnsi="宋体"/>
                <w:spacing w:val="10"/>
                <w:kern w:val="0"/>
                <w:sz w:val="24"/>
              </w:rPr>
              <w:t>）推荐的无指向性点声源几何发散衰减模式预测施工噪声影响范围、程度，预测时不考虑障碍物如场界围墙、树木等造成的衰减。如下模式计算出主要施工机械噪声声级随距离衰减情况。</w:t>
            </w:r>
          </w:p>
          <w:p w14:paraId="3B8860F0">
            <w:pPr>
              <w:spacing w:line="360" w:lineRule="auto"/>
              <w:ind w:firstLine="520" w:firstLineChars="200"/>
              <w:jc w:val="center"/>
              <w:rPr>
                <w:spacing w:val="10"/>
                <w:kern w:val="0"/>
                <w:sz w:val="24"/>
                <w:lang w:bidi="zh-CN"/>
              </w:rPr>
            </w:pPr>
            <w:r>
              <w:rPr>
                <w:spacing w:val="10"/>
                <w:kern w:val="0"/>
                <w:sz w:val="24"/>
                <w:lang w:bidi="zh-CN"/>
              </w:rPr>
              <w:t>L</w:t>
            </w:r>
            <w:r>
              <w:rPr>
                <w:spacing w:val="10"/>
                <w:kern w:val="0"/>
                <w:sz w:val="24"/>
                <w:vertAlign w:val="subscript"/>
                <w:lang w:bidi="zh-CN"/>
              </w:rPr>
              <w:t>p</w:t>
            </w:r>
            <w:r>
              <w:rPr>
                <w:spacing w:val="10"/>
                <w:kern w:val="0"/>
                <w:sz w:val="24"/>
                <w:lang w:bidi="zh-CN"/>
              </w:rPr>
              <w:t>(r)=L</w:t>
            </w:r>
            <w:r>
              <w:rPr>
                <w:spacing w:val="10"/>
                <w:kern w:val="0"/>
                <w:sz w:val="24"/>
                <w:vertAlign w:val="subscript"/>
                <w:lang w:bidi="zh-CN"/>
              </w:rPr>
              <w:t>p</w:t>
            </w:r>
            <w:r>
              <w:rPr>
                <w:spacing w:val="10"/>
                <w:kern w:val="0"/>
                <w:sz w:val="24"/>
                <w:lang w:bidi="zh-CN"/>
              </w:rPr>
              <w:t>(r</w:t>
            </w:r>
            <w:r>
              <w:rPr>
                <w:spacing w:val="10"/>
                <w:kern w:val="0"/>
                <w:sz w:val="24"/>
                <w:vertAlign w:val="subscript"/>
                <w:lang w:bidi="zh-CN"/>
              </w:rPr>
              <w:t>0</w:t>
            </w:r>
            <w:r>
              <w:rPr>
                <w:spacing w:val="10"/>
                <w:kern w:val="0"/>
                <w:sz w:val="24"/>
                <w:lang w:bidi="zh-CN"/>
              </w:rPr>
              <w:t>)-20lg(r/r</w:t>
            </w:r>
            <w:r>
              <w:rPr>
                <w:spacing w:val="10"/>
                <w:kern w:val="0"/>
                <w:sz w:val="24"/>
                <w:vertAlign w:val="subscript"/>
                <w:lang w:bidi="zh-CN"/>
              </w:rPr>
              <w:t>0</w:t>
            </w:r>
            <w:r>
              <w:rPr>
                <w:spacing w:val="10"/>
                <w:kern w:val="0"/>
                <w:sz w:val="24"/>
                <w:lang w:bidi="zh-CN"/>
              </w:rPr>
              <w:t>)</w:t>
            </w:r>
          </w:p>
          <w:p w14:paraId="663375DB">
            <w:pPr>
              <w:spacing w:line="360" w:lineRule="auto"/>
              <w:ind w:firstLine="520" w:firstLineChars="200"/>
              <w:jc w:val="left"/>
              <w:rPr>
                <w:spacing w:val="10"/>
                <w:kern w:val="0"/>
                <w:sz w:val="24"/>
              </w:rPr>
            </w:pPr>
            <w:r>
              <w:rPr>
                <w:rFonts w:hint="eastAsia" w:hAnsi="宋体"/>
                <w:spacing w:val="10"/>
                <w:kern w:val="0"/>
                <w:sz w:val="24"/>
              </w:rPr>
              <w:t>式中：</w:t>
            </w:r>
            <w:r>
              <w:rPr>
                <w:spacing w:val="10"/>
                <w:kern w:val="0"/>
                <w:sz w:val="24"/>
              </w:rPr>
              <w:t>L</w:t>
            </w:r>
            <w:r>
              <w:rPr>
                <w:spacing w:val="10"/>
                <w:kern w:val="0"/>
                <w:sz w:val="24"/>
                <w:vertAlign w:val="subscript"/>
              </w:rPr>
              <w:t>p</w:t>
            </w:r>
            <w:r>
              <w:rPr>
                <w:spacing w:val="10"/>
                <w:kern w:val="0"/>
                <w:sz w:val="24"/>
              </w:rPr>
              <w:t>(r)——</w:t>
            </w:r>
            <w:r>
              <w:rPr>
                <w:rFonts w:hint="eastAsia" w:hAnsi="宋体"/>
                <w:spacing w:val="10"/>
                <w:kern w:val="0"/>
                <w:sz w:val="24"/>
              </w:rPr>
              <w:t>受声点</w:t>
            </w:r>
            <w:r>
              <w:rPr>
                <w:spacing w:val="10"/>
                <w:kern w:val="0"/>
                <w:sz w:val="24"/>
              </w:rPr>
              <w:t>r</w:t>
            </w:r>
            <w:r>
              <w:rPr>
                <w:rFonts w:hint="eastAsia" w:hAnsi="宋体"/>
                <w:spacing w:val="10"/>
                <w:kern w:val="0"/>
                <w:sz w:val="24"/>
              </w:rPr>
              <w:t>的声级</w:t>
            </w:r>
            <w:r>
              <w:rPr>
                <w:spacing w:val="10"/>
                <w:kern w:val="0"/>
                <w:sz w:val="24"/>
              </w:rPr>
              <w:t>dB</w:t>
            </w:r>
            <w:r>
              <w:rPr>
                <w:rFonts w:hint="eastAsia" w:hAnsi="宋体"/>
                <w:spacing w:val="10"/>
                <w:kern w:val="0"/>
                <w:sz w:val="24"/>
              </w:rPr>
              <w:t>（</w:t>
            </w:r>
            <w:r>
              <w:rPr>
                <w:spacing w:val="10"/>
                <w:kern w:val="0"/>
                <w:sz w:val="24"/>
              </w:rPr>
              <w:t>A</w:t>
            </w:r>
            <w:r>
              <w:rPr>
                <w:rFonts w:hint="eastAsia" w:hAnsi="宋体"/>
                <w:spacing w:val="10"/>
                <w:kern w:val="0"/>
                <w:sz w:val="24"/>
              </w:rPr>
              <w:t>）；</w:t>
            </w:r>
          </w:p>
          <w:p w14:paraId="27020DDF">
            <w:pPr>
              <w:spacing w:line="360" w:lineRule="auto"/>
              <w:ind w:firstLine="520" w:firstLineChars="200"/>
              <w:jc w:val="left"/>
              <w:rPr>
                <w:spacing w:val="10"/>
                <w:kern w:val="0"/>
                <w:sz w:val="24"/>
              </w:rPr>
            </w:pPr>
            <w:r>
              <w:rPr>
                <w:spacing w:val="10"/>
                <w:kern w:val="0"/>
                <w:sz w:val="24"/>
              </w:rPr>
              <w:t xml:space="preserve">      L</w:t>
            </w:r>
            <w:r>
              <w:rPr>
                <w:spacing w:val="10"/>
                <w:kern w:val="0"/>
                <w:sz w:val="24"/>
                <w:vertAlign w:val="subscript"/>
              </w:rPr>
              <w:t>p</w:t>
            </w:r>
            <w:r>
              <w:rPr>
                <w:spacing w:val="10"/>
                <w:kern w:val="0"/>
                <w:sz w:val="24"/>
              </w:rPr>
              <w:t>(r</w:t>
            </w:r>
            <w:r>
              <w:rPr>
                <w:spacing w:val="10"/>
                <w:kern w:val="0"/>
                <w:sz w:val="24"/>
                <w:vertAlign w:val="subscript"/>
              </w:rPr>
              <w:t>0</w:t>
            </w:r>
            <w:r>
              <w:rPr>
                <w:spacing w:val="10"/>
                <w:kern w:val="0"/>
                <w:sz w:val="24"/>
              </w:rPr>
              <w:t>)——</w:t>
            </w:r>
            <w:r>
              <w:rPr>
                <w:rFonts w:hint="eastAsia" w:hAnsi="宋体"/>
                <w:spacing w:val="10"/>
                <w:kern w:val="0"/>
                <w:sz w:val="24"/>
              </w:rPr>
              <w:t>受声点</w:t>
            </w:r>
            <w:r>
              <w:rPr>
                <w:spacing w:val="10"/>
                <w:kern w:val="0"/>
                <w:sz w:val="24"/>
              </w:rPr>
              <w:t>r</w:t>
            </w:r>
            <w:r>
              <w:rPr>
                <w:spacing w:val="10"/>
                <w:kern w:val="0"/>
                <w:sz w:val="24"/>
                <w:vertAlign w:val="subscript"/>
              </w:rPr>
              <w:t>0</w:t>
            </w:r>
            <w:r>
              <w:rPr>
                <w:rFonts w:hint="eastAsia" w:hAnsi="宋体"/>
                <w:spacing w:val="10"/>
                <w:kern w:val="0"/>
                <w:sz w:val="24"/>
              </w:rPr>
              <w:t>的测试声级</w:t>
            </w:r>
            <w:r>
              <w:rPr>
                <w:spacing w:val="10"/>
                <w:kern w:val="0"/>
                <w:sz w:val="24"/>
              </w:rPr>
              <w:t>dB</w:t>
            </w:r>
            <w:r>
              <w:rPr>
                <w:rFonts w:hint="eastAsia" w:hAnsi="宋体"/>
                <w:spacing w:val="10"/>
                <w:kern w:val="0"/>
                <w:sz w:val="24"/>
              </w:rPr>
              <w:t>（</w:t>
            </w:r>
            <w:r>
              <w:rPr>
                <w:spacing w:val="10"/>
                <w:kern w:val="0"/>
                <w:sz w:val="24"/>
              </w:rPr>
              <w:t>A</w:t>
            </w:r>
            <w:r>
              <w:rPr>
                <w:rFonts w:hint="eastAsia" w:hAnsi="宋体"/>
                <w:spacing w:val="10"/>
                <w:kern w:val="0"/>
                <w:sz w:val="24"/>
              </w:rPr>
              <w:t>）；</w:t>
            </w:r>
          </w:p>
          <w:p w14:paraId="76A6FD23">
            <w:pPr>
              <w:spacing w:line="360" w:lineRule="auto"/>
              <w:ind w:firstLine="520" w:firstLineChars="200"/>
              <w:jc w:val="left"/>
              <w:rPr>
                <w:spacing w:val="10"/>
                <w:kern w:val="0"/>
                <w:sz w:val="24"/>
              </w:rPr>
            </w:pPr>
            <w:r>
              <w:rPr>
                <w:spacing w:val="10"/>
                <w:kern w:val="0"/>
                <w:sz w:val="24"/>
              </w:rPr>
              <w:t xml:space="preserve">      r</w:t>
            </w:r>
            <w:r>
              <w:rPr>
                <w:rFonts w:hint="eastAsia" w:hAnsi="宋体"/>
                <w:spacing w:val="10"/>
                <w:kern w:val="0"/>
                <w:sz w:val="24"/>
              </w:rPr>
              <w:t>、</w:t>
            </w:r>
            <w:r>
              <w:rPr>
                <w:spacing w:val="10"/>
                <w:kern w:val="0"/>
                <w:sz w:val="24"/>
              </w:rPr>
              <w:t>r</w:t>
            </w:r>
            <w:r>
              <w:rPr>
                <w:spacing w:val="10"/>
                <w:kern w:val="0"/>
                <w:sz w:val="24"/>
                <w:vertAlign w:val="subscript"/>
              </w:rPr>
              <w:t>0</w:t>
            </w:r>
            <w:r>
              <w:rPr>
                <w:spacing w:val="10"/>
                <w:kern w:val="0"/>
                <w:sz w:val="24"/>
              </w:rPr>
              <w:t>——</w:t>
            </w:r>
            <w:r>
              <w:rPr>
                <w:rFonts w:hint="eastAsia" w:hAnsi="宋体"/>
                <w:spacing w:val="10"/>
                <w:kern w:val="0"/>
                <w:sz w:val="24"/>
              </w:rPr>
              <w:t>距声源</w:t>
            </w:r>
            <w:r>
              <w:rPr>
                <w:spacing w:val="10"/>
                <w:kern w:val="0"/>
                <w:sz w:val="24"/>
              </w:rPr>
              <w:t>r</w:t>
            </w:r>
            <w:r>
              <w:rPr>
                <w:rFonts w:hint="eastAsia" w:hAnsi="宋体"/>
                <w:spacing w:val="10"/>
                <w:kern w:val="0"/>
                <w:sz w:val="24"/>
              </w:rPr>
              <w:t>、</w:t>
            </w:r>
            <w:r>
              <w:rPr>
                <w:spacing w:val="10"/>
                <w:kern w:val="0"/>
                <w:sz w:val="24"/>
              </w:rPr>
              <w:t>r</w:t>
            </w:r>
            <w:r>
              <w:rPr>
                <w:spacing w:val="10"/>
                <w:kern w:val="0"/>
                <w:sz w:val="24"/>
                <w:vertAlign w:val="subscript"/>
              </w:rPr>
              <w:t>0</w:t>
            </w:r>
            <w:r>
              <w:rPr>
                <w:rFonts w:hint="eastAsia" w:hAnsi="宋体"/>
                <w:spacing w:val="10"/>
                <w:kern w:val="0"/>
                <w:sz w:val="24"/>
              </w:rPr>
              <w:t>受声点的距离（</w:t>
            </w:r>
            <w:r>
              <w:rPr>
                <w:spacing w:val="10"/>
                <w:kern w:val="0"/>
                <w:sz w:val="24"/>
              </w:rPr>
              <w:t>m</w:t>
            </w:r>
            <w:r>
              <w:rPr>
                <w:rFonts w:hint="eastAsia" w:hAnsi="宋体"/>
                <w:spacing w:val="10"/>
                <w:kern w:val="0"/>
                <w:sz w:val="24"/>
              </w:rPr>
              <w:t>）。</w:t>
            </w:r>
          </w:p>
          <w:p w14:paraId="7E408E7A">
            <w:pPr>
              <w:spacing w:line="360" w:lineRule="auto"/>
              <w:ind w:firstLine="520" w:firstLineChars="200"/>
              <w:rPr>
                <w:bCs/>
                <w:spacing w:val="10"/>
                <w:kern w:val="0"/>
                <w:sz w:val="24"/>
              </w:rPr>
            </w:pPr>
            <w:r>
              <w:rPr>
                <w:rFonts w:hint="eastAsia" w:hAnsi="宋体"/>
                <w:spacing w:val="10"/>
                <w:kern w:val="0"/>
                <w:sz w:val="24"/>
              </w:rPr>
              <w:t>根据计算公式，结合我市对建筑工地的噪声污染监测的实际情况，不考虑障碍物如场界围墙、树木等造成的衰减。计算出噪声随距离变化情况见表</w:t>
            </w:r>
            <w:r>
              <w:rPr>
                <w:spacing w:val="10"/>
                <w:kern w:val="0"/>
                <w:sz w:val="24"/>
              </w:rPr>
              <w:t>4-1</w:t>
            </w:r>
            <w:r>
              <w:rPr>
                <w:rFonts w:hint="eastAsia" w:hAnsi="宋体"/>
                <w:bCs/>
                <w:spacing w:val="10"/>
                <w:kern w:val="0"/>
                <w:sz w:val="24"/>
              </w:rPr>
              <w:t>。</w:t>
            </w:r>
          </w:p>
          <w:p w14:paraId="77A4CA82">
            <w:pPr>
              <w:spacing w:line="360" w:lineRule="auto"/>
              <w:ind w:firstLine="520" w:firstLineChars="200"/>
              <w:jc w:val="center"/>
              <w:rPr>
                <w:rFonts w:hAnsi="宋体"/>
                <w:spacing w:val="10"/>
                <w:kern w:val="0"/>
                <w:sz w:val="24"/>
              </w:rPr>
            </w:pPr>
            <w:r>
              <w:rPr>
                <w:rFonts w:hint="eastAsia" w:hAnsi="宋体"/>
                <w:spacing w:val="10"/>
                <w:kern w:val="0"/>
                <w:sz w:val="24"/>
              </w:rPr>
              <w:t>表</w:t>
            </w:r>
            <w:r>
              <w:rPr>
                <w:spacing w:val="10"/>
                <w:kern w:val="0"/>
                <w:sz w:val="24"/>
              </w:rPr>
              <w:t xml:space="preserve">4-1  </w:t>
            </w:r>
            <w:r>
              <w:rPr>
                <w:rFonts w:hint="eastAsia" w:hAnsi="宋体"/>
                <w:spacing w:val="10"/>
                <w:kern w:val="0"/>
                <w:sz w:val="24"/>
              </w:rPr>
              <w:t>施工噪声影响预测结果</w:t>
            </w:r>
            <w:r>
              <w:rPr>
                <w:spacing w:val="10"/>
                <w:kern w:val="0"/>
                <w:sz w:val="24"/>
              </w:rPr>
              <w:t xml:space="preserve">  </w:t>
            </w:r>
            <w:r>
              <w:rPr>
                <w:rFonts w:hint="eastAsia" w:hAnsi="宋体"/>
                <w:spacing w:val="10"/>
                <w:kern w:val="0"/>
                <w:sz w:val="24"/>
              </w:rPr>
              <w:t>单位：</w:t>
            </w:r>
            <w:r>
              <w:rPr>
                <w:spacing w:val="10"/>
                <w:kern w:val="0"/>
                <w:sz w:val="24"/>
              </w:rPr>
              <w:t>dB</w:t>
            </w:r>
            <w:r>
              <w:rPr>
                <w:rFonts w:hint="eastAsia" w:hAnsi="宋体"/>
                <w:spacing w:val="10"/>
                <w:kern w:val="0"/>
                <w:sz w:val="24"/>
              </w:rPr>
              <w:t>（</w:t>
            </w:r>
            <w:r>
              <w:rPr>
                <w:spacing w:val="10"/>
                <w:kern w:val="0"/>
                <w:sz w:val="24"/>
              </w:rPr>
              <w:t>A</w:t>
            </w:r>
            <w:r>
              <w:rPr>
                <w:rFonts w:hint="eastAsia" w:hAnsi="宋体"/>
                <w:spacing w:val="10"/>
                <w:kern w:val="0"/>
                <w:sz w:val="24"/>
              </w:rPr>
              <w:t>）</w:t>
            </w:r>
          </w:p>
          <w:tbl>
            <w:tblPr>
              <w:tblStyle w:val="2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48"/>
              <w:gridCol w:w="430"/>
              <w:gridCol w:w="430"/>
              <w:gridCol w:w="430"/>
              <w:gridCol w:w="430"/>
              <w:gridCol w:w="430"/>
              <w:gridCol w:w="430"/>
              <w:gridCol w:w="430"/>
              <w:gridCol w:w="430"/>
              <w:gridCol w:w="430"/>
              <w:gridCol w:w="536"/>
              <w:gridCol w:w="536"/>
              <w:gridCol w:w="536"/>
              <w:gridCol w:w="536"/>
              <w:gridCol w:w="536"/>
              <w:gridCol w:w="533"/>
            </w:tblGrid>
            <w:tr w14:paraId="7F9DE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35" w:type="pct"/>
                  <w:tcBorders>
                    <w:top w:val="single" w:color="000000" w:sz="6" w:space="0"/>
                    <w:left w:val="single" w:color="000000" w:sz="6" w:space="0"/>
                    <w:bottom w:val="single" w:color="000000" w:sz="6" w:space="0"/>
                    <w:right w:val="single" w:color="000000" w:sz="6" w:space="0"/>
                  </w:tcBorders>
                  <w:vAlign w:val="center"/>
                </w:tcPr>
                <w:p w14:paraId="4FC2403A">
                  <w:pPr>
                    <w:autoSpaceDE w:val="0"/>
                    <w:autoSpaceDN w:val="0"/>
                    <w:adjustRightInd w:val="0"/>
                    <w:snapToGrid w:val="0"/>
                    <w:jc w:val="center"/>
                    <w:rPr>
                      <w:kern w:val="0"/>
                      <w:szCs w:val="21"/>
                    </w:rPr>
                  </w:pPr>
                  <w:r>
                    <w:rPr>
                      <w:rFonts w:hint="eastAsia" w:hAnsi="宋体"/>
                      <w:kern w:val="0"/>
                      <w:szCs w:val="21"/>
                    </w:rPr>
                    <w:t>距离（</w:t>
                  </w:r>
                  <w:r>
                    <w:rPr>
                      <w:kern w:val="0"/>
                      <w:szCs w:val="21"/>
                    </w:rPr>
                    <w:t>m</w:t>
                  </w:r>
                  <w:r>
                    <w:rPr>
                      <w:rFonts w:hint="eastAsia" w:hAnsi="宋体"/>
                      <w:kern w:val="0"/>
                      <w:szCs w:val="21"/>
                    </w:rPr>
                    <w:t>）</w:t>
                  </w:r>
                </w:p>
              </w:tc>
              <w:tc>
                <w:tcPr>
                  <w:tcW w:w="271" w:type="pct"/>
                  <w:tcBorders>
                    <w:top w:val="single" w:color="000000" w:sz="6" w:space="0"/>
                    <w:left w:val="single" w:color="000000" w:sz="6" w:space="0"/>
                    <w:bottom w:val="single" w:color="000000" w:sz="6" w:space="0"/>
                    <w:right w:val="single" w:color="000000" w:sz="6" w:space="0"/>
                  </w:tcBorders>
                  <w:vAlign w:val="center"/>
                </w:tcPr>
                <w:p w14:paraId="3C3FFA4F">
                  <w:pPr>
                    <w:autoSpaceDE w:val="0"/>
                    <w:autoSpaceDN w:val="0"/>
                    <w:adjustRightInd w:val="0"/>
                    <w:snapToGrid w:val="0"/>
                    <w:jc w:val="center"/>
                    <w:rPr>
                      <w:kern w:val="0"/>
                      <w:szCs w:val="21"/>
                    </w:rPr>
                  </w:pPr>
                  <w:r>
                    <w:rPr>
                      <w:kern w:val="0"/>
                      <w:szCs w:val="21"/>
                    </w:rPr>
                    <w:t>5</w:t>
                  </w:r>
                </w:p>
              </w:tc>
              <w:tc>
                <w:tcPr>
                  <w:tcW w:w="271" w:type="pct"/>
                  <w:tcBorders>
                    <w:top w:val="single" w:color="000000" w:sz="6" w:space="0"/>
                    <w:left w:val="single" w:color="000000" w:sz="6" w:space="0"/>
                    <w:bottom w:val="single" w:color="000000" w:sz="6" w:space="0"/>
                    <w:right w:val="single" w:color="000000" w:sz="6" w:space="0"/>
                  </w:tcBorders>
                  <w:vAlign w:val="center"/>
                </w:tcPr>
                <w:p w14:paraId="5741F4D6">
                  <w:pPr>
                    <w:autoSpaceDE w:val="0"/>
                    <w:autoSpaceDN w:val="0"/>
                    <w:adjustRightInd w:val="0"/>
                    <w:snapToGrid w:val="0"/>
                    <w:jc w:val="center"/>
                    <w:rPr>
                      <w:kern w:val="0"/>
                      <w:szCs w:val="21"/>
                    </w:rPr>
                  </w:pPr>
                  <w:r>
                    <w:rPr>
                      <w:kern w:val="0"/>
                      <w:szCs w:val="21"/>
                    </w:rPr>
                    <w:t>10</w:t>
                  </w:r>
                </w:p>
              </w:tc>
              <w:tc>
                <w:tcPr>
                  <w:tcW w:w="271" w:type="pct"/>
                  <w:tcBorders>
                    <w:top w:val="single" w:color="000000" w:sz="6" w:space="0"/>
                    <w:left w:val="single" w:color="000000" w:sz="6" w:space="0"/>
                    <w:bottom w:val="single" w:color="000000" w:sz="6" w:space="0"/>
                    <w:right w:val="single" w:color="000000" w:sz="6" w:space="0"/>
                  </w:tcBorders>
                  <w:vAlign w:val="center"/>
                </w:tcPr>
                <w:p w14:paraId="3A59DB33">
                  <w:pPr>
                    <w:autoSpaceDE w:val="0"/>
                    <w:autoSpaceDN w:val="0"/>
                    <w:adjustRightInd w:val="0"/>
                    <w:snapToGrid w:val="0"/>
                    <w:jc w:val="center"/>
                    <w:rPr>
                      <w:kern w:val="0"/>
                      <w:szCs w:val="21"/>
                    </w:rPr>
                  </w:pPr>
                  <w:r>
                    <w:rPr>
                      <w:kern w:val="0"/>
                      <w:szCs w:val="21"/>
                    </w:rPr>
                    <w:t>15</w:t>
                  </w:r>
                </w:p>
              </w:tc>
              <w:tc>
                <w:tcPr>
                  <w:tcW w:w="271" w:type="pct"/>
                  <w:tcBorders>
                    <w:top w:val="single" w:color="000000" w:sz="6" w:space="0"/>
                    <w:left w:val="single" w:color="000000" w:sz="6" w:space="0"/>
                    <w:bottom w:val="single" w:color="000000" w:sz="6" w:space="0"/>
                    <w:right w:val="single" w:color="000000" w:sz="6" w:space="0"/>
                  </w:tcBorders>
                  <w:vAlign w:val="center"/>
                </w:tcPr>
                <w:p w14:paraId="7E7938D3">
                  <w:pPr>
                    <w:autoSpaceDE w:val="0"/>
                    <w:autoSpaceDN w:val="0"/>
                    <w:adjustRightInd w:val="0"/>
                    <w:snapToGrid w:val="0"/>
                    <w:jc w:val="center"/>
                    <w:rPr>
                      <w:kern w:val="0"/>
                      <w:szCs w:val="21"/>
                    </w:rPr>
                  </w:pPr>
                  <w:r>
                    <w:rPr>
                      <w:kern w:val="0"/>
                      <w:szCs w:val="21"/>
                    </w:rPr>
                    <w:t>20</w:t>
                  </w:r>
                </w:p>
              </w:tc>
              <w:tc>
                <w:tcPr>
                  <w:tcW w:w="271" w:type="pct"/>
                  <w:tcBorders>
                    <w:top w:val="single" w:color="000000" w:sz="6" w:space="0"/>
                    <w:left w:val="single" w:color="000000" w:sz="6" w:space="0"/>
                    <w:bottom w:val="single" w:color="000000" w:sz="6" w:space="0"/>
                    <w:right w:val="single" w:color="000000" w:sz="6" w:space="0"/>
                  </w:tcBorders>
                  <w:vAlign w:val="center"/>
                </w:tcPr>
                <w:p w14:paraId="357CA8AC">
                  <w:pPr>
                    <w:autoSpaceDE w:val="0"/>
                    <w:autoSpaceDN w:val="0"/>
                    <w:adjustRightInd w:val="0"/>
                    <w:snapToGrid w:val="0"/>
                    <w:jc w:val="center"/>
                    <w:rPr>
                      <w:kern w:val="0"/>
                      <w:szCs w:val="21"/>
                    </w:rPr>
                  </w:pPr>
                  <w:r>
                    <w:rPr>
                      <w:kern w:val="0"/>
                      <w:szCs w:val="21"/>
                    </w:rPr>
                    <w:t>30</w:t>
                  </w:r>
                </w:p>
              </w:tc>
              <w:tc>
                <w:tcPr>
                  <w:tcW w:w="271" w:type="pct"/>
                  <w:tcBorders>
                    <w:top w:val="single" w:color="000000" w:sz="6" w:space="0"/>
                    <w:left w:val="single" w:color="000000" w:sz="6" w:space="0"/>
                    <w:bottom w:val="single" w:color="000000" w:sz="6" w:space="0"/>
                    <w:right w:val="single" w:color="000000" w:sz="6" w:space="0"/>
                  </w:tcBorders>
                  <w:vAlign w:val="center"/>
                </w:tcPr>
                <w:p w14:paraId="6FC6F0AC">
                  <w:pPr>
                    <w:autoSpaceDE w:val="0"/>
                    <w:autoSpaceDN w:val="0"/>
                    <w:adjustRightInd w:val="0"/>
                    <w:snapToGrid w:val="0"/>
                    <w:jc w:val="center"/>
                    <w:rPr>
                      <w:kern w:val="0"/>
                      <w:szCs w:val="21"/>
                    </w:rPr>
                  </w:pPr>
                  <w:r>
                    <w:rPr>
                      <w:kern w:val="0"/>
                      <w:szCs w:val="21"/>
                    </w:rPr>
                    <w:t>40</w:t>
                  </w:r>
                </w:p>
              </w:tc>
              <w:tc>
                <w:tcPr>
                  <w:tcW w:w="271" w:type="pct"/>
                  <w:tcBorders>
                    <w:top w:val="single" w:color="000000" w:sz="6" w:space="0"/>
                    <w:left w:val="single" w:color="000000" w:sz="6" w:space="0"/>
                    <w:bottom w:val="single" w:color="000000" w:sz="6" w:space="0"/>
                    <w:right w:val="single" w:color="000000" w:sz="6" w:space="0"/>
                  </w:tcBorders>
                  <w:vAlign w:val="center"/>
                </w:tcPr>
                <w:p w14:paraId="3011FA52">
                  <w:pPr>
                    <w:autoSpaceDE w:val="0"/>
                    <w:autoSpaceDN w:val="0"/>
                    <w:adjustRightInd w:val="0"/>
                    <w:snapToGrid w:val="0"/>
                    <w:jc w:val="center"/>
                    <w:rPr>
                      <w:kern w:val="0"/>
                      <w:szCs w:val="21"/>
                    </w:rPr>
                  </w:pPr>
                  <w:r>
                    <w:rPr>
                      <w:kern w:val="0"/>
                      <w:szCs w:val="21"/>
                    </w:rPr>
                    <w:t>50</w:t>
                  </w:r>
                </w:p>
              </w:tc>
              <w:tc>
                <w:tcPr>
                  <w:tcW w:w="271" w:type="pct"/>
                  <w:tcBorders>
                    <w:top w:val="single" w:color="000000" w:sz="6" w:space="0"/>
                    <w:left w:val="single" w:color="000000" w:sz="6" w:space="0"/>
                    <w:bottom w:val="single" w:color="000000" w:sz="6" w:space="0"/>
                    <w:right w:val="single" w:color="000000" w:sz="6" w:space="0"/>
                  </w:tcBorders>
                  <w:vAlign w:val="center"/>
                </w:tcPr>
                <w:p w14:paraId="5A3EE4A7">
                  <w:pPr>
                    <w:autoSpaceDE w:val="0"/>
                    <w:autoSpaceDN w:val="0"/>
                    <w:adjustRightInd w:val="0"/>
                    <w:snapToGrid w:val="0"/>
                    <w:jc w:val="center"/>
                    <w:rPr>
                      <w:kern w:val="0"/>
                      <w:szCs w:val="21"/>
                    </w:rPr>
                  </w:pPr>
                  <w:r>
                    <w:rPr>
                      <w:kern w:val="0"/>
                      <w:szCs w:val="21"/>
                    </w:rPr>
                    <w:t>60</w:t>
                  </w:r>
                </w:p>
              </w:tc>
              <w:tc>
                <w:tcPr>
                  <w:tcW w:w="271" w:type="pct"/>
                  <w:tcBorders>
                    <w:top w:val="single" w:color="000000" w:sz="6" w:space="0"/>
                    <w:left w:val="single" w:color="000000" w:sz="6" w:space="0"/>
                    <w:bottom w:val="single" w:color="000000" w:sz="6" w:space="0"/>
                    <w:right w:val="single" w:color="000000" w:sz="6" w:space="0"/>
                  </w:tcBorders>
                  <w:vAlign w:val="center"/>
                </w:tcPr>
                <w:p w14:paraId="6DA90AB0">
                  <w:pPr>
                    <w:autoSpaceDE w:val="0"/>
                    <w:autoSpaceDN w:val="0"/>
                    <w:adjustRightInd w:val="0"/>
                    <w:snapToGrid w:val="0"/>
                    <w:jc w:val="center"/>
                    <w:rPr>
                      <w:kern w:val="0"/>
                      <w:szCs w:val="21"/>
                    </w:rPr>
                  </w:pPr>
                  <w:r>
                    <w:rPr>
                      <w:kern w:val="0"/>
                      <w:szCs w:val="21"/>
                    </w:rPr>
                    <w:t>80</w:t>
                  </w:r>
                </w:p>
              </w:tc>
              <w:tc>
                <w:tcPr>
                  <w:tcW w:w="338" w:type="pct"/>
                  <w:tcBorders>
                    <w:top w:val="single" w:color="000000" w:sz="6" w:space="0"/>
                    <w:left w:val="single" w:color="000000" w:sz="6" w:space="0"/>
                    <w:bottom w:val="single" w:color="000000" w:sz="6" w:space="0"/>
                    <w:right w:val="single" w:color="000000" w:sz="6" w:space="0"/>
                  </w:tcBorders>
                  <w:vAlign w:val="center"/>
                </w:tcPr>
                <w:p w14:paraId="0E3A103F">
                  <w:pPr>
                    <w:autoSpaceDE w:val="0"/>
                    <w:autoSpaceDN w:val="0"/>
                    <w:adjustRightInd w:val="0"/>
                    <w:snapToGrid w:val="0"/>
                    <w:jc w:val="center"/>
                    <w:rPr>
                      <w:kern w:val="0"/>
                      <w:szCs w:val="21"/>
                    </w:rPr>
                  </w:pPr>
                  <w:r>
                    <w:rPr>
                      <w:kern w:val="0"/>
                      <w:szCs w:val="21"/>
                    </w:rPr>
                    <w:t>100</w:t>
                  </w:r>
                </w:p>
              </w:tc>
              <w:tc>
                <w:tcPr>
                  <w:tcW w:w="338" w:type="pct"/>
                  <w:tcBorders>
                    <w:top w:val="single" w:color="000000" w:sz="6" w:space="0"/>
                    <w:left w:val="single" w:color="000000" w:sz="6" w:space="0"/>
                    <w:bottom w:val="single" w:color="000000" w:sz="6" w:space="0"/>
                    <w:right w:val="single" w:color="000000" w:sz="6" w:space="0"/>
                  </w:tcBorders>
                  <w:vAlign w:val="center"/>
                </w:tcPr>
                <w:p w14:paraId="41ECDA50">
                  <w:pPr>
                    <w:autoSpaceDE w:val="0"/>
                    <w:autoSpaceDN w:val="0"/>
                    <w:adjustRightInd w:val="0"/>
                    <w:snapToGrid w:val="0"/>
                    <w:jc w:val="center"/>
                    <w:rPr>
                      <w:kern w:val="0"/>
                      <w:szCs w:val="21"/>
                    </w:rPr>
                  </w:pPr>
                  <w:r>
                    <w:rPr>
                      <w:kern w:val="0"/>
                      <w:szCs w:val="21"/>
                    </w:rPr>
                    <w:t>110</w:t>
                  </w:r>
                </w:p>
              </w:tc>
              <w:tc>
                <w:tcPr>
                  <w:tcW w:w="338" w:type="pct"/>
                  <w:tcBorders>
                    <w:top w:val="single" w:color="000000" w:sz="6" w:space="0"/>
                    <w:left w:val="single" w:color="000000" w:sz="6" w:space="0"/>
                    <w:bottom w:val="single" w:color="000000" w:sz="6" w:space="0"/>
                    <w:right w:val="single" w:color="000000" w:sz="6" w:space="0"/>
                  </w:tcBorders>
                  <w:vAlign w:val="center"/>
                </w:tcPr>
                <w:p w14:paraId="12180B35">
                  <w:pPr>
                    <w:autoSpaceDE w:val="0"/>
                    <w:autoSpaceDN w:val="0"/>
                    <w:adjustRightInd w:val="0"/>
                    <w:snapToGrid w:val="0"/>
                    <w:jc w:val="center"/>
                    <w:rPr>
                      <w:kern w:val="0"/>
                      <w:szCs w:val="21"/>
                    </w:rPr>
                  </w:pPr>
                  <w:r>
                    <w:rPr>
                      <w:kern w:val="0"/>
                      <w:szCs w:val="21"/>
                    </w:rPr>
                    <w:t>130</w:t>
                  </w:r>
                </w:p>
              </w:tc>
              <w:tc>
                <w:tcPr>
                  <w:tcW w:w="338" w:type="pct"/>
                  <w:tcBorders>
                    <w:top w:val="single" w:color="000000" w:sz="6" w:space="0"/>
                    <w:left w:val="single" w:color="000000" w:sz="6" w:space="0"/>
                    <w:bottom w:val="single" w:color="000000" w:sz="6" w:space="0"/>
                    <w:right w:val="single" w:color="000000" w:sz="6" w:space="0"/>
                  </w:tcBorders>
                  <w:vAlign w:val="center"/>
                </w:tcPr>
                <w:p w14:paraId="70DE23FD">
                  <w:pPr>
                    <w:autoSpaceDE w:val="0"/>
                    <w:autoSpaceDN w:val="0"/>
                    <w:adjustRightInd w:val="0"/>
                    <w:snapToGrid w:val="0"/>
                    <w:jc w:val="center"/>
                    <w:rPr>
                      <w:kern w:val="0"/>
                      <w:szCs w:val="21"/>
                    </w:rPr>
                  </w:pPr>
                  <w:r>
                    <w:rPr>
                      <w:kern w:val="0"/>
                      <w:szCs w:val="21"/>
                    </w:rPr>
                    <w:t>150</w:t>
                  </w:r>
                </w:p>
              </w:tc>
              <w:tc>
                <w:tcPr>
                  <w:tcW w:w="338" w:type="pct"/>
                  <w:tcBorders>
                    <w:top w:val="single" w:color="000000" w:sz="6" w:space="0"/>
                    <w:left w:val="single" w:color="000000" w:sz="6" w:space="0"/>
                    <w:bottom w:val="single" w:color="000000" w:sz="6" w:space="0"/>
                    <w:right w:val="single" w:color="000000" w:sz="6" w:space="0"/>
                  </w:tcBorders>
                  <w:vAlign w:val="center"/>
                </w:tcPr>
                <w:p w14:paraId="00BBCFD0">
                  <w:pPr>
                    <w:autoSpaceDE w:val="0"/>
                    <w:autoSpaceDN w:val="0"/>
                    <w:adjustRightInd w:val="0"/>
                    <w:snapToGrid w:val="0"/>
                    <w:jc w:val="center"/>
                    <w:rPr>
                      <w:kern w:val="0"/>
                      <w:szCs w:val="21"/>
                    </w:rPr>
                  </w:pPr>
                  <w:r>
                    <w:rPr>
                      <w:kern w:val="0"/>
                      <w:szCs w:val="21"/>
                    </w:rPr>
                    <w:t>200</w:t>
                  </w:r>
                </w:p>
              </w:tc>
              <w:tc>
                <w:tcPr>
                  <w:tcW w:w="338" w:type="pct"/>
                  <w:tcBorders>
                    <w:top w:val="single" w:color="000000" w:sz="6" w:space="0"/>
                    <w:left w:val="single" w:color="000000" w:sz="6" w:space="0"/>
                    <w:bottom w:val="single" w:color="000000" w:sz="6" w:space="0"/>
                    <w:right w:val="single" w:color="000000" w:sz="6" w:space="0"/>
                  </w:tcBorders>
                  <w:vAlign w:val="center"/>
                </w:tcPr>
                <w:p w14:paraId="72FFDE70">
                  <w:pPr>
                    <w:autoSpaceDE w:val="0"/>
                    <w:autoSpaceDN w:val="0"/>
                    <w:adjustRightInd w:val="0"/>
                    <w:snapToGrid w:val="0"/>
                    <w:jc w:val="center"/>
                    <w:rPr>
                      <w:kern w:val="0"/>
                      <w:szCs w:val="21"/>
                    </w:rPr>
                  </w:pPr>
                  <w:r>
                    <w:rPr>
                      <w:kern w:val="0"/>
                      <w:szCs w:val="21"/>
                    </w:rPr>
                    <w:t>350</w:t>
                  </w:r>
                </w:p>
              </w:tc>
            </w:tr>
            <w:tr w14:paraId="51D9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35" w:type="pct"/>
                  <w:tcBorders>
                    <w:top w:val="single" w:color="000000" w:sz="6" w:space="0"/>
                    <w:left w:val="single" w:color="000000" w:sz="6" w:space="0"/>
                    <w:bottom w:val="single" w:color="000000" w:sz="6" w:space="0"/>
                    <w:right w:val="single" w:color="000000" w:sz="6" w:space="0"/>
                  </w:tcBorders>
                  <w:vAlign w:val="center"/>
                </w:tcPr>
                <w:p w14:paraId="1B58FCE1">
                  <w:pPr>
                    <w:autoSpaceDE w:val="0"/>
                    <w:autoSpaceDN w:val="0"/>
                    <w:adjustRightInd w:val="0"/>
                    <w:snapToGrid w:val="0"/>
                    <w:jc w:val="center"/>
                    <w:rPr>
                      <w:kern w:val="0"/>
                      <w:szCs w:val="21"/>
                    </w:rPr>
                  </w:pPr>
                  <w:r>
                    <w:rPr>
                      <w:rFonts w:hint="eastAsia" w:hAnsi="宋体"/>
                      <w:kern w:val="0"/>
                      <w:szCs w:val="21"/>
                    </w:rPr>
                    <w:t>峰值</w:t>
                  </w:r>
                </w:p>
              </w:tc>
              <w:tc>
                <w:tcPr>
                  <w:tcW w:w="271" w:type="pct"/>
                  <w:tcBorders>
                    <w:top w:val="single" w:color="000000" w:sz="6" w:space="0"/>
                    <w:left w:val="single" w:color="000000" w:sz="6" w:space="0"/>
                    <w:bottom w:val="single" w:color="000000" w:sz="6" w:space="0"/>
                    <w:right w:val="single" w:color="000000" w:sz="6" w:space="0"/>
                  </w:tcBorders>
                  <w:vAlign w:val="center"/>
                </w:tcPr>
                <w:p w14:paraId="3548B38A">
                  <w:pPr>
                    <w:widowControl/>
                    <w:jc w:val="center"/>
                    <w:rPr>
                      <w:rFonts w:eastAsia="等线"/>
                      <w:kern w:val="0"/>
                      <w:szCs w:val="21"/>
                    </w:rPr>
                  </w:pPr>
                  <w:r>
                    <w:rPr>
                      <w:szCs w:val="21"/>
                    </w:rPr>
                    <w:t>91</w:t>
                  </w:r>
                </w:p>
              </w:tc>
              <w:tc>
                <w:tcPr>
                  <w:tcW w:w="271" w:type="pct"/>
                  <w:tcBorders>
                    <w:top w:val="single" w:color="000000" w:sz="6" w:space="0"/>
                    <w:left w:val="single" w:color="000000" w:sz="6" w:space="0"/>
                    <w:bottom w:val="single" w:color="000000" w:sz="6" w:space="0"/>
                    <w:right w:val="single" w:color="000000" w:sz="6" w:space="0"/>
                  </w:tcBorders>
                  <w:vAlign w:val="center"/>
                </w:tcPr>
                <w:p w14:paraId="777E5432">
                  <w:pPr>
                    <w:jc w:val="center"/>
                    <w:rPr>
                      <w:szCs w:val="21"/>
                    </w:rPr>
                  </w:pPr>
                  <w:r>
                    <w:rPr>
                      <w:szCs w:val="21"/>
                    </w:rPr>
                    <w:t xml:space="preserve">85 </w:t>
                  </w:r>
                </w:p>
              </w:tc>
              <w:tc>
                <w:tcPr>
                  <w:tcW w:w="271" w:type="pct"/>
                  <w:tcBorders>
                    <w:top w:val="single" w:color="000000" w:sz="6" w:space="0"/>
                    <w:left w:val="single" w:color="000000" w:sz="6" w:space="0"/>
                    <w:bottom w:val="single" w:color="000000" w:sz="6" w:space="0"/>
                    <w:right w:val="single" w:color="000000" w:sz="6" w:space="0"/>
                  </w:tcBorders>
                  <w:vAlign w:val="center"/>
                </w:tcPr>
                <w:p w14:paraId="7008D2F8">
                  <w:pPr>
                    <w:jc w:val="center"/>
                    <w:rPr>
                      <w:szCs w:val="21"/>
                    </w:rPr>
                  </w:pPr>
                  <w:r>
                    <w:rPr>
                      <w:szCs w:val="21"/>
                    </w:rPr>
                    <w:t xml:space="preserve">81 </w:t>
                  </w:r>
                </w:p>
              </w:tc>
              <w:tc>
                <w:tcPr>
                  <w:tcW w:w="271" w:type="pct"/>
                  <w:tcBorders>
                    <w:top w:val="single" w:color="000000" w:sz="6" w:space="0"/>
                    <w:left w:val="single" w:color="000000" w:sz="6" w:space="0"/>
                    <w:bottom w:val="single" w:color="000000" w:sz="6" w:space="0"/>
                    <w:right w:val="single" w:color="000000" w:sz="6" w:space="0"/>
                  </w:tcBorders>
                  <w:vAlign w:val="center"/>
                </w:tcPr>
                <w:p w14:paraId="437F81A7">
                  <w:pPr>
                    <w:jc w:val="center"/>
                    <w:rPr>
                      <w:szCs w:val="21"/>
                    </w:rPr>
                  </w:pPr>
                  <w:r>
                    <w:rPr>
                      <w:szCs w:val="21"/>
                    </w:rPr>
                    <w:t xml:space="preserve">79 </w:t>
                  </w:r>
                </w:p>
              </w:tc>
              <w:tc>
                <w:tcPr>
                  <w:tcW w:w="271" w:type="pct"/>
                  <w:tcBorders>
                    <w:top w:val="single" w:color="000000" w:sz="6" w:space="0"/>
                    <w:left w:val="single" w:color="000000" w:sz="6" w:space="0"/>
                    <w:bottom w:val="single" w:color="000000" w:sz="6" w:space="0"/>
                    <w:right w:val="single" w:color="000000" w:sz="6" w:space="0"/>
                  </w:tcBorders>
                  <w:vAlign w:val="center"/>
                </w:tcPr>
                <w:p w14:paraId="4B68A5B9">
                  <w:pPr>
                    <w:jc w:val="center"/>
                    <w:rPr>
                      <w:szCs w:val="21"/>
                    </w:rPr>
                  </w:pPr>
                  <w:r>
                    <w:rPr>
                      <w:szCs w:val="21"/>
                    </w:rPr>
                    <w:t xml:space="preserve">75 </w:t>
                  </w:r>
                </w:p>
              </w:tc>
              <w:tc>
                <w:tcPr>
                  <w:tcW w:w="271" w:type="pct"/>
                  <w:tcBorders>
                    <w:top w:val="single" w:color="000000" w:sz="6" w:space="0"/>
                    <w:left w:val="single" w:color="000000" w:sz="6" w:space="0"/>
                    <w:bottom w:val="single" w:color="000000" w:sz="6" w:space="0"/>
                    <w:right w:val="single" w:color="000000" w:sz="6" w:space="0"/>
                  </w:tcBorders>
                  <w:vAlign w:val="center"/>
                </w:tcPr>
                <w:p w14:paraId="3C727E82">
                  <w:pPr>
                    <w:jc w:val="center"/>
                    <w:rPr>
                      <w:szCs w:val="21"/>
                    </w:rPr>
                  </w:pPr>
                  <w:r>
                    <w:rPr>
                      <w:szCs w:val="21"/>
                    </w:rPr>
                    <w:t xml:space="preserve">73 </w:t>
                  </w:r>
                </w:p>
              </w:tc>
              <w:tc>
                <w:tcPr>
                  <w:tcW w:w="271" w:type="pct"/>
                  <w:tcBorders>
                    <w:top w:val="single" w:color="000000" w:sz="6" w:space="0"/>
                    <w:left w:val="single" w:color="000000" w:sz="6" w:space="0"/>
                    <w:bottom w:val="single" w:color="000000" w:sz="6" w:space="0"/>
                    <w:right w:val="single" w:color="000000" w:sz="6" w:space="0"/>
                  </w:tcBorders>
                  <w:vAlign w:val="center"/>
                </w:tcPr>
                <w:p w14:paraId="3BE6E557">
                  <w:pPr>
                    <w:jc w:val="center"/>
                    <w:rPr>
                      <w:szCs w:val="21"/>
                    </w:rPr>
                  </w:pPr>
                  <w:r>
                    <w:rPr>
                      <w:szCs w:val="21"/>
                    </w:rPr>
                    <w:t xml:space="preserve">71 </w:t>
                  </w:r>
                </w:p>
              </w:tc>
              <w:tc>
                <w:tcPr>
                  <w:tcW w:w="271" w:type="pct"/>
                  <w:tcBorders>
                    <w:top w:val="single" w:color="000000" w:sz="6" w:space="0"/>
                    <w:left w:val="single" w:color="000000" w:sz="6" w:space="0"/>
                    <w:bottom w:val="single" w:color="000000" w:sz="6" w:space="0"/>
                    <w:right w:val="single" w:color="000000" w:sz="6" w:space="0"/>
                  </w:tcBorders>
                  <w:vAlign w:val="center"/>
                </w:tcPr>
                <w:p w14:paraId="5413C5B3">
                  <w:pPr>
                    <w:jc w:val="center"/>
                    <w:rPr>
                      <w:szCs w:val="21"/>
                    </w:rPr>
                  </w:pPr>
                  <w:r>
                    <w:rPr>
                      <w:szCs w:val="21"/>
                    </w:rPr>
                    <w:t xml:space="preserve">69 </w:t>
                  </w:r>
                </w:p>
              </w:tc>
              <w:tc>
                <w:tcPr>
                  <w:tcW w:w="271" w:type="pct"/>
                  <w:tcBorders>
                    <w:top w:val="single" w:color="000000" w:sz="6" w:space="0"/>
                    <w:left w:val="single" w:color="000000" w:sz="6" w:space="0"/>
                    <w:bottom w:val="single" w:color="000000" w:sz="6" w:space="0"/>
                    <w:right w:val="single" w:color="000000" w:sz="6" w:space="0"/>
                  </w:tcBorders>
                  <w:vAlign w:val="center"/>
                </w:tcPr>
                <w:p w14:paraId="6EEC2FAA">
                  <w:pPr>
                    <w:jc w:val="center"/>
                    <w:rPr>
                      <w:szCs w:val="21"/>
                    </w:rPr>
                  </w:pPr>
                  <w:r>
                    <w:rPr>
                      <w:szCs w:val="21"/>
                    </w:rPr>
                    <w:t xml:space="preserve">67 </w:t>
                  </w:r>
                </w:p>
              </w:tc>
              <w:tc>
                <w:tcPr>
                  <w:tcW w:w="338" w:type="pct"/>
                  <w:tcBorders>
                    <w:top w:val="single" w:color="000000" w:sz="6" w:space="0"/>
                    <w:left w:val="single" w:color="000000" w:sz="6" w:space="0"/>
                    <w:bottom w:val="single" w:color="000000" w:sz="6" w:space="0"/>
                    <w:right w:val="single" w:color="000000" w:sz="6" w:space="0"/>
                  </w:tcBorders>
                  <w:vAlign w:val="center"/>
                </w:tcPr>
                <w:p w14:paraId="3F305059">
                  <w:pPr>
                    <w:jc w:val="center"/>
                    <w:rPr>
                      <w:szCs w:val="21"/>
                    </w:rPr>
                  </w:pPr>
                  <w:r>
                    <w:rPr>
                      <w:szCs w:val="21"/>
                    </w:rPr>
                    <w:t xml:space="preserve">65 </w:t>
                  </w:r>
                </w:p>
              </w:tc>
              <w:tc>
                <w:tcPr>
                  <w:tcW w:w="338" w:type="pct"/>
                  <w:tcBorders>
                    <w:top w:val="single" w:color="000000" w:sz="6" w:space="0"/>
                    <w:left w:val="single" w:color="000000" w:sz="6" w:space="0"/>
                    <w:bottom w:val="single" w:color="000000" w:sz="6" w:space="0"/>
                    <w:right w:val="single" w:color="000000" w:sz="6" w:space="0"/>
                  </w:tcBorders>
                  <w:vAlign w:val="center"/>
                </w:tcPr>
                <w:p w14:paraId="3CD99061">
                  <w:pPr>
                    <w:jc w:val="center"/>
                    <w:rPr>
                      <w:szCs w:val="21"/>
                    </w:rPr>
                  </w:pPr>
                  <w:r>
                    <w:rPr>
                      <w:szCs w:val="21"/>
                    </w:rPr>
                    <w:t xml:space="preserve">64 </w:t>
                  </w:r>
                </w:p>
              </w:tc>
              <w:tc>
                <w:tcPr>
                  <w:tcW w:w="338" w:type="pct"/>
                  <w:tcBorders>
                    <w:top w:val="single" w:color="000000" w:sz="6" w:space="0"/>
                    <w:left w:val="single" w:color="000000" w:sz="6" w:space="0"/>
                    <w:bottom w:val="single" w:color="000000" w:sz="6" w:space="0"/>
                    <w:right w:val="single" w:color="000000" w:sz="6" w:space="0"/>
                  </w:tcBorders>
                  <w:vAlign w:val="center"/>
                </w:tcPr>
                <w:p w14:paraId="12CF6927">
                  <w:pPr>
                    <w:jc w:val="center"/>
                    <w:rPr>
                      <w:szCs w:val="21"/>
                    </w:rPr>
                  </w:pPr>
                  <w:r>
                    <w:rPr>
                      <w:szCs w:val="21"/>
                    </w:rPr>
                    <w:t xml:space="preserve">63 </w:t>
                  </w:r>
                </w:p>
              </w:tc>
              <w:tc>
                <w:tcPr>
                  <w:tcW w:w="338" w:type="pct"/>
                  <w:tcBorders>
                    <w:top w:val="single" w:color="000000" w:sz="6" w:space="0"/>
                    <w:left w:val="single" w:color="000000" w:sz="6" w:space="0"/>
                    <w:bottom w:val="single" w:color="000000" w:sz="6" w:space="0"/>
                    <w:right w:val="single" w:color="000000" w:sz="6" w:space="0"/>
                  </w:tcBorders>
                  <w:vAlign w:val="center"/>
                </w:tcPr>
                <w:p w14:paraId="5FE3B178">
                  <w:pPr>
                    <w:jc w:val="center"/>
                    <w:rPr>
                      <w:szCs w:val="21"/>
                    </w:rPr>
                  </w:pPr>
                  <w:r>
                    <w:rPr>
                      <w:szCs w:val="21"/>
                    </w:rPr>
                    <w:t xml:space="preserve">62 </w:t>
                  </w:r>
                </w:p>
              </w:tc>
              <w:tc>
                <w:tcPr>
                  <w:tcW w:w="338" w:type="pct"/>
                  <w:tcBorders>
                    <w:top w:val="single" w:color="000000" w:sz="6" w:space="0"/>
                    <w:left w:val="single" w:color="000000" w:sz="6" w:space="0"/>
                    <w:bottom w:val="single" w:color="000000" w:sz="6" w:space="0"/>
                    <w:right w:val="single" w:color="000000" w:sz="6" w:space="0"/>
                  </w:tcBorders>
                  <w:vAlign w:val="center"/>
                </w:tcPr>
                <w:p w14:paraId="43414D19">
                  <w:pPr>
                    <w:jc w:val="center"/>
                    <w:rPr>
                      <w:szCs w:val="21"/>
                    </w:rPr>
                  </w:pPr>
                  <w:r>
                    <w:rPr>
                      <w:szCs w:val="21"/>
                    </w:rPr>
                    <w:t xml:space="preserve">60 </w:t>
                  </w:r>
                </w:p>
              </w:tc>
              <w:tc>
                <w:tcPr>
                  <w:tcW w:w="338" w:type="pct"/>
                  <w:tcBorders>
                    <w:top w:val="single" w:color="000000" w:sz="6" w:space="0"/>
                    <w:left w:val="single" w:color="000000" w:sz="6" w:space="0"/>
                    <w:bottom w:val="single" w:color="000000" w:sz="6" w:space="0"/>
                    <w:right w:val="single" w:color="000000" w:sz="6" w:space="0"/>
                  </w:tcBorders>
                  <w:vAlign w:val="center"/>
                </w:tcPr>
                <w:p w14:paraId="32EEAE34">
                  <w:pPr>
                    <w:jc w:val="center"/>
                    <w:rPr>
                      <w:szCs w:val="21"/>
                    </w:rPr>
                  </w:pPr>
                  <w:r>
                    <w:rPr>
                      <w:szCs w:val="21"/>
                    </w:rPr>
                    <w:t xml:space="preserve">55 </w:t>
                  </w:r>
                </w:p>
              </w:tc>
            </w:tr>
            <w:tr w14:paraId="527D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35" w:type="pct"/>
                  <w:tcBorders>
                    <w:top w:val="single" w:color="000000" w:sz="6" w:space="0"/>
                    <w:left w:val="single" w:color="000000" w:sz="6" w:space="0"/>
                    <w:bottom w:val="single" w:color="000000" w:sz="6" w:space="0"/>
                    <w:right w:val="single" w:color="000000" w:sz="6" w:space="0"/>
                  </w:tcBorders>
                  <w:vAlign w:val="center"/>
                </w:tcPr>
                <w:p w14:paraId="17A85ACB">
                  <w:pPr>
                    <w:autoSpaceDE w:val="0"/>
                    <w:autoSpaceDN w:val="0"/>
                    <w:adjustRightInd w:val="0"/>
                    <w:snapToGrid w:val="0"/>
                    <w:jc w:val="center"/>
                    <w:rPr>
                      <w:kern w:val="0"/>
                      <w:szCs w:val="21"/>
                    </w:rPr>
                  </w:pPr>
                  <w:r>
                    <w:rPr>
                      <w:rFonts w:hint="eastAsia" w:hAnsi="宋体"/>
                      <w:kern w:val="0"/>
                      <w:szCs w:val="21"/>
                    </w:rPr>
                    <w:t>一般情况</w:t>
                  </w:r>
                </w:p>
              </w:tc>
              <w:tc>
                <w:tcPr>
                  <w:tcW w:w="271" w:type="pct"/>
                  <w:tcBorders>
                    <w:top w:val="single" w:color="000000" w:sz="6" w:space="0"/>
                    <w:left w:val="single" w:color="000000" w:sz="6" w:space="0"/>
                    <w:bottom w:val="single" w:color="000000" w:sz="6" w:space="0"/>
                    <w:right w:val="single" w:color="000000" w:sz="6" w:space="0"/>
                  </w:tcBorders>
                  <w:vAlign w:val="center"/>
                </w:tcPr>
                <w:p w14:paraId="372B5B72">
                  <w:pPr>
                    <w:jc w:val="center"/>
                    <w:rPr>
                      <w:rFonts w:eastAsia="等线"/>
                      <w:szCs w:val="21"/>
                    </w:rPr>
                  </w:pPr>
                  <w:r>
                    <w:rPr>
                      <w:szCs w:val="21"/>
                    </w:rPr>
                    <w:t>81</w:t>
                  </w:r>
                </w:p>
              </w:tc>
              <w:tc>
                <w:tcPr>
                  <w:tcW w:w="271" w:type="pct"/>
                  <w:tcBorders>
                    <w:top w:val="single" w:color="000000" w:sz="6" w:space="0"/>
                    <w:left w:val="single" w:color="000000" w:sz="6" w:space="0"/>
                    <w:bottom w:val="single" w:color="000000" w:sz="6" w:space="0"/>
                    <w:right w:val="single" w:color="000000" w:sz="6" w:space="0"/>
                  </w:tcBorders>
                  <w:vAlign w:val="center"/>
                </w:tcPr>
                <w:p w14:paraId="7CE2561E">
                  <w:pPr>
                    <w:jc w:val="center"/>
                    <w:rPr>
                      <w:szCs w:val="21"/>
                    </w:rPr>
                  </w:pPr>
                  <w:r>
                    <w:rPr>
                      <w:szCs w:val="21"/>
                    </w:rPr>
                    <w:t xml:space="preserve">75 </w:t>
                  </w:r>
                </w:p>
              </w:tc>
              <w:tc>
                <w:tcPr>
                  <w:tcW w:w="271" w:type="pct"/>
                  <w:tcBorders>
                    <w:top w:val="single" w:color="000000" w:sz="6" w:space="0"/>
                    <w:left w:val="single" w:color="000000" w:sz="6" w:space="0"/>
                    <w:bottom w:val="single" w:color="000000" w:sz="6" w:space="0"/>
                    <w:right w:val="single" w:color="000000" w:sz="6" w:space="0"/>
                  </w:tcBorders>
                  <w:vAlign w:val="center"/>
                </w:tcPr>
                <w:p w14:paraId="1B753487">
                  <w:pPr>
                    <w:jc w:val="center"/>
                    <w:rPr>
                      <w:szCs w:val="21"/>
                    </w:rPr>
                  </w:pPr>
                  <w:r>
                    <w:rPr>
                      <w:szCs w:val="21"/>
                    </w:rPr>
                    <w:t xml:space="preserve">71 </w:t>
                  </w:r>
                </w:p>
              </w:tc>
              <w:tc>
                <w:tcPr>
                  <w:tcW w:w="271" w:type="pct"/>
                  <w:tcBorders>
                    <w:top w:val="single" w:color="000000" w:sz="6" w:space="0"/>
                    <w:left w:val="single" w:color="000000" w:sz="6" w:space="0"/>
                    <w:bottom w:val="single" w:color="000000" w:sz="6" w:space="0"/>
                    <w:right w:val="single" w:color="000000" w:sz="6" w:space="0"/>
                  </w:tcBorders>
                  <w:vAlign w:val="center"/>
                </w:tcPr>
                <w:p w14:paraId="4E7F809F">
                  <w:pPr>
                    <w:jc w:val="center"/>
                    <w:rPr>
                      <w:szCs w:val="21"/>
                    </w:rPr>
                  </w:pPr>
                  <w:r>
                    <w:rPr>
                      <w:szCs w:val="21"/>
                    </w:rPr>
                    <w:t xml:space="preserve">69 </w:t>
                  </w:r>
                </w:p>
              </w:tc>
              <w:tc>
                <w:tcPr>
                  <w:tcW w:w="271" w:type="pct"/>
                  <w:tcBorders>
                    <w:top w:val="single" w:color="000000" w:sz="6" w:space="0"/>
                    <w:left w:val="single" w:color="000000" w:sz="6" w:space="0"/>
                    <w:bottom w:val="single" w:color="000000" w:sz="6" w:space="0"/>
                    <w:right w:val="single" w:color="000000" w:sz="6" w:space="0"/>
                  </w:tcBorders>
                  <w:vAlign w:val="center"/>
                </w:tcPr>
                <w:p w14:paraId="723F7D74">
                  <w:pPr>
                    <w:jc w:val="center"/>
                    <w:rPr>
                      <w:szCs w:val="21"/>
                    </w:rPr>
                  </w:pPr>
                  <w:r>
                    <w:rPr>
                      <w:szCs w:val="21"/>
                    </w:rPr>
                    <w:t xml:space="preserve">65 </w:t>
                  </w:r>
                </w:p>
              </w:tc>
              <w:tc>
                <w:tcPr>
                  <w:tcW w:w="271" w:type="pct"/>
                  <w:tcBorders>
                    <w:top w:val="single" w:color="000000" w:sz="6" w:space="0"/>
                    <w:left w:val="single" w:color="000000" w:sz="6" w:space="0"/>
                    <w:bottom w:val="single" w:color="000000" w:sz="6" w:space="0"/>
                    <w:right w:val="single" w:color="000000" w:sz="6" w:space="0"/>
                  </w:tcBorders>
                  <w:vAlign w:val="center"/>
                </w:tcPr>
                <w:p w14:paraId="62FF313C">
                  <w:pPr>
                    <w:jc w:val="center"/>
                    <w:rPr>
                      <w:szCs w:val="21"/>
                    </w:rPr>
                  </w:pPr>
                  <w:r>
                    <w:rPr>
                      <w:szCs w:val="21"/>
                    </w:rPr>
                    <w:t xml:space="preserve">63 </w:t>
                  </w:r>
                </w:p>
              </w:tc>
              <w:tc>
                <w:tcPr>
                  <w:tcW w:w="271" w:type="pct"/>
                  <w:tcBorders>
                    <w:top w:val="single" w:color="000000" w:sz="6" w:space="0"/>
                    <w:left w:val="single" w:color="000000" w:sz="6" w:space="0"/>
                    <w:bottom w:val="single" w:color="000000" w:sz="6" w:space="0"/>
                    <w:right w:val="single" w:color="000000" w:sz="6" w:space="0"/>
                  </w:tcBorders>
                  <w:vAlign w:val="center"/>
                </w:tcPr>
                <w:p w14:paraId="2A158A27">
                  <w:pPr>
                    <w:jc w:val="center"/>
                    <w:rPr>
                      <w:szCs w:val="21"/>
                    </w:rPr>
                  </w:pPr>
                  <w:r>
                    <w:rPr>
                      <w:szCs w:val="21"/>
                    </w:rPr>
                    <w:t xml:space="preserve">61 </w:t>
                  </w:r>
                </w:p>
              </w:tc>
              <w:tc>
                <w:tcPr>
                  <w:tcW w:w="271" w:type="pct"/>
                  <w:tcBorders>
                    <w:top w:val="single" w:color="000000" w:sz="6" w:space="0"/>
                    <w:left w:val="single" w:color="000000" w:sz="6" w:space="0"/>
                    <w:bottom w:val="single" w:color="000000" w:sz="6" w:space="0"/>
                    <w:right w:val="single" w:color="000000" w:sz="6" w:space="0"/>
                  </w:tcBorders>
                  <w:vAlign w:val="center"/>
                </w:tcPr>
                <w:p w14:paraId="10788D1A">
                  <w:pPr>
                    <w:jc w:val="center"/>
                    <w:rPr>
                      <w:szCs w:val="21"/>
                    </w:rPr>
                  </w:pPr>
                  <w:r>
                    <w:rPr>
                      <w:szCs w:val="21"/>
                    </w:rPr>
                    <w:t xml:space="preserve">59 </w:t>
                  </w:r>
                </w:p>
              </w:tc>
              <w:tc>
                <w:tcPr>
                  <w:tcW w:w="271" w:type="pct"/>
                  <w:tcBorders>
                    <w:top w:val="single" w:color="000000" w:sz="6" w:space="0"/>
                    <w:left w:val="single" w:color="000000" w:sz="6" w:space="0"/>
                    <w:bottom w:val="single" w:color="000000" w:sz="6" w:space="0"/>
                    <w:right w:val="single" w:color="000000" w:sz="6" w:space="0"/>
                  </w:tcBorders>
                  <w:vAlign w:val="center"/>
                </w:tcPr>
                <w:p w14:paraId="506174C7">
                  <w:pPr>
                    <w:jc w:val="center"/>
                    <w:rPr>
                      <w:szCs w:val="21"/>
                    </w:rPr>
                  </w:pPr>
                  <w:r>
                    <w:rPr>
                      <w:szCs w:val="21"/>
                    </w:rPr>
                    <w:t xml:space="preserve">57 </w:t>
                  </w:r>
                </w:p>
              </w:tc>
              <w:tc>
                <w:tcPr>
                  <w:tcW w:w="338" w:type="pct"/>
                  <w:tcBorders>
                    <w:top w:val="single" w:color="000000" w:sz="6" w:space="0"/>
                    <w:left w:val="single" w:color="000000" w:sz="6" w:space="0"/>
                    <w:bottom w:val="single" w:color="000000" w:sz="6" w:space="0"/>
                    <w:right w:val="single" w:color="000000" w:sz="6" w:space="0"/>
                  </w:tcBorders>
                  <w:vAlign w:val="center"/>
                </w:tcPr>
                <w:p w14:paraId="2C61B1BD">
                  <w:pPr>
                    <w:jc w:val="center"/>
                    <w:rPr>
                      <w:szCs w:val="21"/>
                    </w:rPr>
                  </w:pPr>
                  <w:r>
                    <w:rPr>
                      <w:szCs w:val="21"/>
                    </w:rPr>
                    <w:t xml:space="preserve">55 </w:t>
                  </w:r>
                </w:p>
              </w:tc>
              <w:tc>
                <w:tcPr>
                  <w:tcW w:w="338" w:type="pct"/>
                  <w:tcBorders>
                    <w:top w:val="single" w:color="000000" w:sz="6" w:space="0"/>
                    <w:left w:val="single" w:color="000000" w:sz="6" w:space="0"/>
                    <w:bottom w:val="single" w:color="000000" w:sz="6" w:space="0"/>
                    <w:right w:val="single" w:color="000000" w:sz="6" w:space="0"/>
                  </w:tcBorders>
                  <w:vAlign w:val="center"/>
                </w:tcPr>
                <w:p w14:paraId="5E22CD43">
                  <w:pPr>
                    <w:jc w:val="center"/>
                    <w:rPr>
                      <w:szCs w:val="21"/>
                    </w:rPr>
                  </w:pPr>
                  <w:r>
                    <w:rPr>
                      <w:szCs w:val="21"/>
                    </w:rPr>
                    <w:t xml:space="preserve">54 </w:t>
                  </w:r>
                </w:p>
              </w:tc>
              <w:tc>
                <w:tcPr>
                  <w:tcW w:w="338" w:type="pct"/>
                  <w:tcBorders>
                    <w:top w:val="single" w:color="000000" w:sz="6" w:space="0"/>
                    <w:left w:val="single" w:color="000000" w:sz="6" w:space="0"/>
                    <w:bottom w:val="single" w:color="000000" w:sz="6" w:space="0"/>
                    <w:right w:val="single" w:color="000000" w:sz="6" w:space="0"/>
                  </w:tcBorders>
                  <w:vAlign w:val="center"/>
                </w:tcPr>
                <w:p w14:paraId="43E88FED">
                  <w:pPr>
                    <w:jc w:val="center"/>
                    <w:rPr>
                      <w:szCs w:val="21"/>
                    </w:rPr>
                  </w:pPr>
                  <w:r>
                    <w:rPr>
                      <w:szCs w:val="21"/>
                    </w:rPr>
                    <w:t xml:space="preserve">53 </w:t>
                  </w:r>
                </w:p>
              </w:tc>
              <w:tc>
                <w:tcPr>
                  <w:tcW w:w="338" w:type="pct"/>
                  <w:tcBorders>
                    <w:top w:val="single" w:color="000000" w:sz="6" w:space="0"/>
                    <w:left w:val="single" w:color="000000" w:sz="6" w:space="0"/>
                    <w:bottom w:val="single" w:color="000000" w:sz="6" w:space="0"/>
                    <w:right w:val="single" w:color="000000" w:sz="6" w:space="0"/>
                  </w:tcBorders>
                  <w:vAlign w:val="center"/>
                </w:tcPr>
                <w:p w14:paraId="2C9DFFCD">
                  <w:pPr>
                    <w:jc w:val="center"/>
                    <w:rPr>
                      <w:szCs w:val="21"/>
                    </w:rPr>
                  </w:pPr>
                  <w:r>
                    <w:rPr>
                      <w:szCs w:val="21"/>
                    </w:rPr>
                    <w:t xml:space="preserve">51 </w:t>
                  </w:r>
                </w:p>
              </w:tc>
              <w:tc>
                <w:tcPr>
                  <w:tcW w:w="338" w:type="pct"/>
                  <w:tcBorders>
                    <w:top w:val="single" w:color="000000" w:sz="6" w:space="0"/>
                    <w:left w:val="single" w:color="000000" w:sz="6" w:space="0"/>
                    <w:bottom w:val="single" w:color="000000" w:sz="6" w:space="0"/>
                    <w:right w:val="single" w:color="000000" w:sz="6" w:space="0"/>
                  </w:tcBorders>
                  <w:vAlign w:val="center"/>
                </w:tcPr>
                <w:p w14:paraId="4E7D2B74">
                  <w:pPr>
                    <w:jc w:val="center"/>
                    <w:rPr>
                      <w:szCs w:val="21"/>
                    </w:rPr>
                  </w:pPr>
                  <w:r>
                    <w:rPr>
                      <w:szCs w:val="21"/>
                    </w:rPr>
                    <w:t xml:space="preserve">49 </w:t>
                  </w:r>
                </w:p>
              </w:tc>
              <w:tc>
                <w:tcPr>
                  <w:tcW w:w="338" w:type="pct"/>
                  <w:tcBorders>
                    <w:top w:val="single" w:color="000000" w:sz="6" w:space="0"/>
                    <w:left w:val="single" w:color="000000" w:sz="6" w:space="0"/>
                    <w:bottom w:val="single" w:color="000000" w:sz="6" w:space="0"/>
                    <w:right w:val="single" w:color="000000" w:sz="6" w:space="0"/>
                  </w:tcBorders>
                  <w:vAlign w:val="center"/>
                </w:tcPr>
                <w:p w14:paraId="3AAB29B0">
                  <w:pPr>
                    <w:jc w:val="center"/>
                    <w:rPr>
                      <w:szCs w:val="21"/>
                    </w:rPr>
                  </w:pPr>
                  <w:r>
                    <w:rPr>
                      <w:szCs w:val="21"/>
                    </w:rPr>
                    <w:t xml:space="preserve">44 </w:t>
                  </w:r>
                </w:p>
              </w:tc>
            </w:tr>
          </w:tbl>
          <w:p w14:paraId="7661466F">
            <w:pPr>
              <w:adjustRightInd w:val="0"/>
              <w:snapToGrid w:val="0"/>
              <w:spacing w:line="360" w:lineRule="auto"/>
              <w:ind w:firstLine="480" w:firstLineChars="200"/>
              <w:rPr>
                <w:rFonts w:hAnsi="宋体"/>
                <w:bCs/>
                <w:sz w:val="24"/>
                <w:szCs w:val="21"/>
              </w:rPr>
            </w:pPr>
            <w:r>
              <w:rPr>
                <w:rFonts w:hint="eastAsia" w:hAnsi="宋体"/>
                <w:sz w:val="24"/>
                <w:szCs w:val="32"/>
              </w:rPr>
              <w:t>根据项目施工计划，本项目仅在昼间施工。由表</w:t>
            </w:r>
            <w:r>
              <w:rPr>
                <w:rFonts w:hAnsi="宋体"/>
                <w:sz w:val="24"/>
                <w:szCs w:val="32"/>
              </w:rPr>
              <w:t>4-1</w:t>
            </w:r>
            <w:r>
              <w:rPr>
                <w:rFonts w:hint="eastAsia" w:hAnsi="宋体"/>
                <w:sz w:val="24"/>
                <w:szCs w:val="32"/>
              </w:rPr>
              <w:t>可知，一般情况下，按《建筑施工场界环境噪声排放标准》（</w:t>
            </w:r>
            <w:r>
              <w:rPr>
                <w:rFonts w:hAnsi="宋体"/>
                <w:sz w:val="24"/>
                <w:szCs w:val="32"/>
              </w:rPr>
              <w:t>GB12523-2011</w:t>
            </w:r>
            <w:r>
              <w:rPr>
                <w:rFonts w:hint="eastAsia" w:hAnsi="宋体"/>
                <w:sz w:val="24"/>
                <w:szCs w:val="32"/>
              </w:rPr>
              <w:t>）衡量，施工噪声昼间在</w:t>
            </w:r>
            <w:r>
              <w:rPr>
                <w:rFonts w:hAnsi="宋体"/>
                <w:sz w:val="24"/>
                <w:szCs w:val="32"/>
              </w:rPr>
              <w:t>10m</w:t>
            </w:r>
            <w:r>
              <w:rPr>
                <w:rFonts w:hint="eastAsia" w:hAnsi="宋体"/>
                <w:sz w:val="24"/>
                <w:szCs w:val="32"/>
              </w:rPr>
              <w:t>外可达标排放。项目</w:t>
            </w:r>
            <w:r>
              <w:rPr>
                <w:rFonts w:hAnsi="宋体"/>
                <w:sz w:val="24"/>
                <w:szCs w:val="32"/>
              </w:rPr>
              <w:t>施工期声环境保护措施如下</w:t>
            </w:r>
            <w:r>
              <w:rPr>
                <w:rFonts w:hint="eastAsia" w:hAnsi="宋体"/>
                <w:sz w:val="24"/>
                <w:szCs w:val="32"/>
              </w:rPr>
              <w:t>：</w:t>
            </w:r>
          </w:p>
          <w:p w14:paraId="57D2FB58">
            <w:pPr>
              <w:adjustRightInd w:val="0"/>
              <w:snapToGrid w:val="0"/>
              <w:spacing w:line="360" w:lineRule="auto"/>
              <w:ind w:firstLine="480" w:firstLineChars="200"/>
              <w:rPr>
                <w:rFonts w:hAnsi="宋体"/>
                <w:bCs/>
                <w:sz w:val="24"/>
                <w:szCs w:val="21"/>
              </w:rPr>
            </w:pPr>
            <w:r>
              <w:rPr>
                <w:rFonts w:hint="eastAsia" w:hAnsi="宋体"/>
                <w:bCs/>
                <w:sz w:val="24"/>
                <w:szCs w:val="21"/>
              </w:rPr>
              <w:t>（1）施工单位必须选用符合国家有关标准的施工机具，尽量选用低噪声的施工机械或工艺，从根本上降低噪声源强。同时加强施工机械的维护保养，避免由于设备性能差而使机械噪声增大的现象发生。安排工人轮流进行机械操作，减少接触高噪声的时间；对在声源附近工作时间较长的工人，发放防声耳塞、头盔等，对工人进行自身保护。</w:t>
            </w:r>
          </w:p>
          <w:p w14:paraId="49FD7038">
            <w:pPr>
              <w:adjustRightInd w:val="0"/>
              <w:snapToGrid w:val="0"/>
              <w:spacing w:line="360" w:lineRule="auto"/>
              <w:ind w:firstLine="480" w:firstLineChars="200"/>
              <w:rPr>
                <w:rFonts w:hAnsi="宋体"/>
                <w:bCs/>
                <w:sz w:val="24"/>
                <w:szCs w:val="21"/>
              </w:rPr>
            </w:pPr>
            <w:r>
              <w:rPr>
                <w:rFonts w:hint="eastAsia" w:hAnsi="宋体"/>
                <w:bCs/>
                <w:sz w:val="24"/>
                <w:szCs w:val="21"/>
              </w:rPr>
              <w:t>（2）施工单位因生产工艺要求或者特殊需要必须夜间在噪声敏感建筑物集中区域进行产生环境噪声污染的勘探、施工、装修、装卸等作业的，应当在开始施工四个工作日前向所在地环境保护主管部门申报夜间作业的原因、时段、作业点、使用机具的种类、数量以及施工场界噪声最大值（场界噪声最大值不能确定的，以施工机具说明书载明的噪声排放最大值代替），并出示市政、建设等有关部门的证明，以取得《重庆市夜间作业审核意见书》。</w:t>
            </w:r>
          </w:p>
          <w:p w14:paraId="5129C102">
            <w:pPr>
              <w:adjustRightInd w:val="0"/>
              <w:snapToGrid w:val="0"/>
              <w:spacing w:line="360" w:lineRule="auto"/>
              <w:ind w:firstLine="480" w:firstLineChars="200"/>
              <w:rPr>
                <w:rFonts w:hAnsi="宋体"/>
                <w:bCs/>
                <w:sz w:val="24"/>
                <w:szCs w:val="21"/>
              </w:rPr>
            </w:pPr>
            <w:r>
              <w:rPr>
                <w:rFonts w:hint="eastAsia" w:hAnsi="宋体"/>
                <w:bCs/>
                <w:sz w:val="24"/>
                <w:szCs w:val="21"/>
              </w:rPr>
              <w:t>（3）推广使用低噪声机具和工艺，禁止使用高噪声设备，禁止采用现场搅拌混凝土等产生高噪声的施工作业方式；推广使用先进的低噪声施工机具，施工过程中使用推土机、挖掘机、装载机、振捣棒、电锯、吊车、升降机等机具时，昼间、夜间场界噪声必须满足《建筑施工场界环境噪声排放标准》（GB12523-2011）。</w:t>
            </w:r>
          </w:p>
          <w:p w14:paraId="3B1C32F5">
            <w:pPr>
              <w:adjustRightInd w:val="0"/>
              <w:snapToGrid w:val="0"/>
              <w:spacing w:line="360" w:lineRule="auto"/>
              <w:ind w:firstLine="480" w:firstLineChars="200"/>
              <w:rPr>
                <w:rFonts w:hAnsi="宋体"/>
                <w:bCs/>
                <w:sz w:val="24"/>
                <w:szCs w:val="21"/>
              </w:rPr>
            </w:pPr>
            <w:r>
              <w:rPr>
                <w:rFonts w:hint="eastAsia" w:hAnsi="宋体"/>
                <w:bCs/>
                <w:sz w:val="24"/>
                <w:szCs w:val="21"/>
              </w:rPr>
              <w:t>（4）合理布置施工机械，尽可能将高噪声设备设置场地南侧，尽量远离环境保护目标，并安放在临时建筑房内作业，使较强噪声源尽可能远离敏感点。必须禁鸣、限速。</w:t>
            </w:r>
          </w:p>
          <w:p w14:paraId="2630B404">
            <w:pPr>
              <w:adjustRightInd w:val="0"/>
              <w:snapToGrid w:val="0"/>
              <w:spacing w:line="360" w:lineRule="auto"/>
              <w:ind w:firstLine="480" w:firstLineChars="200"/>
              <w:rPr>
                <w:rFonts w:hAnsi="宋体"/>
                <w:bCs/>
                <w:sz w:val="24"/>
                <w:szCs w:val="21"/>
              </w:rPr>
            </w:pPr>
            <w:r>
              <w:rPr>
                <w:rFonts w:hint="eastAsia" w:hAnsi="宋体"/>
                <w:bCs/>
                <w:sz w:val="24"/>
                <w:szCs w:val="21"/>
              </w:rPr>
              <w:t>（5）加强施工公示。在噪声敏感建筑物集中区域内进行施工作业的，施工单位应在施工现场显目位置向群众公示项目名称、项目建设内容和时间、项目业主联系方式、施工单位名称、工地负责人及联系方式、可能产生的噪声污染和采取的防治措施。</w:t>
            </w:r>
          </w:p>
          <w:p w14:paraId="5B86A14F">
            <w:pPr>
              <w:pStyle w:val="11"/>
              <w:spacing w:before="0" w:after="0" w:line="360" w:lineRule="auto"/>
              <w:ind w:right="0" w:firstLine="480" w:firstLineChars="200"/>
              <w:rPr>
                <w:sz w:val="24"/>
                <w:szCs w:val="21"/>
              </w:rPr>
            </w:pPr>
            <w:r>
              <w:rPr>
                <w:rFonts w:hint="eastAsia"/>
                <w:sz w:val="24"/>
                <w:szCs w:val="21"/>
              </w:rPr>
              <w:t>（6）建设单位和施工单位加强施工期的管理，施工单位选用低噪声、低振动的施工机械设备，购买商品混凝土，避免使用混凝土搅拌机。限制施工场地使用蒸汽打桩机柴油打桩机和锤式打桩机等冲击打桩机、风锤等设备作业。施工单位应设专人对设备进行定期保养和维护，并负责对现场工作人员进行培训，以便使每个员工严格按操作规范使用各类机械，避免因机械故障产生突发噪声。运载建筑材料及建筑垃圾的车辆要选择合适的时间路线进行运输，运输车辆行驶路线应尽量避开居民点。</w:t>
            </w:r>
          </w:p>
          <w:p w14:paraId="756C3DD4">
            <w:pPr>
              <w:pStyle w:val="12"/>
              <w:spacing w:after="0" w:line="360" w:lineRule="auto"/>
              <w:ind w:left="0" w:leftChars="0" w:firstLine="480" w:firstLineChars="200"/>
              <w:rPr>
                <w:szCs w:val="21"/>
              </w:rPr>
            </w:pPr>
            <w:r>
              <w:rPr>
                <w:rFonts w:hint="eastAsia"/>
                <w:szCs w:val="21"/>
              </w:rPr>
              <w:t>通过采取以上措施，施工噪声对外界影响较小。随着施工的结束，施工噪声也消失，无长期影响。</w:t>
            </w:r>
          </w:p>
          <w:p w14:paraId="08A0E8E0">
            <w:pPr>
              <w:spacing w:line="360" w:lineRule="auto"/>
              <w:rPr>
                <w:b/>
                <w:sz w:val="24"/>
                <w:szCs w:val="21"/>
              </w:rPr>
            </w:pPr>
            <w:r>
              <w:rPr>
                <w:b/>
                <w:sz w:val="24"/>
                <w:szCs w:val="21"/>
              </w:rPr>
              <w:t>4、固</w:t>
            </w:r>
            <w:r>
              <w:rPr>
                <w:rFonts w:hint="eastAsia"/>
                <w:b/>
                <w:sz w:val="24"/>
                <w:szCs w:val="21"/>
              </w:rPr>
              <w:t>体</w:t>
            </w:r>
            <w:r>
              <w:rPr>
                <w:b/>
                <w:sz w:val="24"/>
                <w:szCs w:val="21"/>
              </w:rPr>
              <w:t>废物影响分析及</w:t>
            </w:r>
            <w:r>
              <w:rPr>
                <w:rFonts w:hint="eastAsia"/>
                <w:b/>
                <w:sz w:val="24"/>
                <w:szCs w:val="21"/>
              </w:rPr>
              <w:t>治理</w:t>
            </w:r>
            <w:r>
              <w:rPr>
                <w:b/>
                <w:sz w:val="24"/>
                <w:szCs w:val="21"/>
              </w:rPr>
              <w:t>措施</w:t>
            </w:r>
          </w:p>
          <w:p w14:paraId="63633D89">
            <w:pPr>
              <w:adjustRightInd w:val="0"/>
              <w:snapToGrid w:val="0"/>
              <w:spacing w:line="360" w:lineRule="auto"/>
              <w:ind w:firstLine="480" w:firstLineChars="200"/>
              <w:rPr>
                <w:rFonts w:hAnsi="宋体"/>
                <w:bCs/>
                <w:sz w:val="24"/>
                <w:szCs w:val="21"/>
              </w:rPr>
            </w:pPr>
            <w:r>
              <w:rPr>
                <w:rFonts w:hint="eastAsia" w:hAnsi="宋体"/>
                <w:bCs/>
                <w:sz w:val="24"/>
                <w:szCs w:val="21"/>
              </w:rPr>
              <w:t>施工期产生的固体废物主要为弃土弃渣、建筑垃圾和生活垃圾。项目场地已由园区进行平场，不作大的挖方和填方，施工期间土石方产生量小，可在场地内平衡；施工及装修过程中产生的建筑垃圾运至园区指定弃渣场处置；施工人员生活垃圾交由环卫部门清运处置。</w:t>
            </w:r>
          </w:p>
          <w:p w14:paraId="57AB24B6">
            <w:pPr>
              <w:adjustRightInd w:val="0"/>
              <w:snapToGrid w:val="0"/>
              <w:spacing w:line="360" w:lineRule="auto"/>
              <w:ind w:firstLine="480" w:firstLineChars="200"/>
              <w:rPr>
                <w:bCs/>
                <w:spacing w:val="-10"/>
                <w:sz w:val="24"/>
                <w:szCs w:val="21"/>
              </w:rPr>
            </w:pPr>
            <w:r>
              <w:rPr>
                <w:rFonts w:hAnsi="宋体"/>
                <w:bCs/>
                <w:sz w:val="24"/>
                <w:szCs w:val="21"/>
              </w:rPr>
              <w:t>施工期固体废物经妥善处理后对环境影响小。</w:t>
            </w:r>
          </w:p>
        </w:tc>
      </w:tr>
      <w:tr w14:paraId="295B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14:paraId="18E23A09">
            <w:pPr>
              <w:adjustRightInd w:val="0"/>
              <w:snapToGrid w:val="0"/>
              <w:jc w:val="center"/>
              <w:rPr>
                <w:bCs/>
                <w:szCs w:val="21"/>
              </w:rPr>
            </w:pPr>
            <w:r>
              <w:rPr>
                <w:bCs/>
                <w:szCs w:val="21"/>
              </w:rPr>
              <w:t>运营</w:t>
            </w:r>
          </w:p>
          <w:p w14:paraId="28A439B1">
            <w:pPr>
              <w:adjustRightInd w:val="0"/>
              <w:snapToGrid w:val="0"/>
              <w:jc w:val="center"/>
              <w:rPr>
                <w:bCs/>
                <w:szCs w:val="21"/>
              </w:rPr>
            </w:pPr>
            <w:r>
              <w:rPr>
                <w:bCs/>
                <w:szCs w:val="21"/>
              </w:rPr>
              <w:t>期环</w:t>
            </w:r>
          </w:p>
          <w:p w14:paraId="0DD5AF96">
            <w:pPr>
              <w:adjustRightInd w:val="0"/>
              <w:snapToGrid w:val="0"/>
              <w:jc w:val="center"/>
              <w:rPr>
                <w:bCs/>
                <w:szCs w:val="21"/>
              </w:rPr>
            </w:pPr>
            <w:r>
              <w:rPr>
                <w:bCs/>
                <w:szCs w:val="21"/>
              </w:rPr>
              <w:t>境影</w:t>
            </w:r>
          </w:p>
          <w:p w14:paraId="36DAAF5D">
            <w:pPr>
              <w:adjustRightInd w:val="0"/>
              <w:snapToGrid w:val="0"/>
              <w:jc w:val="center"/>
              <w:rPr>
                <w:bCs/>
                <w:szCs w:val="21"/>
              </w:rPr>
            </w:pPr>
            <w:r>
              <w:rPr>
                <w:bCs/>
                <w:szCs w:val="21"/>
              </w:rPr>
              <w:t>响和</w:t>
            </w:r>
          </w:p>
          <w:p w14:paraId="6B061687">
            <w:pPr>
              <w:adjustRightInd w:val="0"/>
              <w:snapToGrid w:val="0"/>
              <w:jc w:val="center"/>
              <w:rPr>
                <w:bCs/>
                <w:szCs w:val="21"/>
              </w:rPr>
            </w:pPr>
            <w:r>
              <w:rPr>
                <w:bCs/>
                <w:szCs w:val="21"/>
              </w:rPr>
              <w:t>保护</w:t>
            </w:r>
          </w:p>
          <w:p w14:paraId="0455FFE5">
            <w:pPr>
              <w:adjustRightInd w:val="0"/>
              <w:snapToGrid w:val="0"/>
              <w:jc w:val="center"/>
              <w:rPr>
                <w:bCs/>
                <w:szCs w:val="21"/>
              </w:rPr>
            </w:pPr>
            <w:r>
              <w:rPr>
                <w:bCs/>
                <w:szCs w:val="21"/>
              </w:rPr>
              <w:t>措施</w:t>
            </w:r>
          </w:p>
        </w:tc>
        <w:tc>
          <w:tcPr>
            <w:tcW w:w="8162" w:type="dxa"/>
            <w:vAlign w:val="center"/>
          </w:tcPr>
          <w:p w14:paraId="4BC8B44B">
            <w:pPr>
              <w:adjustRightInd w:val="0"/>
              <w:snapToGrid w:val="0"/>
              <w:spacing w:line="360" w:lineRule="auto"/>
              <w:rPr>
                <w:b/>
                <w:bCs/>
                <w:spacing w:val="-10"/>
                <w:sz w:val="24"/>
              </w:rPr>
            </w:pPr>
            <w:r>
              <w:rPr>
                <w:b/>
                <w:bCs/>
                <w:spacing w:val="-10"/>
                <w:sz w:val="24"/>
              </w:rPr>
              <w:t>1、废气</w:t>
            </w:r>
          </w:p>
          <w:p w14:paraId="2718AA85">
            <w:pPr>
              <w:adjustRightInd w:val="0"/>
              <w:snapToGrid w:val="0"/>
              <w:spacing w:line="360" w:lineRule="auto"/>
              <w:ind w:firstLine="440" w:firstLineChars="200"/>
              <w:rPr>
                <w:bCs/>
                <w:spacing w:val="-10"/>
                <w:sz w:val="24"/>
              </w:rPr>
            </w:pPr>
            <w:r>
              <w:rPr>
                <w:bCs/>
                <w:spacing w:val="-10"/>
                <w:sz w:val="24"/>
              </w:rPr>
              <w:t>（1）废气产污环节及污染物种类</w:t>
            </w:r>
          </w:p>
          <w:p w14:paraId="3F7C145B">
            <w:pPr>
              <w:adjustRightInd w:val="0"/>
              <w:snapToGrid w:val="0"/>
              <w:spacing w:line="360" w:lineRule="auto"/>
              <w:ind w:firstLine="440" w:firstLineChars="200"/>
              <w:rPr>
                <w:bCs/>
                <w:spacing w:val="-10"/>
                <w:sz w:val="24"/>
              </w:rPr>
            </w:pPr>
            <w:r>
              <w:rPr>
                <w:bCs/>
                <w:spacing w:val="-10"/>
                <w:sz w:val="24"/>
              </w:rPr>
              <w:t>根据前文工艺流程及产污环节分析结果，统计废气产污环节及类型见表4-2</w:t>
            </w:r>
            <w:r>
              <w:rPr>
                <w:rFonts w:hint="eastAsia"/>
                <w:bCs/>
                <w:spacing w:val="-10"/>
                <w:sz w:val="24"/>
              </w:rPr>
              <w:t>。</w:t>
            </w:r>
          </w:p>
          <w:p w14:paraId="13EBFC60">
            <w:pPr>
              <w:adjustRightInd w:val="0"/>
              <w:snapToGrid w:val="0"/>
              <w:spacing w:line="360" w:lineRule="auto"/>
              <w:jc w:val="center"/>
              <w:rPr>
                <w:bCs/>
                <w:sz w:val="24"/>
              </w:rPr>
            </w:pPr>
            <w:r>
              <w:rPr>
                <w:bCs/>
                <w:sz w:val="24"/>
              </w:rPr>
              <w:t>表4-2  项目产污节点及污染物类型</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1699"/>
              <w:gridCol w:w="2066"/>
              <w:gridCol w:w="2063"/>
            </w:tblGrid>
            <w:tr w14:paraId="457B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vMerge w:val="restart"/>
                  <w:tcBorders>
                    <w:left w:val="single" w:color="auto" w:sz="2" w:space="0"/>
                  </w:tcBorders>
                  <w:shd w:val="clear" w:color="auto" w:fill="auto"/>
                  <w:vAlign w:val="center"/>
                </w:tcPr>
                <w:p w14:paraId="5EBEC53C">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工艺环节</w:t>
                  </w:r>
                </w:p>
              </w:tc>
              <w:tc>
                <w:tcPr>
                  <w:tcW w:w="3673" w:type="pct"/>
                  <w:gridSpan w:val="3"/>
                  <w:shd w:val="clear" w:color="auto" w:fill="auto"/>
                  <w:vAlign w:val="center"/>
                </w:tcPr>
                <w:p w14:paraId="2AC4994F">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废气</w:t>
                  </w:r>
                </w:p>
              </w:tc>
            </w:tr>
            <w:tr w14:paraId="5C2B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vMerge w:val="continue"/>
                  <w:tcBorders>
                    <w:left w:val="single" w:color="auto" w:sz="2" w:space="0"/>
                  </w:tcBorders>
                  <w:shd w:val="clear" w:color="auto" w:fill="auto"/>
                  <w:vAlign w:val="center"/>
                </w:tcPr>
                <w:p w14:paraId="1EC28A4B">
                  <w:pPr>
                    <w:pStyle w:val="61"/>
                    <w:adjustRightInd w:val="0"/>
                    <w:snapToGrid w:val="0"/>
                    <w:spacing w:before="0" w:after="0" w:line="240" w:lineRule="auto"/>
                    <w:ind w:left="-63" w:leftChars="-30" w:right="-63" w:rightChars="-30" w:firstLine="0"/>
                    <w:jc w:val="center"/>
                    <w:rPr>
                      <w:rFonts w:eastAsia="宋体"/>
                      <w:sz w:val="21"/>
                      <w:szCs w:val="21"/>
                    </w:rPr>
                  </w:pPr>
                </w:p>
              </w:tc>
              <w:tc>
                <w:tcPr>
                  <w:tcW w:w="1071" w:type="pct"/>
                  <w:shd w:val="clear" w:color="auto" w:fill="auto"/>
                  <w:vAlign w:val="center"/>
                </w:tcPr>
                <w:p w14:paraId="32849D05">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编号</w:t>
                  </w:r>
                </w:p>
              </w:tc>
              <w:tc>
                <w:tcPr>
                  <w:tcW w:w="1302" w:type="pct"/>
                  <w:shd w:val="clear" w:color="auto" w:fill="auto"/>
                  <w:vAlign w:val="center"/>
                </w:tcPr>
                <w:p w14:paraId="102DA04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污染物</w:t>
                  </w:r>
                </w:p>
              </w:tc>
              <w:tc>
                <w:tcPr>
                  <w:tcW w:w="1301" w:type="pct"/>
                  <w:shd w:val="clear" w:color="auto" w:fill="auto"/>
                  <w:vAlign w:val="center"/>
                </w:tcPr>
                <w:p w14:paraId="0A458E35">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污染因子</w:t>
                  </w:r>
                </w:p>
              </w:tc>
            </w:tr>
            <w:tr w14:paraId="0BB8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tcBorders>
                    <w:left w:val="single" w:color="auto" w:sz="2" w:space="0"/>
                  </w:tcBorders>
                  <w:shd w:val="clear" w:color="auto" w:fill="auto"/>
                  <w:vAlign w:val="center"/>
                </w:tcPr>
                <w:p w14:paraId="0A88403E">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熔化工序</w:t>
                  </w:r>
                </w:p>
              </w:tc>
              <w:tc>
                <w:tcPr>
                  <w:tcW w:w="1071" w:type="pct"/>
                  <w:shd w:val="clear" w:color="auto" w:fill="auto"/>
                  <w:vAlign w:val="center"/>
                </w:tcPr>
                <w:p w14:paraId="68F9FBA4">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G1</w:t>
                  </w:r>
                </w:p>
              </w:tc>
              <w:tc>
                <w:tcPr>
                  <w:tcW w:w="1302" w:type="pct"/>
                  <w:shd w:val="clear" w:color="auto" w:fill="auto"/>
                  <w:vAlign w:val="center"/>
                </w:tcPr>
                <w:p w14:paraId="188555EE">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熔化废气</w:t>
                  </w:r>
                </w:p>
              </w:tc>
              <w:tc>
                <w:tcPr>
                  <w:tcW w:w="1301" w:type="pct"/>
                  <w:shd w:val="clear" w:color="auto" w:fill="auto"/>
                  <w:vAlign w:val="center"/>
                </w:tcPr>
                <w:p w14:paraId="5480AAEB">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颗粒物、SO</w:t>
                  </w:r>
                  <w:r>
                    <w:rPr>
                      <w:rFonts w:eastAsia="宋体"/>
                      <w:sz w:val="21"/>
                      <w:szCs w:val="21"/>
                      <w:vertAlign w:val="subscript"/>
                    </w:rPr>
                    <w:t>2</w:t>
                  </w:r>
                  <w:r>
                    <w:rPr>
                      <w:rFonts w:eastAsia="宋体"/>
                      <w:sz w:val="21"/>
                      <w:szCs w:val="21"/>
                    </w:rPr>
                    <w:t>、NO</w:t>
                  </w:r>
                  <w:r>
                    <w:rPr>
                      <w:rFonts w:hint="eastAsia" w:eastAsia="宋体"/>
                      <w:sz w:val="21"/>
                      <w:szCs w:val="21"/>
                      <w:vertAlign w:val="subscript"/>
                    </w:rPr>
                    <w:t>x</w:t>
                  </w:r>
                  <w:r>
                    <w:rPr>
                      <w:rFonts w:hint="eastAsia" w:eastAsia="宋体"/>
                      <w:sz w:val="21"/>
                      <w:szCs w:val="21"/>
                    </w:rPr>
                    <w:t>、氯化氢</w:t>
                  </w:r>
                </w:p>
              </w:tc>
            </w:tr>
            <w:tr w14:paraId="3F0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vMerge w:val="restart"/>
                  <w:tcBorders>
                    <w:left w:val="single" w:color="auto" w:sz="2" w:space="0"/>
                  </w:tcBorders>
                  <w:shd w:val="clear" w:color="auto" w:fill="auto"/>
                  <w:vAlign w:val="center"/>
                </w:tcPr>
                <w:p w14:paraId="7A8A7D09">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压铸工序</w:t>
                  </w:r>
                </w:p>
              </w:tc>
              <w:tc>
                <w:tcPr>
                  <w:tcW w:w="1071" w:type="pct"/>
                  <w:shd w:val="clear" w:color="auto" w:fill="auto"/>
                  <w:vAlign w:val="center"/>
                </w:tcPr>
                <w:p w14:paraId="7E23A7A4">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G2</w:t>
                  </w:r>
                </w:p>
              </w:tc>
              <w:tc>
                <w:tcPr>
                  <w:tcW w:w="1302" w:type="pct"/>
                  <w:shd w:val="clear" w:color="auto" w:fill="auto"/>
                  <w:vAlign w:val="center"/>
                </w:tcPr>
                <w:p w14:paraId="0DC38A62">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保温炉废气</w:t>
                  </w:r>
                </w:p>
              </w:tc>
              <w:tc>
                <w:tcPr>
                  <w:tcW w:w="1301" w:type="pct"/>
                  <w:shd w:val="clear" w:color="auto" w:fill="auto"/>
                  <w:vAlign w:val="center"/>
                </w:tcPr>
                <w:p w14:paraId="52D49BF8">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颗粒物、SO</w:t>
                  </w:r>
                  <w:r>
                    <w:rPr>
                      <w:rFonts w:eastAsia="宋体"/>
                      <w:sz w:val="21"/>
                      <w:szCs w:val="21"/>
                      <w:vertAlign w:val="subscript"/>
                    </w:rPr>
                    <w:t>2</w:t>
                  </w:r>
                  <w:r>
                    <w:rPr>
                      <w:rFonts w:eastAsia="宋体"/>
                      <w:sz w:val="21"/>
                      <w:szCs w:val="21"/>
                    </w:rPr>
                    <w:t>、NO</w:t>
                  </w:r>
                  <w:r>
                    <w:rPr>
                      <w:rFonts w:hint="eastAsia" w:eastAsia="宋体"/>
                      <w:sz w:val="21"/>
                      <w:szCs w:val="21"/>
                      <w:vertAlign w:val="subscript"/>
                    </w:rPr>
                    <w:t>x</w:t>
                  </w:r>
                </w:p>
              </w:tc>
            </w:tr>
            <w:tr w14:paraId="4173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vMerge w:val="continue"/>
                  <w:tcBorders>
                    <w:left w:val="single" w:color="auto" w:sz="2" w:space="0"/>
                  </w:tcBorders>
                  <w:shd w:val="clear" w:color="auto" w:fill="auto"/>
                  <w:vAlign w:val="center"/>
                </w:tcPr>
                <w:p w14:paraId="4AC50963">
                  <w:pPr>
                    <w:pStyle w:val="61"/>
                    <w:adjustRightInd w:val="0"/>
                    <w:snapToGrid w:val="0"/>
                    <w:spacing w:before="0" w:after="0" w:line="240" w:lineRule="auto"/>
                    <w:ind w:left="-63" w:leftChars="-30" w:right="-63" w:rightChars="-30" w:firstLine="0"/>
                    <w:jc w:val="center"/>
                    <w:rPr>
                      <w:rFonts w:eastAsia="宋体"/>
                      <w:sz w:val="21"/>
                      <w:szCs w:val="21"/>
                    </w:rPr>
                  </w:pPr>
                </w:p>
              </w:tc>
              <w:tc>
                <w:tcPr>
                  <w:tcW w:w="1071" w:type="pct"/>
                  <w:shd w:val="clear" w:color="auto" w:fill="auto"/>
                  <w:vAlign w:val="center"/>
                </w:tcPr>
                <w:p w14:paraId="27C9664A">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G3</w:t>
                  </w:r>
                </w:p>
              </w:tc>
              <w:tc>
                <w:tcPr>
                  <w:tcW w:w="1302" w:type="pct"/>
                  <w:shd w:val="clear" w:color="auto" w:fill="auto"/>
                  <w:vAlign w:val="center"/>
                </w:tcPr>
                <w:p w14:paraId="3B8DC848">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压铸脱模废气</w:t>
                  </w:r>
                </w:p>
              </w:tc>
              <w:tc>
                <w:tcPr>
                  <w:tcW w:w="1301" w:type="pct"/>
                  <w:shd w:val="clear" w:color="auto" w:fill="auto"/>
                  <w:vAlign w:val="center"/>
                </w:tcPr>
                <w:p w14:paraId="29AED382">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非甲烷总烃</w:t>
                  </w:r>
                </w:p>
              </w:tc>
            </w:tr>
            <w:tr w14:paraId="47F7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shd w:val="clear" w:color="auto" w:fill="auto"/>
                  <w:vAlign w:val="center"/>
                </w:tcPr>
                <w:p w14:paraId="50EAABD1">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表面清理工序</w:t>
                  </w:r>
                </w:p>
              </w:tc>
              <w:tc>
                <w:tcPr>
                  <w:tcW w:w="1071" w:type="pct"/>
                  <w:shd w:val="clear" w:color="auto" w:fill="auto"/>
                  <w:vAlign w:val="center"/>
                </w:tcPr>
                <w:p w14:paraId="0926DABC">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G4</w:t>
                  </w:r>
                </w:p>
              </w:tc>
              <w:tc>
                <w:tcPr>
                  <w:tcW w:w="1302" w:type="pct"/>
                  <w:shd w:val="clear" w:color="auto" w:fill="auto"/>
                  <w:vAlign w:val="center"/>
                </w:tcPr>
                <w:p w14:paraId="4714D74F">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清理废气</w:t>
                  </w:r>
                </w:p>
              </w:tc>
              <w:tc>
                <w:tcPr>
                  <w:tcW w:w="1301" w:type="pct"/>
                  <w:shd w:val="clear" w:color="auto" w:fill="auto"/>
                  <w:vAlign w:val="center"/>
                </w:tcPr>
                <w:p w14:paraId="250664E3">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颗粒物</w:t>
                  </w:r>
                </w:p>
              </w:tc>
            </w:tr>
            <w:tr w14:paraId="1877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shd w:val="clear" w:color="auto" w:fill="auto"/>
                  <w:vAlign w:val="center"/>
                </w:tcPr>
                <w:p w14:paraId="5506ACB7">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抛丸工序</w:t>
                  </w:r>
                </w:p>
              </w:tc>
              <w:tc>
                <w:tcPr>
                  <w:tcW w:w="1071" w:type="pct"/>
                  <w:shd w:val="clear" w:color="auto" w:fill="auto"/>
                  <w:vAlign w:val="center"/>
                </w:tcPr>
                <w:p w14:paraId="6D328AB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G5</w:t>
                  </w:r>
                </w:p>
              </w:tc>
              <w:tc>
                <w:tcPr>
                  <w:tcW w:w="1302" w:type="pct"/>
                  <w:shd w:val="clear" w:color="auto" w:fill="auto"/>
                  <w:vAlign w:val="center"/>
                </w:tcPr>
                <w:p w14:paraId="399CB203">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抛丸粉尘</w:t>
                  </w:r>
                </w:p>
              </w:tc>
              <w:tc>
                <w:tcPr>
                  <w:tcW w:w="1301" w:type="pct"/>
                  <w:shd w:val="clear" w:color="auto" w:fill="auto"/>
                  <w:vAlign w:val="center"/>
                </w:tcPr>
                <w:p w14:paraId="221EED6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颗粒物</w:t>
                  </w:r>
                </w:p>
              </w:tc>
            </w:tr>
            <w:tr w14:paraId="1E8D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shd w:val="clear" w:color="auto" w:fill="auto"/>
                  <w:vAlign w:val="center"/>
                </w:tcPr>
                <w:p w14:paraId="3E3E0749">
                  <w:pPr>
                    <w:pStyle w:val="61"/>
                    <w:adjustRightInd w:val="0"/>
                    <w:snapToGrid w:val="0"/>
                    <w:spacing w:before="0" w:after="0" w:line="240" w:lineRule="auto"/>
                    <w:ind w:left="-63" w:leftChars="-30" w:right="-63" w:rightChars="-30" w:firstLine="0"/>
                    <w:jc w:val="center"/>
                    <w:rPr>
                      <w:rFonts w:ascii="宋体" w:hAnsi="宋体" w:eastAsia="宋体"/>
                      <w:sz w:val="21"/>
                      <w:szCs w:val="21"/>
                    </w:rPr>
                  </w:pPr>
                  <w:r>
                    <w:rPr>
                      <w:rFonts w:ascii="宋体" w:hAnsi="宋体" w:eastAsia="宋体"/>
                      <w:sz w:val="21"/>
                      <w:szCs w:val="21"/>
                    </w:rPr>
                    <w:t>模具</w:t>
                  </w:r>
                  <w:r>
                    <w:rPr>
                      <w:rFonts w:ascii="宋体" w:hAnsi="宋体" w:eastAsia="宋体"/>
                      <w:bCs w:val="0"/>
                      <w:sz w:val="21"/>
                      <w:szCs w:val="21"/>
                    </w:rPr>
                    <w:t>模具维修工序</w:t>
                  </w:r>
                </w:p>
              </w:tc>
              <w:tc>
                <w:tcPr>
                  <w:tcW w:w="1071" w:type="pct"/>
                  <w:shd w:val="clear" w:color="auto" w:fill="auto"/>
                  <w:vAlign w:val="center"/>
                </w:tcPr>
                <w:p w14:paraId="56BECC88">
                  <w:pPr>
                    <w:pStyle w:val="61"/>
                    <w:adjustRightInd w:val="0"/>
                    <w:snapToGrid w:val="0"/>
                    <w:spacing w:before="0" w:after="0" w:line="240" w:lineRule="auto"/>
                    <w:ind w:left="-63" w:leftChars="-30" w:right="-63" w:rightChars="-30" w:firstLine="0"/>
                    <w:jc w:val="center"/>
                    <w:rPr>
                      <w:rFonts w:eastAsia="宋体"/>
                      <w:sz w:val="21"/>
                      <w:szCs w:val="21"/>
                    </w:rPr>
                  </w:pPr>
                  <w:r>
                    <w:rPr>
                      <w:rFonts w:hint="eastAsia" w:eastAsia="宋体"/>
                      <w:sz w:val="21"/>
                      <w:szCs w:val="21"/>
                    </w:rPr>
                    <w:t>G</w:t>
                  </w:r>
                  <w:r>
                    <w:rPr>
                      <w:rFonts w:eastAsia="宋体"/>
                      <w:sz w:val="21"/>
                      <w:szCs w:val="21"/>
                    </w:rPr>
                    <w:t>6</w:t>
                  </w:r>
                </w:p>
              </w:tc>
              <w:tc>
                <w:tcPr>
                  <w:tcW w:w="1302" w:type="pct"/>
                  <w:shd w:val="clear" w:color="auto" w:fill="auto"/>
                  <w:vAlign w:val="center"/>
                </w:tcPr>
                <w:p w14:paraId="2D191A4A">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焊接及打磨粉尘</w:t>
                  </w:r>
                </w:p>
              </w:tc>
              <w:tc>
                <w:tcPr>
                  <w:tcW w:w="1301" w:type="pct"/>
                  <w:shd w:val="clear" w:color="auto" w:fill="auto"/>
                  <w:vAlign w:val="center"/>
                </w:tcPr>
                <w:p w14:paraId="7BC95DB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颗粒物</w:t>
                  </w:r>
                </w:p>
              </w:tc>
            </w:tr>
            <w:tr w14:paraId="6F7C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shd w:val="clear" w:color="auto" w:fill="auto"/>
                  <w:vAlign w:val="center"/>
                </w:tcPr>
                <w:p w14:paraId="2DBEFB38">
                  <w:pPr>
                    <w:pStyle w:val="61"/>
                    <w:adjustRightInd w:val="0"/>
                    <w:snapToGrid w:val="0"/>
                    <w:spacing w:before="0" w:after="0" w:line="240" w:lineRule="auto"/>
                    <w:ind w:left="-63" w:leftChars="-30" w:right="-63" w:rightChars="-30" w:firstLine="0"/>
                    <w:jc w:val="center"/>
                    <w:rPr>
                      <w:rFonts w:ascii="宋体" w:hAnsi="宋体" w:eastAsia="宋体"/>
                      <w:sz w:val="21"/>
                      <w:szCs w:val="21"/>
                    </w:rPr>
                  </w:pPr>
                  <w:r>
                    <w:rPr>
                      <w:rFonts w:ascii="宋体" w:hAnsi="宋体" w:eastAsia="宋体"/>
                      <w:sz w:val="21"/>
                      <w:szCs w:val="21"/>
                    </w:rPr>
                    <w:t>食堂</w:t>
                  </w:r>
                </w:p>
              </w:tc>
              <w:tc>
                <w:tcPr>
                  <w:tcW w:w="1071" w:type="pct"/>
                  <w:shd w:val="clear" w:color="auto" w:fill="auto"/>
                  <w:vAlign w:val="center"/>
                </w:tcPr>
                <w:p w14:paraId="574FB124">
                  <w:pPr>
                    <w:pStyle w:val="61"/>
                    <w:adjustRightInd w:val="0"/>
                    <w:snapToGrid w:val="0"/>
                    <w:spacing w:before="0" w:after="0" w:line="240" w:lineRule="auto"/>
                    <w:ind w:left="-63" w:leftChars="-30" w:right="-63" w:rightChars="-30" w:firstLine="0"/>
                    <w:jc w:val="center"/>
                    <w:rPr>
                      <w:rFonts w:eastAsia="宋体"/>
                      <w:sz w:val="21"/>
                      <w:szCs w:val="21"/>
                    </w:rPr>
                  </w:pPr>
                  <w:r>
                    <w:rPr>
                      <w:rFonts w:hint="eastAsia" w:eastAsia="宋体"/>
                      <w:sz w:val="21"/>
                      <w:szCs w:val="21"/>
                    </w:rPr>
                    <w:t>/</w:t>
                  </w:r>
                </w:p>
              </w:tc>
              <w:tc>
                <w:tcPr>
                  <w:tcW w:w="1302" w:type="pct"/>
                  <w:shd w:val="clear" w:color="auto" w:fill="auto"/>
                  <w:vAlign w:val="center"/>
                </w:tcPr>
                <w:p w14:paraId="5FE9B1A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食堂油烟</w:t>
                  </w:r>
                </w:p>
              </w:tc>
              <w:tc>
                <w:tcPr>
                  <w:tcW w:w="1301" w:type="pct"/>
                  <w:shd w:val="clear" w:color="auto" w:fill="auto"/>
                  <w:vAlign w:val="center"/>
                </w:tcPr>
                <w:p w14:paraId="5661B59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油烟</w:t>
                  </w:r>
                  <w:r>
                    <w:rPr>
                      <w:rFonts w:hint="eastAsia" w:eastAsia="宋体"/>
                      <w:sz w:val="21"/>
                      <w:szCs w:val="21"/>
                    </w:rPr>
                    <w:t>、</w:t>
                  </w:r>
                  <w:r>
                    <w:rPr>
                      <w:rFonts w:eastAsia="宋体"/>
                      <w:sz w:val="21"/>
                      <w:szCs w:val="21"/>
                    </w:rPr>
                    <w:t>非甲烷总烃</w:t>
                  </w:r>
                </w:p>
              </w:tc>
            </w:tr>
            <w:tr w14:paraId="13F7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pct"/>
                  <w:shd w:val="clear" w:color="auto" w:fill="auto"/>
                  <w:vAlign w:val="center"/>
                </w:tcPr>
                <w:p w14:paraId="092D39CE">
                  <w:pPr>
                    <w:pStyle w:val="61"/>
                    <w:adjustRightInd w:val="0"/>
                    <w:snapToGrid w:val="0"/>
                    <w:spacing w:before="0" w:after="0" w:line="240" w:lineRule="auto"/>
                    <w:ind w:left="-63" w:leftChars="-30" w:right="-63" w:rightChars="-30" w:firstLine="0"/>
                    <w:jc w:val="center"/>
                    <w:rPr>
                      <w:rFonts w:ascii="宋体" w:hAnsi="宋体" w:eastAsia="宋体"/>
                      <w:sz w:val="21"/>
                      <w:szCs w:val="21"/>
                    </w:rPr>
                  </w:pPr>
                  <w:r>
                    <w:rPr>
                      <w:rFonts w:ascii="宋体" w:hAnsi="宋体" w:eastAsia="宋体"/>
                      <w:sz w:val="21"/>
                      <w:szCs w:val="21"/>
                    </w:rPr>
                    <w:t>污水处理设施</w:t>
                  </w:r>
                </w:p>
              </w:tc>
              <w:tc>
                <w:tcPr>
                  <w:tcW w:w="1071" w:type="pct"/>
                  <w:shd w:val="clear" w:color="auto" w:fill="auto"/>
                  <w:vAlign w:val="center"/>
                </w:tcPr>
                <w:p w14:paraId="05D35829">
                  <w:pPr>
                    <w:pStyle w:val="61"/>
                    <w:adjustRightInd w:val="0"/>
                    <w:snapToGrid w:val="0"/>
                    <w:spacing w:before="0" w:after="0" w:line="240" w:lineRule="auto"/>
                    <w:ind w:left="-63" w:leftChars="-30" w:right="-63" w:rightChars="-30" w:firstLine="0"/>
                    <w:jc w:val="center"/>
                    <w:rPr>
                      <w:rFonts w:eastAsia="宋体"/>
                      <w:sz w:val="21"/>
                      <w:szCs w:val="21"/>
                    </w:rPr>
                  </w:pPr>
                  <w:r>
                    <w:rPr>
                      <w:rFonts w:hint="eastAsia" w:eastAsia="宋体"/>
                      <w:sz w:val="21"/>
                      <w:szCs w:val="21"/>
                    </w:rPr>
                    <w:t>/</w:t>
                  </w:r>
                </w:p>
              </w:tc>
              <w:tc>
                <w:tcPr>
                  <w:tcW w:w="1302" w:type="pct"/>
                  <w:shd w:val="clear" w:color="auto" w:fill="auto"/>
                  <w:vAlign w:val="center"/>
                </w:tcPr>
                <w:p w14:paraId="785EA163">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污水处理臭气</w:t>
                  </w:r>
                </w:p>
              </w:tc>
              <w:tc>
                <w:tcPr>
                  <w:tcW w:w="1301" w:type="pct"/>
                  <w:shd w:val="clear" w:color="auto" w:fill="auto"/>
                  <w:vAlign w:val="center"/>
                </w:tcPr>
                <w:p w14:paraId="284F6896">
                  <w:pPr>
                    <w:pStyle w:val="61"/>
                    <w:adjustRightInd w:val="0"/>
                    <w:snapToGrid w:val="0"/>
                    <w:spacing w:before="0" w:after="0" w:line="240" w:lineRule="auto"/>
                    <w:ind w:left="-63" w:leftChars="-30" w:right="-63" w:rightChars="-30" w:firstLine="0"/>
                    <w:jc w:val="center"/>
                    <w:rPr>
                      <w:rFonts w:eastAsia="宋体"/>
                      <w:sz w:val="21"/>
                      <w:szCs w:val="21"/>
                    </w:rPr>
                  </w:pPr>
                  <w:r>
                    <w:rPr>
                      <w:rFonts w:eastAsia="宋体"/>
                      <w:sz w:val="21"/>
                      <w:szCs w:val="21"/>
                    </w:rPr>
                    <w:t>硫化氢</w:t>
                  </w:r>
                  <w:r>
                    <w:rPr>
                      <w:rFonts w:hint="eastAsia" w:eastAsia="宋体"/>
                      <w:sz w:val="21"/>
                      <w:szCs w:val="21"/>
                    </w:rPr>
                    <w:t>、</w:t>
                  </w:r>
                  <w:r>
                    <w:rPr>
                      <w:rFonts w:eastAsia="宋体"/>
                      <w:sz w:val="21"/>
                      <w:szCs w:val="21"/>
                    </w:rPr>
                    <w:t>氨</w:t>
                  </w:r>
                  <w:r>
                    <w:rPr>
                      <w:rFonts w:hint="eastAsia" w:eastAsia="宋体"/>
                      <w:sz w:val="21"/>
                      <w:szCs w:val="21"/>
                    </w:rPr>
                    <w:t>、</w:t>
                  </w:r>
                  <w:r>
                    <w:rPr>
                      <w:rFonts w:eastAsia="宋体"/>
                      <w:sz w:val="21"/>
                      <w:szCs w:val="21"/>
                    </w:rPr>
                    <w:t>臭气浓度</w:t>
                  </w:r>
                </w:p>
              </w:tc>
            </w:tr>
          </w:tbl>
          <w:p w14:paraId="4BD087E5">
            <w:pPr>
              <w:adjustRightInd w:val="0"/>
              <w:snapToGrid w:val="0"/>
              <w:spacing w:line="360" w:lineRule="auto"/>
              <w:ind w:firstLine="440" w:firstLineChars="200"/>
              <w:rPr>
                <w:bCs/>
                <w:spacing w:val="-10"/>
                <w:sz w:val="24"/>
              </w:rPr>
            </w:pPr>
            <w:r>
              <w:rPr>
                <w:bCs/>
                <w:spacing w:val="-10"/>
                <w:sz w:val="24"/>
              </w:rPr>
              <w:t>（2）废气污染物产排情况</w:t>
            </w:r>
          </w:p>
          <w:p w14:paraId="6CCC98DA">
            <w:pPr>
              <w:adjustRightInd w:val="0"/>
              <w:snapToGrid w:val="0"/>
              <w:spacing w:line="360" w:lineRule="auto"/>
              <w:ind w:firstLine="480" w:firstLineChars="200"/>
              <w:rPr>
                <w:bCs/>
                <w:sz w:val="24"/>
              </w:rPr>
            </w:pPr>
            <w:r>
              <w:rPr>
                <w:rFonts w:hint="eastAsia" w:ascii="宋体" w:hAnsi="宋体" w:cs="宋体"/>
                <w:bCs/>
                <w:sz w:val="24"/>
              </w:rPr>
              <w:t>①</w:t>
            </w:r>
            <w:r>
              <w:rPr>
                <w:sz w:val="24"/>
                <w:szCs w:val="21"/>
              </w:rPr>
              <w:t>熔化废气</w:t>
            </w:r>
            <w:r>
              <w:rPr>
                <w:bCs/>
                <w:sz w:val="24"/>
              </w:rPr>
              <w:t>（</w:t>
            </w:r>
            <w:r>
              <w:rPr>
                <w:sz w:val="24"/>
              </w:rPr>
              <w:t>G1</w:t>
            </w:r>
            <w:r>
              <w:rPr>
                <w:bCs/>
                <w:sz w:val="24"/>
              </w:rPr>
              <w:t>）</w:t>
            </w:r>
          </w:p>
          <w:p w14:paraId="49283454">
            <w:pPr>
              <w:adjustRightInd w:val="0"/>
              <w:snapToGrid w:val="0"/>
              <w:spacing w:line="360" w:lineRule="auto"/>
              <w:ind w:firstLine="480" w:firstLineChars="200"/>
              <w:rPr>
                <w:sz w:val="24"/>
              </w:rPr>
            </w:pPr>
            <w:r>
              <w:rPr>
                <w:rFonts w:hint="eastAsia"/>
                <w:sz w:val="24"/>
              </w:rPr>
              <w:t>项目熔化工序设置2台熔化炉及1台保温炉，</w:t>
            </w:r>
            <w:r>
              <w:rPr>
                <w:sz w:val="24"/>
              </w:rPr>
              <w:t>熔化炉</w:t>
            </w:r>
            <w:r>
              <w:rPr>
                <w:rFonts w:hint="eastAsia"/>
                <w:sz w:val="24"/>
              </w:rPr>
              <w:t>及保温炉均</w:t>
            </w:r>
            <w:r>
              <w:rPr>
                <w:sz w:val="24"/>
              </w:rPr>
              <w:t>以天然气为燃料</w:t>
            </w:r>
            <w:r>
              <w:rPr>
                <w:rFonts w:hint="eastAsia"/>
                <w:sz w:val="24"/>
              </w:rPr>
              <w:t>。</w:t>
            </w:r>
            <w:r>
              <w:rPr>
                <w:sz w:val="24"/>
              </w:rPr>
              <w:t>熔化废气污染物包括颗粒物</w:t>
            </w:r>
            <w:r>
              <w:rPr>
                <w:rFonts w:hint="eastAsia"/>
                <w:sz w:val="24"/>
              </w:rPr>
              <w:t>、</w:t>
            </w:r>
            <w:r>
              <w:rPr>
                <w:sz w:val="24"/>
              </w:rPr>
              <w:t>二氧化硫</w:t>
            </w:r>
            <w:r>
              <w:rPr>
                <w:rFonts w:hint="eastAsia"/>
                <w:sz w:val="24"/>
              </w:rPr>
              <w:t>、</w:t>
            </w:r>
            <w:r>
              <w:rPr>
                <w:sz w:val="24"/>
              </w:rPr>
              <w:t>氮氧化物</w:t>
            </w:r>
            <w:r>
              <w:rPr>
                <w:rFonts w:hint="eastAsia"/>
                <w:sz w:val="24"/>
              </w:rPr>
              <w:t>，</w:t>
            </w:r>
            <w:r>
              <w:rPr>
                <w:sz w:val="24"/>
              </w:rPr>
              <w:t>其中颗粒物包括铝锭熔化产生的颗粒物及天然气燃烧产生的颗粒物两部分</w:t>
            </w:r>
            <w:r>
              <w:rPr>
                <w:rFonts w:hint="eastAsia"/>
                <w:sz w:val="24"/>
              </w:rPr>
              <w:t>。铝锭熔化产生的颗粒物根据《排放源统计调查产排污核算方法和系数手册》中“</w:t>
            </w:r>
            <w:r>
              <w:rPr>
                <w:sz w:val="24"/>
              </w:rPr>
              <w:t>33-37,431-434 机械行业系数手册</w:t>
            </w:r>
            <w:r>
              <w:rPr>
                <w:rFonts w:hint="eastAsia"/>
                <w:sz w:val="24"/>
              </w:rPr>
              <w:t>”相关规定进行核算，天然气燃烧产生的颗粒物、</w:t>
            </w:r>
            <w:r>
              <w:rPr>
                <w:sz w:val="24"/>
              </w:rPr>
              <w:t>二氧化硫</w:t>
            </w:r>
            <w:r>
              <w:rPr>
                <w:rFonts w:hint="eastAsia"/>
                <w:sz w:val="24"/>
              </w:rPr>
              <w:t>、</w:t>
            </w:r>
            <w:r>
              <w:rPr>
                <w:sz w:val="24"/>
              </w:rPr>
              <w:t>氮氧化物</w:t>
            </w:r>
            <w:r>
              <w:rPr>
                <w:rFonts w:hint="eastAsia"/>
                <w:sz w:val="24"/>
              </w:rPr>
              <w:t>参照《排污许可证申请与核发技术规范 汽车制造业》（HJ971-2018）表46进行核算，烟气量参照</w:t>
            </w:r>
            <w:r>
              <w:rPr>
                <w:sz w:val="24"/>
              </w:rPr>
              <w:t>《第二次全国污染源普查产排污核算系数手册》（试用版）4430工业锅炉（热力供应）行业系数手册</w:t>
            </w:r>
            <w:r>
              <w:rPr>
                <w:rFonts w:hint="eastAsia"/>
                <w:sz w:val="24"/>
              </w:rPr>
              <w:t>进行</w:t>
            </w:r>
            <w:r>
              <w:rPr>
                <w:sz w:val="24"/>
              </w:rPr>
              <w:t>核算，</w:t>
            </w:r>
            <w:r>
              <w:rPr>
                <w:rFonts w:hint="eastAsia"/>
                <w:sz w:val="24"/>
              </w:rPr>
              <w:t>保温炉颗粒物、二氧化硫、氮氧化物均参照《排污许可证申请与核发技术规范 汽车制造业》（HJ971-2018）表46进行核算，烟气量参照</w:t>
            </w:r>
            <w:r>
              <w:rPr>
                <w:sz w:val="24"/>
              </w:rPr>
              <w:t>《第二次全国污染源普查产排污核算系数手册》（试用版）4430工业锅炉（热力供应）行业系数手册</w:t>
            </w:r>
            <w:r>
              <w:rPr>
                <w:rFonts w:hint="eastAsia"/>
                <w:sz w:val="24"/>
              </w:rPr>
              <w:t>进行</w:t>
            </w:r>
            <w:r>
              <w:rPr>
                <w:sz w:val="24"/>
              </w:rPr>
              <w:t>核算，</w:t>
            </w:r>
            <w:r>
              <w:rPr>
                <w:rFonts w:hint="eastAsia"/>
                <w:sz w:val="24"/>
              </w:rPr>
              <w:t>具体产物系数如下：</w:t>
            </w:r>
          </w:p>
          <w:p w14:paraId="6BDA3F81">
            <w:pPr>
              <w:adjustRightInd w:val="0"/>
              <w:snapToGrid w:val="0"/>
              <w:spacing w:line="360" w:lineRule="auto"/>
              <w:jc w:val="center"/>
              <w:rPr>
                <w:sz w:val="24"/>
              </w:rPr>
            </w:pPr>
            <w:r>
              <w:rPr>
                <w:sz w:val="24"/>
              </w:rPr>
              <w:t>表</w:t>
            </w:r>
            <w:r>
              <w:rPr>
                <w:rFonts w:hint="eastAsia"/>
                <w:sz w:val="24"/>
              </w:rPr>
              <w:t>4</w:t>
            </w:r>
            <w:r>
              <w:rPr>
                <w:sz w:val="24"/>
              </w:rPr>
              <w:t xml:space="preserve">-3  </w:t>
            </w:r>
            <w:r>
              <w:rPr>
                <w:rFonts w:hint="eastAsia" w:hAnsi="宋体"/>
                <w:sz w:val="24"/>
              </w:rPr>
              <w:t>熔化</w:t>
            </w:r>
            <w:r>
              <w:rPr>
                <w:sz w:val="24"/>
              </w:rPr>
              <w:t>工序产物系数表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985"/>
              <w:gridCol w:w="3968"/>
            </w:tblGrid>
            <w:tr w14:paraId="5DBA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53C65690">
                  <w:pPr>
                    <w:adjustRightInd w:val="0"/>
                    <w:snapToGrid w:val="0"/>
                    <w:jc w:val="center"/>
                  </w:pPr>
                  <w:r>
                    <w:t>产污分类</w:t>
                  </w:r>
                </w:p>
              </w:tc>
              <w:tc>
                <w:tcPr>
                  <w:tcW w:w="1981" w:type="dxa"/>
                  <w:vAlign w:val="center"/>
                </w:tcPr>
                <w:p w14:paraId="1EC19A91">
                  <w:pPr>
                    <w:adjustRightInd w:val="0"/>
                    <w:snapToGrid w:val="0"/>
                    <w:jc w:val="center"/>
                  </w:pPr>
                  <w:r>
                    <w:rPr>
                      <w:rFonts w:hint="eastAsia"/>
                    </w:rPr>
                    <w:t>污染物</w:t>
                  </w:r>
                </w:p>
              </w:tc>
              <w:tc>
                <w:tcPr>
                  <w:tcW w:w="3961" w:type="dxa"/>
                  <w:vAlign w:val="center"/>
                </w:tcPr>
                <w:p w14:paraId="4DC43C77">
                  <w:pPr>
                    <w:adjustRightInd w:val="0"/>
                    <w:snapToGrid w:val="0"/>
                    <w:jc w:val="center"/>
                  </w:pPr>
                  <w:r>
                    <w:t>产污系数</w:t>
                  </w:r>
                </w:p>
              </w:tc>
            </w:tr>
            <w:tr w14:paraId="7C72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43031332">
                  <w:pPr>
                    <w:adjustRightInd w:val="0"/>
                    <w:snapToGrid w:val="0"/>
                    <w:jc w:val="center"/>
                  </w:pPr>
                  <w:r>
                    <w:t>铝锭</w:t>
                  </w:r>
                  <w:r>
                    <w:rPr>
                      <w:rFonts w:hint="eastAsia" w:hAnsi="宋体"/>
                    </w:rPr>
                    <w:t>熔化</w:t>
                  </w:r>
                </w:p>
              </w:tc>
              <w:tc>
                <w:tcPr>
                  <w:tcW w:w="1981" w:type="dxa"/>
                  <w:vAlign w:val="center"/>
                </w:tcPr>
                <w:p w14:paraId="660CD48C">
                  <w:pPr>
                    <w:adjustRightInd w:val="0"/>
                    <w:snapToGrid w:val="0"/>
                    <w:jc w:val="center"/>
                  </w:pPr>
                  <w:r>
                    <w:t>颗粒物</w:t>
                  </w:r>
                </w:p>
              </w:tc>
              <w:tc>
                <w:tcPr>
                  <w:tcW w:w="3961" w:type="dxa"/>
                  <w:vAlign w:val="center"/>
                </w:tcPr>
                <w:p w14:paraId="052DB346">
                  <w:pPr>
                    <w:adjustRightInd w:val="0"/>
                    <w:snapToGrid w:val="0"/>
                    <w:jc w:val="center"/>
                  </w:pPr>
                  <w:r>
                    <w:t>0.943</w:t>
                  </w:r>
                  <w:r>
                    <w:rPr>
                      <w:rFonts w:hint="eastAsia"/>
                    </w:rPr>
                    <w:t>kg/t产品</w:t>
                  </w:r>
                </w:p>
              </w:tc>
            </w:tr>
            <w:tr w14:paraId="59B8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restart"/>
                  <w:vAlign w:val="center"/>
                </w:tcPr>
                <w:p w14:paraId="3D35AAA5">
                  <w:pPr>
                    <w:adjustRightInd w:val="0"/>
                    <w:snapToGrid w:val="0"/>
                    <w:jc w:val="center"/>
                  </w:pPr>
                  <w:r>
                    <w:t>天然气燃烧</w:t>
                  </w:r>
                </w:p>
              </w:tc>
              <w:tc>
                <w:tcPr>
                  <w:tcW w:w="1981" w:type="dxa"/>
                  <w:vAlign w:val="center"/>
                </w:tcPr>
                <w:p w14:paraId="1963A5C1">
                  <w:pPr>
                    <w:adjustRightInd w:val="0"/>
                    <w:snapToGrid w:val="0"/>
                    <w:jc w:val="center"/>
                  </w:pPr>
                  <w:r>
                    <w:t>二氧化硫</w:t>
                  </w:r>
                </w:p>
              </w:tc>
              <w:tc>
                <w:tcPr>
                  <w:tcW w:w="3961" w:type="dxa"/>
                  <w:vAlign w:val="center"/>
                </w:tcPr>
                <w:p w14:paraId="55A653E9">
                  <w:pPr>
                    <w:adjustRightInd w:val="0"/>
                    <w:snapToGrid w:val="0"/>
                    <w:jc w:val="center"/>
                  </w:pPr>
                  <w:r>
                    <w:t>0.02Skg/万立方米-天然气</w:t>
                  </w:r>
                </w:p>
              </w:tc>
            </w:tr>
            <w:tr w14:paraId="27E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6104E852">
                  <w:pPr>
                    <w:adjustRightInd w:val="0"/>
                    <w:snapToGrid w:val="0"/>
                    <w:jc w:val="center"/>
                  </w:pPr>
                </w:p>
              </w:tc>
              <w:tc>
                <w:tcPr>
                  <w:tcW w:w="1981" w:type="dxa"/>
                  <w:vAlign w:val="center"/>
                </w:tcPr>
                <w:p w14:paraId="6DFE2F70">
                  <w:pPr>
                    <w:adjustRightInd w:val="0"/>
                    <w:snapToGrid w:val="0"/>
                    <w:jc w:val="center"/>
                  </w:pPr>
                  <w:r>
                    <w:t>氮氧化物</w:t>
                  </w:r>
                </w:p>
              </w:tc>
              <w:tc>
                <w:tcPr>
                  <w:tcW w:w="3961" w:type="dxa"/>
                  <w:vAlign w:val="center"/>
                </w:tcPr>
                <w:p w14:paraId="3AC0296E">
                  <w:pPr>
                    <w:adjustRightInd w:val="0"/>
                    <w:snapToGrid w:val="0"/>
                    <w:jc w:val="center"/>
                  </w:pPr>
                  <w:r>
                    <w:t>18.71kg/万m</w:t>
                  </w:r>
                  <w:r>
                    <w:rPr>
                      <w:vertAlign w:val="superscript"/>
                    </w:rPr>
                    <w:t>3</w:t>
                  </w:r>
                  <w:r>
                    <w:t>-天然气</w:t>
                  </w:r>
                </w:p>
              </w:tc>
            </w:tr>
            <w:tr w14:paraId="1B1D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2966959D">
                  <w:pPr>
                    <w:adjustRightInd w:val="0"/>
                    <w:snapToGrid w:val="0"/>
                    <w:jc w:val="center"/>
                  </w:pPr>
                </w:p>
              </w:tc>
              <w:tc>
                <w:tcPr>
                  <w:tcW w:w="1981" w:type="dxa"/>
                  <w:vAlign w:val="center"/>
                </w:tcPr>
                <w:p w14:paraId="06FE68D6">
                  <w:pPr>
                    <w:adjustRightInd w:val="0"/>
                    <w:snapToGrid w:val="0"/>
                    <w:jc w:val="center"/>
                  </w:pPr>
                  <w:r>
                    <w:t>颗粒物</w:t>
                  </w:r>
                </w:p>
              </w:tc>
              <w:tc>
                <w:tcPr>
                  <w:tcW w:w="3961" w:type="dxa"/>
                  <w:vAlign w:val="center"/>
                </w:tcPr>
                <w:p w14:paraId="6B430AF6">
                  <w:pPr>
                    <w:adjustRightInd w:val="0"/>
                    <w:snapToGrid w:val="0"/>
                    <w:jc w:val="center"/>
                  </w:pPr>
                  <w:r>
                    <w:t>2.86</w:t>
                  </w:r>
                  <w:r>
                    <w:rPr>
                      <w:rFonts w:hint="eastAsia"/>
                    </w:rPr>
                    <w:t>kg/</w:t>
                  </w:r>
                  <w:r>
                    <w:t>万m</w:t>
                  </w:r>
                  <w:r>
                    <w:rPr>
                      <w:vertAlign w:val="superscript"/>
                    </w:rPr>
                    <w:t>3</w:t>
                  </w:r>
                  <w:r>
                    <w:t>-天然气</w:t>
                  </w:r>
                </w:p>
              </w:tc>
            </w:tr>
            <w:tr w14:paraId="3A12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293299E8">
                  <w:pPr>
                    <w:adjustRightInd w:val="0"/>
                    <w:snapToGrid w:val="0"/>
                    <w:jc w:val="center"/>
                  </w:pPr>
                </w:p>
              </w:tc>
              <w:tc>
                <w:tcPr>
                  <w:tcW w:w="1981" w:type="dxa"/>
                  <w:vAlign w:val="center"/>
                </w:tcPr>
                <w:p w14:paraId="5A2447F4">
                  <w:pPr>
                    <w:adjustRightInd w:val="0"/>
                    <w:snapToGrid w:val="0"/>
                    <w:jc w:val="center"/>
                  </w:pPr>
                  <w:r>
                    <w:t>烟气量</w:t>
                  </w:r>
                </w:p>
              </w:tc>
              <w:tc>
                <w:tcPr>
                  <w:tcW w:w="3961" w:type="dxa"/>
                  <w:vAlign w:val="center"/>
                </w:tcPr>
                <w:p w14:paraId="33368563">
                  <w:pPr>
                    <w:adjustRightInd w:val="0"/>
                    <w:snapToGrid w:val="0"/>
                    <w:jc w:val="center"/>
                  </w:pPr>
                  <w:r>
                    <w:t>107753Nm</w:t>
                  </w:r>
                  <w:r>
                    <w:rPr>
                      <w:vertAlign w:val="superscript"/>
                    </w:rPr>
                    <w:t>3</w:t>
                  </w:r>
                  <w:r>
                    <w:rPr>
                      <w:rFonts w:hint="eastAsia"/>
                    </w:rPr>
                    <w:t>/万</w:t>
                  </w:r>
                  <w:r>
                    <w:t>m</w:t>
                  </w:r>
                  <w:r>
                    <w:rPr>
                      <w:vertAlign w:val="superscript"/>
                    </w:rPr>
                    <w:t>3</w:t>
                  </w:r>
                  <w:r>
                    <w:rPr>
                      <w:rFonts w:hint="eastAsia"/>
                    </w:rPr>
                    <w:t>-天然气</w:t>
                  </w:r>
                </w:p>
              </w:tc>
            </w:tr>
            <w:tr w14:paraId="46CD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2" w:type="dxa"/>
                  <w:gridSpan w:val="3"/>
                  <w:vAlign w:val="center"/>
                </w:tcPr>
                <w:p w14:paraId="210FA577">
                  <w:pPr>
                    <w:adjustRightInd w:val="0"/>
                    <w:snapToGrid w:val="0"/>
                  </w:pPr>
                  <w:r>
                    <w:t>注</w:t>
                  </w:r>
                  <w:r>
                    <w:rPr>
                      <w:rFonts w:hint="eastAsia"/>
                    </w:rPr>
                    <w:t>：</w:t>
                  </w:r>
                  <w:r>
                    <w:t>根据《强制性国家标准〈天然气〉》（GB 17820-2018）中二类天然气标准，总含硫量≤100mg/m</w:t>
                  </w:r>
                  <w:r>
                    <w:rPr>
                      <w:vertAlign w:val="superscript"/>
                    </w:rPr>
                    <w:t>3</w:t>
                  </w:r>
                  <w:r>
                    <w:t>，取100mg/m</w:t>
                  </w:r>
                  <w:r>
                    <w:rPr>
                      <w:vertAlign w:val="superscript"/>
                    </w:rPr>
                    <w:t>3</w:t>
                  </w:r>
                  <w:r>
                    <w:t>，则SO</w:t>
                  </w:r>
                  <w:r>
                    <w:rPr>
                      <w:vertAlign w:val="subscript"/>
                    </w:rPr>
                    <w:t>2</w:t>
                  </w:r>
                  <w:r>
                    <w:t>的产污系数为2kg/万m</w:t>
                  </w:r>
                  <w:r>
                    <w:rPr>
                      <w:vertAlign w:val="superscript"/>
                    </w:rPr>
                    <w:t>3</w:t>
                  </w:r>
                  <w:r>
                    <w:t>-原料</w:t>
                  </w:r>
                </w:p>
              </w:tc>
            </w:tr>
          </w:tbl>
          <w:p w14:paraId="33324F18">
            <w:pPr>
              <w:adjustRightInd w:val="0"/>
              <w:snapToGrid w:val="0"/>
              <w:spacing w:line="360" w:lineRule="auto"/>
              <w:ind w:firstLine="480" w:firstLineChars="200"/>
              <w:rPr>
                <w:sz w:val="24"/>
              </w:rPr>
            </w:pPr>
            <w:r>
              <w:rPr>
                <w:rFonts w:hint="eastAsia"/>
                <w:sz w:val="24"/>
              </w:rPr>
              <w:t>保温炉不涉及物料熔化，废气中污染物为天然气燃烧过程产生的颗粒物、</w:t>
            </w:r>
            <w:r>
              <w:rPr>
                <w:sz w:val="24"/>
              </w:rPr>
              <w:t>二氧化硫</w:t>
            </w:r>
            <w:r>
              <w:rPr>
                <w:rFonts w:hint="eastAsia"/>
                <w:sz w:val="24"/>
              </w:rPr>
              <w:t>、</w:t>
            </w:r>
            <w:r>
              <w:rPr>
                <w:sz w:val="24"/>
              </w:rPr>
              <w:t>氮氧化物</w:t>
            </w:r>
            <w:r>
              <w:rPr>
                <w:rFonts w:hint="eastAsia"/>
                <w:sz w:val="24"/>
              </w:rPr>
              <w:t>，</w:t>
            </w:r>
            <w:r>
              <w:rPr>
                <w:sz w:val="24"/>
              </w:rPr>
              <w:t>产物系数与熔化</w:t>
            </w:r>
            <w:r>
              <w:rPr>
                <w:rFonts w:hint="eastAsia"/>
                <w:sz w:val="24"/>
              </w:rPr>
              <w:t>炉</w:t>
            </w:r>
            <w:r>
              <w:rPr>
                <w:sz w:val="24"/>
              </w:rPr>
              <w:t>天然气燃烧过程</w:t>
            </w:r>
            <w:r>
              <w:rPr>
                <w:rFonts w:hint="eastAsia"/>
                <w:sz w:val="24"/>
              </w:rPr>
              <w:t>产污系数</w:t>
            </w:r>
            <w:r>
              <w:rPr>
                <w:sz w:val="24"/>
              </w:rPr>
              <w:t>一致</w:t>
            </w:r>
            <w:r>
              <w:rPr>
                <w:rFonts w:hint="eastAsia"/>
                <w:sz w:val="24"/>
              </w:rPr>
              <w:t>。</w:t>
            </w:r>
          </w:p>
          <w:p w14:paraId="0E984922">
            <w:pPr>
              <w:adjustRightInd w:val="0"/>
              <w:snapToGrid w:val="0"/>
              <w:spacing w:line="360" w:lineRule="auto"/>
              <w:ind w:firstLine="480" w:firstLineChars="200"/>
              <w:rPr>
                <w:sz w:val="24"/>
              </w:rPr>
            </w:pPr>
            <w:r>
              <w:rPr>
                <w:rFonts w:hint="eastAsia"/>
                <w:sz w:val="24"/>
              </w:rPr>
              <w:t>项目铝锭年熔化量为1</w:t>
            </w:r>
            <w:r>
              <w:rPr>
                <w:sz w:val="24"/>
              </w:rPr>
              <w:t>500t</w:t>
            </w:r>
            <w:r>
              <w:rPr>
                <w:rFonts w:hint="eastAsia"/>
                <w:sz w:val="24"/>
              </w:rPr>
              <w:t>，项目设置2台熔化炉，单台熔化炉熔化能力分别为1</w:t>
            </w:r>
            <w:r>
              <w:rPr>
                <w:sz w:val="24"/>
              </w:rPr>
              <w:t>.5t/h</w:t>
            </w:r>
            <w:r>
              <w:rPr>
                <w:rFonts w:hint="eastAsia"/>
                <w:sz w:val="24"/>
              </w:rPr>
              <w:t>、0</w:t>
            </w:r>
            <w:r>
              <w:rPr>
                <w:sz w:val="24"/>
              </w:rPr>
              <w:t>.75t/h</w:t>
            </w:r>
            <w:r>
              <w:rPr>
                <w:rFonts w:hint="eastAsia"/>
                <w:sz w:val="24"/>
              </w:rPr>
              <w:t>，</w:t>
            </w:r>
            <w:r>
              <w:rPr>
                <w:sz w:val="24"/>
              </w:rPr>
              <w:t>则熔化</w:t>
            </w:r>
            <w:r>
              <w:rPr>
                <w:rFonts w:hint="eastAsia"/>
                <w:sz w:val="24"/>
              </w:rPr>
              <w:t>炉</w:t>
            </w:r>
            <w:r>
              <w:rPr>
                <w:sz w:val="24"/>
              </w:rPr>
              <w:t>工作时间</w:t>
            </w:r>
            <w:r>
              <w:rPr>
                <w:rFonts w:hint="eastAsia"/>
                <w:sz w:val="24"/>
              </w:rPr>
              <w:t>共计</w:t>
            </w:r>
            <w:r>
              <w:rPr>
                <w:sz w:val="24"/>
              </w:rPr>
              <w:t>为667h</w:t>
            </w:r>
            <w:r>
              <w:rPr>
                <w:rFonts w:hint="eastAsia"/>
                <w:sz w:val="24"/>
              </w:rPr>
              <w:t>。根据业主提供资料，熔化能力为1</w:t>
            </w:r>
            <w:r>
              <w:rPr>
                <w:sz w:val="24"/>
              </w:rPr>
              <w:t>.5t/h的熔化炉</w:t>
            </w:r>
            <w:r>
              <w:rPr>
                <w:rFonts w:hint="eastAsia"/>
                <w:sz w:val="24"/>
              </w:rPr>
              <w:t>天然气消耗量为</w:t>
            </w:r>
            <w:r>
              <w:rPr>
                <w:sz w:val="24"/>
              </w:rPr>
              <w:t>200m³/h</w:t>
            </w:r>
            <w:r>
              <w:rPr>
                <w:rFonts w:hint="eastAsia"/>
                <w:sz w:val="24"/>
              </w:rPr>
              <w:t>，熔化能力为</w:t>
            </w:r>
            <w:r>
              <w:rPr>
                <w:sz w:val="24"/>
              </w:rPr>
              <w:t>0.75t/h的熔化炉</w:t>
            </w:r>
            <w:r>
              <w:rPr>
                <w:rFonts w:hint="eastAsia"/>
                <w:sz w:val="24"/>
              </w:rPr>
              <w:t>天然气消耗量为</w:t>
            </w:r>
            <w:r>
              <w:rPr>
                <w:sz w:val="24"/>
              </w:rPr>
              <w:t>100m³/h</w:t>
            </w:r>
            <w:r>
              <w:rPr>
                <w:rFonts w:hint="eastAsia"/>
                <w:sz w:val="24"/>
              </w:rPr>
              <w:t>，单台保温炉天然气消耗量为</w:t>
            </w:r>
            <w:r>
              <w:rPr>
                <w:sz w:val="24"/>
              </w:rPr>
              <w:t>30m³/h</w:t>
            </w:r>
            <w:r>
              <w:rPr>
                <w:rFonts w:hint="eastAsia"/>
                <w:sz w:val="24"/>
              </w:rPr>
              <w:t>，经计算，项目熔化工序熔化炉污染物产生量及产生速率及产生量如下：</w:t>
            </w:r>
          </w:p>
          <w:p w14:paraId="03FF3639">
            <w:pPr>
              <w:adjustRightInd w:val="0"/>
              <w:snapToGrid w:val="0"/>
              <w:spacing w:line="360" w:lineRule="auto"/>
              <w:ind w:firstLine="480" w:firstLineChars="200"/>
              <w:rPr>
                <w:sz w:val="24"/>
              </w:rPr>
            </w:pPr>
            <w:r>
              <w:rPr>
                <w:sz w:val="24"/>
              </w:rPr>
              <w:t>A.二氧化硫</w:t>
            </w:r>
            <w:r>
              <w:rPr>
                <w:rFonts w:hint="eastAsia"/>
                <w:sz w:val="24"/>
              </w:rPr>
              <w:t>：</w:t>
            </w:r>
            <w:r>
              <w:rPr>
                <w:sz w:val="24"/>
              </w:rPr>
              <w:t>0.060</w:t>
            </w:r>
            <w:r>
              <w:rPr>
                <w:rFonts w:hint="eastAsia"/>
                <w:sz w:val="24"/>
              </w:rPr>
              <w:t>kg</w:t>
            </w:r>
            <w:r>
              <w:rPr>
                <w:sz w:val="24"/>
              </w:rPr>
              <w:t>/</w:t>
            </w:r>
            <w:r>
              <w:rPr>
                <w:rFonts w:hint="eastAsia"/>
                <w:sz w:val="24"/>
              </w:rPr>
              <w:t>h，</w:t>
            </w:r>
            <w:r>
              <w:rPr>
                <w:sz w:val="24"/>
              </w:rPr>
              <w:t>0.040</w:t>
            </w:r>
            <w:r>
              <w:rPr>
                <w:rFonts w:hint="eastAsia"/>
                <w:sz w:val="24"/>
              </w:rPr>
              <w:t>t</w:t>
            </w:r>
            <w:r>
              <w:rPr>
                <w:sz w:val="24"/>
              </w:rPr>
              <w:t>/</w:t>
            </w:r>
            <w:r>
              <w:rPr>
                <w:rFonts w:hint="eastAsia"/>
                <w:sz w:val="24"/>
              </w:rPr>
              <w:t>a。</w:t>
            </w:r>
          </w:p>
          <w:p w14:paraId="35E60EE2">
            <w:pPr>
              <w:adjustRightInd w:val="0"/>
              <w:snapToGrid w:val="0"/>
              <w:spacing w:line="360" w:lineRule="auto"/>
              <w:ind w:firstLine="480" w:firstLineChars="200"/>
              <w:rPr>
                <w:sz w:val="24"/>
              </w:rPr>
            </w:pPr>
            <w:r>
              <w:rPr>
                <w:sz w:val="24"/>
              </w:rPr>
              <w:t>B.氮氧化物：0.561</w:t>
            </w:r>
            <w:r>
              <w:rPr>
                <w:rFonts w:hint="eastAsia"/>
                <w:sz w:val="24"/>
              </w:rPr>
              <w:t>kg</w:t>
            </w:r>
            <w:r>
              <w:rPr>
                <w:sz w:val="24"/>
              </w:rPr>
              <w:t>/</w:t>
            </w:r>
            <w:r>
              <w:rPr>
                <w:rFonts w:hint="eastAsia"/>
                <w:sz w:val="24"/>
              </w:rPr>
              <w:t>h，</w:t>
            </w:r>
            <w:r>
              <w:rPr>
                <w:sz w:val="24"/>
              </w:rPr>
              <w:t>0.374</w:t>
            </w:r>
            <w:r>
              <w:rPr>
                <w:rFonts w:hint="eastAsia"/>
                <w:sz w:val="24"/>
              </w:rPr>
              <w:t>t</w:t>
            </w:r>
            <w:r>
              <w:rPr>
                <w:sz w:val="24"/>
              </w:rPr>
              <w:t>/</w:t>
            </w:r>
            <w:r>
              <w:rPr>
                <w:rFonts w:hint="eastAsia"/>
                <w:sz w:val="24"/>
              </w:rPr>
              <w:t>a。</w:t>
            </w:r>
          </w:p>
          <w:p w14:paraId="124C037E">
            <w:pPr>
              <w:adjustRightInd w:val="0"/>
              <w:snapToGrid w:val="0"/>
              <w:spacing w:line="360" w:lineRule="auto"/>
              <w:ind w:firstLine="480" w:firstLineChars="200"/>
              <w:rPr>
                <w:sz w:val="24"/>
              </w:rPr>
            </w:pPr>
            <w:r>
              <w:rPr>
                <w:sz w:val="24"/>
              </w:rPr>
              <w:t>C.颗粒物：2.208</w:t>
            </w:r>
            <w:r>
              <w:rPr>
                <w:rFonts w:hint="eastAsia"/>
                <w:sz w:val="24"/>
              </w:rPr>
              <w:t>kg</w:t>
            </w:r>
            <w:r>
              <w:rPr>
                <w:sz w:val="24"/>
              </w:rPr>
              <w:t>/</w:t>
            </w:r>
            <w:r>
              <w:rPr>
                <w:rFonts w:hint="eastAsia"/>
                <w:sz w:val="24"/>
              </w:rPr>
              <w:t>h，</w:t>
            </w:r>
            <w:r>
              <w:rPr>
                <w:sz w:val="24"/>
              </w:rPr>
              <w:t>1.472</w:t>
            </w:r>
            <w:r>
              <w:rPr>
                <w:rFonts w:hint="eastAsia"/>
                <w:sz w:val="24"/>
              </w:rPr>
              <w:t>t</w:t>
            </w:r>
            <w:r>
              <w:rPr>
                <w:sz w:val="24"/>
              </w:rPr>
              <w:t>/</w:t>
            </w:r>
            <w:r>
              <w:rPr>
                <w:rFonts w:hint="eastAsia"/>
                <w:sz w:val="24"/>
              </w:rPr>
              <w:t>a。</w:t>
            </w:r>
          </w:p>
          <w:p w14:paraId="02293985">
            <w:pPr>
              <w:adjustRightInd w:val="0"/>
              <w:snapToGrid w:val="0"/>
              <w:spacing w:line="360" w:lineRule="auto"/>
              <w:ind w:firstLine="480" w:firstLineChars="200"/>
              <w:rPr>
                <w:sz w:val="24"/>
              </w:rPr>
            </w:pPr>
            <w:r>
              <w:rPr>
                <w:rFonts w:hint="eastAsia"/>
                <w:sz w:val="24"/>
              </w:rPr>
              <w:t>D</w:t>
            </w:r>
            <w:r>
              <w:rPr>
                <w:sz w:val="24"/>
              </w:rPr>
              <w:t>.</w:t>
            </w:r>
            <w:r>
              <w:rPr>
                <w:rFonts w:hint="eastAsia"/>
                <w:sz w:val="24"/>
              </w:rPr>
              <w:t>烟气量：</w:t>
            </w:r>
            <w:r>
              <w:rPr>
                <w:sz w:val="24"/>
              </w:rPr>
              <w:t>3233</w:t>
            </w:r>
            <w:r>
              <w:rPr>
                <w:rFonts w:hint="eastAsia"/>
                <w:sz w:val="24"/>
              </w:rPr>
              <w:t>m</w:t>
            </w:r>
            <w:r>
              <w:rPr>
                <w:sz w:val="24"/>
                <w:vertAlign w:val="superscript"/>
              </w:rPr>
              <w:t>3</w:t>
            </w:r>
            <w:r>
              <w:rPr>
                <w:sz w:val="24"/>
              </w:rPr>
              <w:t>/</w:t>
            </w:r>
            <w:r>
              <w:rPr>
                <w:rFonts w:hint="eastAsia"/>
                <w:sz w:val="24"/>
              </w:rPr>
              <w:t>h，</w:t>
            </w:r>
            <w:r>
              <w:rPr>
                <w:sz w:val="24"/>
              </w:rPr>
              <w:t>2156411</w:t>
            </w:r>
            <w:r>
              <w:rPr>
                <w:rFonts w:hint="eastAsia"/>
                <w:sz w:val="24"/>
              </w:rPr>
              <w:t>m</w:t>
            </w:r>
            <w:r>
              <w:rPr>
                <w:sz w:val="24"/>
                <w:vertAlign w:val="superscript"/>
              </w:rPr>
              <w:t>3</w:t>
            </w:r>
            <w:r>
              <w:rPr>
                <w:sz w:val="24"/>
              </w:rPr>
              <w:t>/</w:t>
            </w:r>
            <w:r>
              <w:rPr>
                <w:rFonts w:hint="eastAsia"/>
                <w:sz w:val="24"/>
              </w:rPr>
              <w:t>a。</w:t>
            </w:r>
          </w:p>
          <w:p w14:paraId="3A9A007B">
            <w:pPr>
              <w:adjustRightInd w:val="0"/>
              <w:snapToGrid w:val="0"/>
              <w:spacing w:line="360" w:lineRule="auto"/>
              <w:ind w:firstLine="480" w:firstLineChars="200"/>
              <w:rPr>
                <w:sz w:val="24"/>
              </w:rPr>
            </w:pPr>
            <w:r>
              <w:rPr>
                <w:rFonts w:hint="eastAsia"/>
                <w:sz w:val="24"/>
              </w:rPr>
              <w:t>熔化工序保温炉污染物产生量及产生速率及产生量如下：</w:t>
            </w:r>
          </w:p>
          <w:p w14:paraId="7E6466D8">
            <w:pPr>
              <w:adjustRightInd w:val="0"/>
              <w:snapToGrid w:val="0"/>
              <w:spacing w:line="360" w:lineRule="auto"/>
              <w:ind w:firstLine="480" w:firstLineChars="200"/>
              <w:rPr>
                <w:sz w:val="24"/>
              </w:rPr>
            </w:pPr>
            <w:r>
              <w:rPr>
                <w:sz w:val="24"/>
              </w:rPr>
              <w:t>A.二氧化硫</w:t>
            </w:r>
            <w:r>
              <w:rPr>
                <w:rFonts w:hint="eastAsia"/>
                <w:sz w:val="24"/>
              </w:rPr>
              <w:t>：</w:t>
            </w:r>
            <w:r>
              <w:rPr>
                <w:sz w:val="24"/>
              </w:rPr>
              <w:t>0.006</w:t>
            </w:r>
            <w:r>
              <w:rPr>
                <w:rFonts w:hint="eastAsia"/>
                <w:sz w:val="24"/>
              </w:rPr>
              <w:t>kg</w:t>
            </w:r>
            <w:r>
              <w:rPr>
                <w:sz w:val="24"/>
              </w:rPr>
              <w:t>/</w:t>
            </w:r>
            <w:r>
              <w:rPr>
                <w:rFonts w:hint="eastAsia"/>
                <w:sz w:val="24"/>
              </w:rPr>
              <w:t>h，</w:t>
            </w:r>
            <w:r>
              <w:rPr>
                <w:sz w:val="24"/>
              </w:rPr>
              <w:t>0.004</w:t>
            </w:r>
            <w:r>
              <w:rPr>
                <w:rFonts w:hint="eastAsia"/>
                <w:sz w:val="24"/>
              </w:rPr>
              <w:t>t</w:t>
            </w:r>
            <w:r>
              <w:rPr>
                <w:sz w:val="24"/>
              </w:rPr>
              <w:t>/</w:t>
            </w:r>
            <w:r>
              <w:rPr>
                <w:rFonts w:hint="eastAsia"/>
                <w:sz w:val="24"/>
              </w:rPr>
              <w:t>a。</w:t>
            </w:r>
          </w:p>
          <w:p w14:paraId="4B00B4A7">
            <w:pPr>
              <w:adjustRightInd w:val="0"/>
              <w:snapToGrid w:val="0"/>
              <w:spacing w:line="360" w:lineRule="auto"/>
              <w:ind w:firstLine="480" w:firstLineChars="200"/>
              <w:rPr>
                <w:sz w:val="24"/>
              </w:rPr>
            </w:pPr>
            <w:r>
              <w:rPr>
                <w:sz w:val="24"/>
              </w:rPr>
              <w:t>B.氮氧化物：0.056</w:t>
            </w:r>
            <w:r>
              <w:rPr>
                <w:rFonts w:hint="eastAsia"/>
                <w:sz w:val="24"/>
              </w:rPr>
              <w:t>kg</w:t>
            </w:r>
            <w:r>
              <w:rPr>
                <w:sz w:val="24"/>
              </w:rPr>
              <w:t>/</w:t>
            </w:r>
            <w:r>
              <w:rPr>
                <w:rFonts w:hint="eastAsia"/>
                <w:sz w:val="24"/>
              </w:rPr>
              <w:t>h，</w:t>
            </w:r>
            <w:r>
              <w:rPr>
                <w:sz w:val="24"/>
              </w:rPr>
              <w:t>0.037</w:t>
            </w:r>
            <w:r>
              <w:rPr>
                <w:rFonts w:hint="eastAsia"/>
                <w:sz w:val="24"/>
              </w:rPr>
              <w:t>t</w:t>
            </w:r>
            <w:r>
              <w:rPr>
                <w:sz w:val="24"/>
              </w:rPr>
              <w:t>/</w:t>
            </w:r>
            <w:r>
              <w:rPr>
                <w:rFonts w:hint="eastAsia"/>
                <w:sz w:val="24"/>
              </w:rPr>
              <w:t>a。</w:t>
            </w:r>
          </w:p>
          <w:p w14:paraId="756A2590">
            <w:pPr>
              <w:adjustRightInd w:val="0"/>
              <w:snapToGrid w:val="0"/>
              <w:spacing w:line="360" w:lineRule="auto"/>
              <w:ind w:firstLine="480" w:firstLineChars="200"/>
              <w:rPr>
                <w:sz w:val="24"/>
              </w:rPr>
            </w:pPr>
            <w:r>
              <w:rPr>
                <w:sz w:val="24"/>
              </w:rPr>
              <w:t>C.颗粒物：0.009</w:t>
            </w:r>
            <w:r>
              <w:rPr>
                <w:rFonts w:hint="eastAsia"/>
                <w:sz w:val="24"/>
              </w:rPr>
              <w:t>kg</w:t>
            </w:r>
            <w:r>
              <w:rPr>
                <w:sz w:val="24"/>
              </w:rPr>
              <w:t>/</w:t>
            </w:r>
            <w:r>
              <w:rPr>
                <w:rFonts w:hint="eastAsia"/>
                <w:sz w:val="24"/>
              </w:rPr>
              <w:t>h，</w:t>
            </w:r>
            <w:r>
              <w:rPr>
                <w:sz w:val="24"/>
              </w:rPr>
              <w:t>0.006</w:t>
            </w:r>
            <w:r>
              <w:rPr>
                <w:rFonts w:hint="eastAsia"/>
                <w:sz w:val="24"/>
              </w:rPr>
              <w:t>t</w:t>
            </w:r>
            <w:r>
              <w:rPr>
                <w:sz w:val="24"/>
              </w:rPr>
              <w:t>/</w:t>
            </w:r>
            <w:r>
              <w:rPr>
                <w:rFonts w:hint="eastAsia"/>
                <w:sz w:val="24"/>
              </w:rPr>
              <w:t>a。</w:t>
            </w:r>
          </w:p>
          <w:p w14:paraId="709ECA12">
            <w:pPr>
              <w:adjustRightInd w:val="0"/>
              <w:snapToGrid w:val="0"/>
              <w:spacing w:line="360" w:lineRule="auto"/>
              <w:ind w:firstLine="480" w:firstLineChars="200"/>
              <w:rPr>
                <w:sz w:val="24"/>
              </w:rPr>
            </w:pPr>
            <w:r>
              <w:rPr>
                <w:rFonts w:hint="eastAsia"/>
                <w:sz w:val="24"/>
              </w:rPr>
              <w:t>D</w:t>
            </w:r>
            <w:r>
              <w:rPr>
                <w:sz w:val="24"/>
              </w:rPr>
              <w:t>.</w:t>
            </w:r>
            <w:r>
              <w:rPr>
                <w:rFonts w:hint="eastAsia"/>
                <w:sz w:val="24"/>
              </w:rPr>
              <w:t>烟气量：</w:t>
            </w:r>
            <w:r>
              <w:rPr>
                <w:sz w:val="24"/>
              </w:rPr>
              <w:t>323</w:t>
            </w:r>
            <w:r>
              <w:rPr>
                <w:rFonts w:hint="eastAsia"/>
                <w:sz w:val="24"/>
              </w:rPr>
              <w:t>m</w:t>
            </w:r>
            <w:r>
              <w:rPr>
                <w:sz w:val="24"/>
                <w:vertAlign w:val="superscript"/>
              </w:rPr>
              <w:t>3</w:t>
            </w:r>
            <w:r>
              <w:rPr>
                <w:sz w:val="24"/>
              </w:rPr>
              <w:t>/</w:t>
            </w:r>
            <w:r>
              <w:rPr>
                <w:rFonts w:hint="eastAsia"/>
                <w:sz w:val="24"/>
              </w:rPr>
              <w:t>h，</w:t>
            </w:r>
            <w:r>
              <w:rPr>
                <w:sz w:val="24"/>
              </w:rPr>
              <w:t>215441</w:t>
            </w:r>
            <w:r>
              <w:rPr>
                <w:rFonts w:hint="eastAsia"/>
                <w:sz w:val="24"/>
              </w:rPr>
              <w:t>m</w:t>
            </w:r>
            <w:r>
              <w:rPr>
                <w:sz w:val="24"/>
                <w:vertAlign w:val="superscript"/>
              </w:rPr>
              <w:t>3</w:t>
            </w:r>
            <w:r>
              <w:rPr>
                <w:sz w:val="24"/>
              </w:rPr>
              <w:t>/</w:t>
            </w:r>
            <w:r>
              <w:rPr>
                <w:rFonts w:hint="eastAsia"/>
                <w:sz w:val="24"/>
              </w:rPr>
              <w:t>a。</w:t>
            </w:r>
          </w:p>
          <w:p w14:paraId="34E1A964">
            <w:pPr>
              <w:adjustRightInd w:val="0"/>
              <w:snapToGrid w:val="0"/>
              <w:spacing w:line="360" w:lineRule="auto"/>
              <w:ind w:firstLine="480" w:firstLineChars="200"/>
              <w:rPr>
                <w:sz w:val="24"/>
              </w:rPr>
            </w:pPr>
            <w:r>
              <w:rPr>
                <w:sz w:val="24"/>
              </w:rPr>
              <w:t>项目铝锭</w:t>
            </w:r>
            <w:r>
              <w:rPr>
                <w:rFonts w:hint="eastAsia" w:hAnsi="宋体"/>
                <w:sz w:val="24"/>
              </w:rPr>
              <w:t>熔化</w:t>
            </w:r>
            <w:r>
              <w:rPr>
                <w:sz w:val="24"/>
              </w:rPr>
              <w:t>过程将使用打渣除气剂</w:t>
            </w:r>
            <w:r>
              <w:rPr>
                <w:rFonts w:hint="eastAsia"/>
                <w:sz w:val="24"/>
              </w:rPr>
              <w:t>，</w:t>
            </w:r>
            <w:r>
              <w:rPr>
                <w:sz w:val="24"/>
              </w:rPr>
              <w:t>使用量为</w:t>
            </w:r>
            <w:r>
              <w:rPr>
                <w:rFonts w:hint="eastAsia"/>
                <w:sz w:val="24"/>
              </w:rPr>
              <w:t>3t</w:t>
            </w:r>
            <w:r>
              <w:rPr>
                <w:sz w:val="24"/>
              </w:rPr>
              <w:t>/a</w:t>
            </w:r>
            <w:r>
              <w:rPr>
                <w:rFonts w:hint="eastAsia"/>
                <w:sz w:val="24"/>
              </w:rPr>
              <w:t>。打渣除气剂中含有氯化钾、氯化钠等氯化物，在高温过程中将产生氯化氢。根据打渣除气剂M</w:t>
            </w:r>
            <w:r>
              <w:rPr>
                <w:sz w:val="24"/>
              </w:rPr>
              <w:t>SDS</w:t>
            </w:r>
            <w:r>
              <w:rPr>
                <w:rFonts w:hint="eastAsia"/>
                <w:sz w:val="24"/>
              </w:rPr>
              <w:t>，</w:t>
            </w:r>
            <w:r>
              <w:rPr>
                <w:sz w:val="24"/>
              </w:rPr>
              <w:t>氯化钾和氯化钠含量均</w:t>
            </w:r>
            <w:r>
              <w:rPr>
                <w:rFonts w:hint="eastAsia"/>
                <w:sz w:val="24"/>
              </w:rPr>
              <w:t>按</w:t>
            </w:r>
            <w:r>
              <w:rPr>
                <w:sz w:val="24"/>
              </w:rPr>
              <w:t>最大含量考虑</w:t>
            </w:r>
            <w:r>
              <w:rPr>
                <w:rFonts w:hint="eastAsia"/>
                <w:sz w:val="24"/>
              </w:rPr>
              <w:t>，</w:t>
            </w:r>
            <w:r>
              <w:rPr>
                <w:sz w:val="24"/>
              </w:rPr>
              <w:t>则氯化钠使用量为</w:t>
            </w:r>
            <w:r>
              <w:rPr>
                <w:rFonts w:hint="eastAsia"/>
                <w:sz w:val="24"/>
              </w:rPr>
              <w:t>1</w:t>
            </w:r>
            <w:r>
              <w:rPr>
                <w:sz w:val="24"/>
              </w:rPr>
              <w:t>3.5t/a</w:t>
            </w:r>
            <w:r>
              <w:rPr>
                <w:rFonts w:hint="eastAsia"/>
                <w:sz w:val="24"/>
              </w:rPr>
              <w:t>，</w:t>
            </w:r>
            <w:r>
              <w:rPr>
                <w:sz w:val="24"/>
              </w:rPr>
              <w:t>氯化钾使用量为</w:t>
            </w:r>
            <w:r>
              <w:rPr>
                <w:rFonts w:hint="eastAsia"/>
                <w:sz w:val="24"/>
              </w:rPr>
              <w:t>0</w:t>
            </w:r>
            <w:r>
              <w:rPr>
                <w:sz w:val="24"/>
              </w:rPr>
              <w:t>.6t/a</w:t>
            </w:r>
            <w:r>
              <w:rPr>
                <w:rFonts w:hint="eastAsia"/>
                <w:sz w:val="24"/>
              </w:rPr>
              <w:t>。打渣除气剂使用过程中考虑1</w:t>
            </w:r>
            <w:r>
              <w:rPr>
                <w:sz w:val="24"/>
              </w:rPr>
              <w:t>0</w:t>
            </w:r>
            <w:r>
              <w:rPr>
                <w:rFonts w:hint="eastAsia"/>
                <w:sz w:val="24"/>
              </w:rPr>
              <w:t>%</w:t>
            </w:r>
            <w:r>
              <w:rPr>
                <w:sz w:val="24"/>
              </w:rPr>
              <w:t>的氯化物分解产生氯化氢</w:t>
            </w:r>
            <w:r>
              <w:rPr>
                <w:rFonts w:hint="eastAsia"/>
                <w:sz w:val="24"/>
              </w:rPr>
              <w:t>，</w:t>
            </w:r>
            <w:r>
              <w:rPr>
                <w:sz w:val="24"/>
              </w:rPr>
              <w:t>根据氯元素守恒计算可知</w:t>
            </w:r>
            <w:r>
              <w:rPr>
                <w:rFonts w:hint="eastAsia"/>
                <w:sz w:val="24"/>
              </w:rPr>
              <w:t>，</w:t>
            </w:r>
            <w:r>
              <w:rPr>
                <w:sz w:val="24"/>
              </w:rPr>
              <w:t>氯化氢产生量为0.11</w:t>
            </w:r>
            <w:r>
              <w:rPr>
                <w:rFonts w:hint="eastAsia"/>
                <w:sz w:val="24"/>
              </w:rPr>
              <w:t>t</w:t>
            </w:r>
            <w:r>
              <w:rPr>
                <w:sz w:val="24"/>
              </w:rPr>
              <w:t>/a</w:t>
            </w:r>
            <w:r>
              <w:rPr>
                <w:rFonts w:hint="eastAsia"/>
                <w:sz w:val="24"/>
              </w:rPr>
              <w:t>。</w:t>
            </w:r>
          </w:p>
          <w:p w14:paraId="680AC042">
            <w:pPr>
              <w:adjustRightInd w:val="0"/>
              <w:snapToGrid w:val="0"/>
              <w:spacing w:line="360" w:lineRule="auto"/>
              <w:ind w:firstLine="480" w:firstLineChars="200"/>
              <w:rPr>
                <w:sz w:val="24"/>
              </w:rPr>
            </w:pPr>
            <w:r>
              <w:rPr>
                <w:sz w:val="24"/>
              </w:rPr>
              <w:t>项目熔化炉采用直接加热熔化方式</w:t>
            </w:r>
            <w:r>
              <w:rPr>
                <w:rFonts w:hint="eastAsia"/>
                <w:sz w:val="24"/>
              </w:rPr>
              <w:t>，</w:t>
            </w:r>
            <w:r>
              <w:rPr>
                <w:sz w:val="24"/>
              </w:rPr>
              <w:t>通过物料进料口排气</w:t>
            </w:r>
            <w:r>
              <w:rPr>
                <w:rFonts w:hint="eastAsia"/>
                <w:sz w:val="24"/>
              </w:rPr>
              <w:t>，每台熔化炉分别建设2个集气罩，</w:t>
            </w:r>
            <w:r>
              <w:rPr>
                <w:sz w:val="24"/>
              </w:rPr>
              <w:t>铝锭进料口上方</w:t>
            </w:r>
            <w:r>
              <w:rPr>
                <w:rFonts w:hint="eastAsia"/>
                <w:sz w:val="24"/>
              </w:rPr>
              <w:t>1个，打渣除气剂上方1个。其中熔化能力为1</w:t>
            </w:r>
            <w:r>
              <w:rPr>
                <w:sz w:val="24"/>
              </w:rPr>
              <w:t>.5t/h的熔化炉铝锭进料口集气罩</w:t>
            </w:r>
            <w:r>
              <w:rPr>
                <w:rFonts w:hint="eastAsia"/>
                <w:sz w:val="24"/>
              </w:rPr>
              <w:t>尺寸为1</w:t>
            </w:r>
            <w:r>
              <w:rPr>
                <w:sz w:val="24"/>
              </w:rPr>
              <w:t>.2m</w:t>
            </w:r>
            <w:r>
              <w:rPr>
                <w:rFonts w:hint="eastAsia"/>
                <w:sz w:val="24"/>
              </w:rPr>
              <w:t>×</w:t>
            </w:r>
            <w:r>
              <w:rPr>
                <w:sz w:val="24"/>
              </w:rPr>
              <w:t>1.2m</w:t>
            </w:r>
            <w:r>
              <w:rPr>
                <w:rFonts w:hint="eastAsia"/>
                <w:sz w:val="24"/>
              </w:rPr>
              <w:t>，熔化能力为</w:t>
            </w:r>
            <w:r>
              <w:rPr>
                <w:sz w:val="24"/>
              </w:rPr>
              <w:t>0.75t/h的熔化炉铝锭进料口集气罩</w:t>
            </w:r>
            <w:r>
              <w:rPr>
                <w:rFonts w:hint="eastAsia"/>
                <w:sz w:val="24"/>
              </w:rPr>
              <w:t>尺寸为</w:t>
            </w:r>
            <w:r>
              <w:rPr>
                <w:sz w:val="24"/>
              </w:rPr>
              <w:t>0.8m</w:t>
            </w:r>
            <w:r>
              <w:rPr>
                <w:rFonts w:hint="eastAsia"/>
                <w:sz w:val="24"/>
              </w:rPr>
              <w:t>×</w:t>
            </w:r>
            <w:r>
              <w:rPr>
                <w:sz w:val="24"/>
              </w:rPr>
              <w:t>0.8m</w:t>
            </w:r>
            <w:r>
              <w:rPr>
                <w:rFonts w:hint="eastAsia"/>
                <w:sz w:val="24"/>
              </w:rPr>
              <w:t>，打渣除气剂进料口集气罩尺寸为</w:t>
            </w:r>
            <w:r>
              <w:rPr>
                <w:sz w:val="24"/>
              </w:rPr>
              <w:t>0.4m</w:t>
            </w:r>
            <w:r>
              <w:rPr>
                <w:rFonts w:hint="eastAsia"/>
                <w:sz w:val="24"/>
              </w:rPr>
              <w:t>×</w:t>
            </w:r>
            <w:r>
              <w:rPr>
                <w:sz w:val="24"/>
              </w:rPr>
              <w:t>0.4m</w:t>
            </w:r>
            <w:r>
              <w:rPr>
                <w:rFonts w:hint="eastAsia"/>
                <w:sz w:val="24"/>
              </w:rPr>
              <w:t>，</w:t>
            </w:r>
            <w:r>
              <w:rPr>
                <w:sz w:val="24"/>
              </w:rPr>
              <w:t>集气效率均为80</w:t>
            </w:r>
            <w:r>
              <w:rPr>
                <w:rFonts w:hint="eastAsia"/>
                <w:sz w:val="24"/>
              </w:rPr>
              <w:t>%。</w:t>
            </w:r>
            <w:r>
              <w:rPr>
                <w:sz w:val="24"/>
              </w:rPr>
              <w:t>熔化炉废气通过集气罩</w:t>
            </w:r>
            <w:r>
              <w:rPr>
                <w:rFonts w:hint="eastAsia"/>
                <w:sz w:val="24"/>
              </w:rPr>
              <w:t>收集</w:t>
            </w:r>
            <w:r>
              <w:rPr>
                <w:sz w:val="24"/>
              </w:rPr>
              <w:t>至</w:t>
            </w:r>
            <w:r>
              <w:rPr>
                <w:rFonts w:hint="eastAsia"/>
                <w:sz w:val="24"/>
              </w:rPr>
              <w:t>高温布袋除尘器处理后经1#排气筒达标排放，除尘器风量8</w:t>
            </w:r>
            <w:r>
              <w:rPr>
                <w:sz w:val="24"/>
              </w:rPr>
              <w:t>000m</w:t>
            </w:r>
            <w:r>
              <w:rPr>
                <w:sz w:val="24"/>
                <w:vertAlign w:val="superscript"/>
              </w:rPr>
              <w:t>3</w:t>
            </w:r>
            <w:r>
              <w:rPr>
                <w:sz w:val="24"/>
              </w:rPr>
              <w:t>/h</w:t>
            </w:r>
            <w:r>
              <w:rPr>
                <w:rFonts w:hint="eastAsia"/>
                <w:sz w:val="24"/>
              </w:rPr>
              <w:t>，颗粒物处理效率9</w:t>
            </w:r>
            <w:r>
              <w:rPr>
                <w:sz w:val="24"/>
              </w:rPr>
              <w:t>0</w:t>
            </w:r>
            <w:r>
              <w:rPr>
                <w:rFonts w:hint="eastAsia"/>
                <w:sz w:val="24"/>
              </w:rPr>
              <w:t>%。</w:t>
            </w:r>
          </w:p>
          <w:p w14:paraId="77CC445D">
            <w:pPr>
              <w:adjustRightInd w:val="0"/>
              <w:snapToGrid w:val="0"/>
              <w:spacing w:line="360" w:lineRule="auto"/>
              <w:ind w:firstLine="480" w:firstLineChars="200"/>
              <w:rPr>
                <w:sz w:val="24"/>
              </w:rPr>
            </w:pPr>
            <w:r>
              <w:rPr>
                <w:rFonts w:hint="eastAsia"/>
                <w:sz w:val="24"/>
              </w:rPr>
              <w:t>保温炉炉体一侧建设1根排气管，天然气燃烧废气经排气管引至</w:t>
            </w:r>
            <w:r>
              <w:rPr>
                <w:sz w:val="24"/>
              </w:rPr>
              <w:t>2</w:t>
            </w:r>
            <w:r>
              <w:rPr>
                <w:rFonts w:hint="eastAsia"/>
                <w:sz w:val="24"/>
              </w:rPr>
              <w:t>#排气筒达标排放。</w:t>
            </w:r>
          </w:p>
          <w:p w14:paraId="06208678">
            <w:pPr>
              <w:adjustRightInd w:val="0"/>
              <w:snapToGrid w:val="0"/>
              <w:spacing w:line="360" w:lineRule="auto"/>
              <w:ind w:firstLine="480" w:firstLineChars="200"/>
              <w:rPr>
                <w:sz w:val="24"/>
              </w:rPr>
            </w:pPr>
            <w:r>
              <w:rPr>
                <w:rFonts w:hint="eastAsia"/>
                <w:sz w:val="24"/>
              </w:rPr>
              <w:t>②压铸工序（G</w:t>
            </w:r>
            <w:r>
              <w:rPr>
                <w:sz w:val="24"/>
              </w:rPr>
              <w:t>2</w:t>
            </w:r>
            <w:r>
              <w:rPr>
                <w:rFonts w:hint="eastAsia"/>
                <w:sz w:val="24"/>
              </w:rPr>
              <w:t>、G</w:t>
            </w:r>
            <w:r>
              <w:rPr>
                <w:sz w:val="24"/>
              </w:rPr>
              <w:t>3</w:t>
            </w:r>
            <w:r>
              <w:rPr>
                <w:rFonts w:hint="eastAsia"/>
                <w:sz w:val="24"/>
              </w:rPr>
              <w:t>）</w:t>
            </w:r>
          </w:p>
          <w:p w14:paraId="68C788FD">
            <w:pPr>
              <w:adjustRightInd w:val="0"/>
              <w:snapToGrid w:val="0"/>
              <w:spacing w:line="360" w:lineRule="auto"/>
              <w:ind w:firstLine="480" w:firstLineChars="200"/>
              <w:rPr>
                <w:sz w:val="24"/>
              </w:rPr>
            </w:pPr>
            <w:r>
              <w:rPr>
                <w:rFonts w:hint="eastAsia"/>
                <w:sz w:val="24"/>
              </w:rPr>
              <w:t>项目压铸工序废气包含保温炉废气及脱模废气。</w:t>
            </w:r>
          </w:p>
          <w:p w14:paraId="5EC0A9E2">
            <w:pPr>
              <w:adjustRightInd w:val="0"/>
              <w:snapToGrid w:val="0"/>
              <w:spacing w:line="360" w:lineRule="auto"/>
              <w:ind w:firstLine="480" w:firstLineChars="200"/>
              <w:rPr>
                <w:sz w:val="24"/>
              </w:rPr>
            </w:pPr>
            <w:r>
              <w:rPr>
                <w:rFonts w:hint="eastAsia"/>
                <w:sz w:val="24"/>
              </w:rPr>
              <w:t>保温炉废气（G</w:t>
            </w:r>
            <w:r>
              <w:rPr>
                <w:sz w:val="24"/>
              </w:rPr>
              <w:t>2</w:t>
            </w:r>
            <w:r>
              <w:rPr>
                <w:rFonts w:hint="eastAsia"/>
                <w:sz w:val="24"/>
              </w:rPr>
              <w:t>）：</w:t>
            </w:r>
          </w:p>
          <w:p w14:paraId="2E5D2EA5">
            <w:pPr>
              <w:adjustRightInd w:val="0"/>
              <w:snapToGrid w:val="0"/>
              <w:spacing w:line="360" w:lineRule="auto"/>
              <w:ind w:firstLine="480" w:firstLineChars="200"/>
              <w:rPr>
                <w:sz w:val="24"/>
              </w:rPr>
            </w:pPr>
            <w:r>
              <w:rPr>
                <w:rFonts w:hint="eastAsia"/>
                <w:sz w:val="24"/>
              </w:rPr>
              <w:t>压铸工序保温炉使用天然气作为燃料，</w:t>
            </w:r>
            <w:r>
              <w:rPr>
                <w:sz w:val="24"/>
              </w:rPr>
              <w:t>二氧化硫</w:t>
            </w:r>
            <w:r>
              <w:rPr>
                <w:rFonts w:hint="eastAsia"/>
                <w:sz w:val="24"/>
              </w:rPr>
              <w:t>、</w:t>
            </w:r>
            <w:r>
              <w:rPr>
                <w:sz w:val="24"/>
              </w:rPr>
              <w:t>氮氧化物</w:t>
            </w:r>
            <w:r>
              <w:rPr>
                <w:rFonts w:hint="eastAsia"/>
                <w:sz w:val="24"/>
              </w:rPr>
              <w:t>及颗粒物产污系数见熔化工序保温炉产污系数</w:t>
            </w:r>
            <w:r>
              <w:rPr>
                <w:rFonts w:hint="eastAsia"/>
                <w:sz w:val="24"/>
                <w:szCs w:val="21"/>
              </w:rPr>
              <w:t>。项目压铸工序保温炉天然气消耗量为</w:t>
            </w:r>
            <w:r>
              <w:rPr>
                <w:sz w:val="24"/>
              </w:rPr>
              <w:t>30m³/h</w:t>
            </w:r>
            <w:r>
              <w:rPr>
                <w:rFonts w:hint="eastAsia"/>
                <w:sz w:val="24"/>
              </w:rPr>
              <w:t>·台，共建设1</w:t>
            </w:r>
            <w:r>
              <w:rPr>
                <w:sz w:val="24"/>
              </w:rPr>
              <w:t>2</w:t>
            </w:r>
            <w:r>
              <w:rPr>
                <w:rFonts w:hint="eastAsia"/>
                <w:sz w:val="24"/>
              </w:rPr>
              <w:t>台保温炉，压铸工序保温炉年工作时间</w:t>
            </w:r>
            <w:r>
              <w:rPr>
                <w:sz w:val="24"/>
              </w:rPr>
              <w:t>7920h</w:t>
            </w:r>
            <w:r>
              <w:rPr>
                <w:rFonts w:hint="eastAsia"/>
                <w:sz w:val="24"/>
              </w:rPr>
              <w:t>，根据表4</w:t>
            </w:r>
            <w:r>
              <w:rPr>
                <w:sz w:val="24"/>
              </w:rPr>
              <w:t>-3计算可知</w:t>
            </w:r>
            <w:r>
              <w:rPr>
                <w:rFonts w:hint="eastAsia"/>
                <w:sz w:val="24"/>
              </w:rPr>
              <w:t>，保温炉污染物产生量及产生速率及产生量如下：</w:t>
            </w:r>
          </w:p>
          <w:p w14:paraId="5C7CA017">
            <w:pPr>
              <w:adjustRightInd w:val="0"/>
              <w:snapToGrid w:val="0"/>
              <w:spacing w:line="360" w:lineRule="auto"/>
              <w:ind w:firstLine="480" w:firstLineChars="200"/>
              <w:rPr>
                <w:sz w:val="24"/>
              </w:rPr>
            </w:pPr>
            <w:r>
              <w:rPr>
                <w:sz w:val="24"/>
              </w:rPr>
              <w:t>A.二氧化硫</w:t>
            </w:r>
            <w:r>
              <w:rPr>
                <w:rFonts w:hint="eastAsia"/>
                <w:sz w:val="24"/>
              </w:rPr>
              <w:t>：</w:t>
            </w:r>
            <w:r>
              <w:rPr>
                <w:sz w:val="24"/>
              </w:rPr>
              <w:t>0.072</w:t>
            </w:r>
            <w:r>
              <w:rPr>
                <w:rFonts w:hint="eastAsia"/>
                <w:sz w:val="24"/>
              </w:rPr>
              <w:t>kg</w:t>
            </w:r>
            <w:r>
              <w:rPr>
                <w:sz w:val="24"/>
              </w:rPr>
              <w:t>/</w:t>
            </w:r>
            <w:r>
              <w:rPr>
                <w:rFonts w:hint="eastAsia"/>
                <w:sz w:val="24"/>
              </w:rPr>
              <w:t>h，</w:t>
            </w:r>
            <w:r>
              <w:rPr>
                <w:sz w:val="24"/>
              </w:rPr>
              <w:t>0.570</w:t>
            </w:r>
            <w:r>
              <w:rPr>
                <w:rFonts w:hint="eastAsia"/>
                <w:sz w:val="24"/>
              </w:rPr>
              <w:t>t</w:t>
            </w:r>
            <w:r>
              <w:rPr>
                <w:sz w:val="24"/>
              </w:rPr>
              <w:t>/</w:t>
            </w:r>
            <w:r>
              <w:rPr>
                <w:rFonts w:hint="eastAsia"/>
                <w:sz w:val="24"/>
              </w:rPr>
              <w:t>a。</w:t>
            </w:r>
          </w:p>
          <w:p w14:paraId="2B57D7F6">
            <w:pPr>
              <w:adjustRightInd w:val="0"/>
              <w:snapToGrid w:val="0"/>
              <w:spacing w:line="360" w:lineRule="auto"/>
              <w:ind w:firstLine="480" w:firstLineChars="200"/>
              <w:rPr>
                <w:sz w:val="24"/>
              </w:rPr>
            </w:pPr>
            <w:r>
              <w:rPr>
                <w:sz w:val="24"/>
              </w:rPr>
              <w:t>B.氮氧化物：0.674</w:t>
            </w:r>
            <w:r>
              <w:rPr>
                <w:rFonts w:hint="eastAsia"/>
                <w:sz w:val="24"/>
              </w:rPr>
              <w:t>kg</w:t>
            </w:r>
            <w:r>
              <w:rPr>
                <w:sz w:val="24"/>
              </w:rPr>
              <w:t>/</w:t>
            </w:r>
            <w:r>
              <w:rPr>
                <w:rFonts w:hint="eastAsia"/>
                <w:sz w:val="24"/>
              </w:rPr>
              <w:t>h，</w:t>
            </w:r>
            <w:r>
              <w:rPr>
                <w:sz w:val="24"/>
              </w:rPr>
              <w:t>5.338</w:t>
            </w:r>
            <w:r>
              <w:rPr>
                <w:rFonts w:hint="eastAsia"/>
                <w:sz w:val="24"/>
              </w:rPr>
              <w:t>t</w:t>
            </w:r>
            <w:r>
              <w:rPr>
                <w:sz w:val="24"/>
              </w:rPr>
              <w:t>/</w:t>
            </w:r>
            <w:r>
              <w:rPr>
                <w:rFonts w:hint="eastAsia"/>
                <w:sz w:val="24"/>
              </w:rPr>
              <w:t>a。</w:t>
            </w:r>
          </w:p>
          <w:p w14:paraId="3AF76DDD">
            <w:pPr>
              <w:adjustRightInd w:val="0"/>
              <w:snapToGrid w:val="0"/>
              <w:spacing w:line="360" w:lineRule="auto"/>
              <w:ind w:firstLine="480" w:firstLineChars="200"/>
              <w:rPr>
                <w:sz w:val="24"/>
              </w:rPr>
            </w:pPr>
            <w:r>
              <w:rPr>
                <w:sz w:val="24"/>
              </w:rPr>
              <w:t>C.颗粒物：0.103</w:t>
            </w:r>
            <w:r>
              <w:rPr>
                <w:rFonts w:hint="eastAsia"/>
                <w:sz w:val="24"/>
              </w:rPr>
              <w:t>kg</w:t>
            </w:r>
            <w:r>
              <w:rPr>
                <w:sz w:val="24"/>
              </w:rPr>
              <w:t>/</w:t>
            </w:r>
            <w:r>
              <w:rPr>
                <w:rFonts w:hint="eastAsia"/>
                <w:sz w:val="24"/>
              </w:rPr>
              <w:t>h，</w:t>
            </w:r>
            <w:r>
              <w:rPr>
                <w:sz w:val="24"/>
              </w:rPr>
              <w:t>0.816t/</w:t>
            </w:r>
            <w:r>
              <w:rPr>
                <w:rFonts w:hint="eastAsia"/>
                <w:sz w:val="24"/>
              </w:rPr>
              <w:t>a。</w:t>
            </w:r>
          </w:p>
          <w:p w14:paraId="25897D55">
            <w:pPr>
              <w:adjustRightInd w:val="0"/>
              <w:snapToGrid w:val="0"/>
              <w:spacing w:line="360" w:lineRule="auto"/>
              <w:ind w:firstLine="480" w:firstLineChars="200"/>
              <w:rPr>
                <w:sz w:val="24"/>
              </w:rPr>
            </w:pPr>
            <w:r>
              <w:rPr>
                <w:rFonts w:hint="eastAsia"/>
                <w:sz w:val="24"/>
              </w:rPr>
              <w:t>D</w:t>
            </w:r>
            <w:r>
              <w:rPr>
                <w:sz w:val="24"/>
              </w:rPr>
              <w:t>.</w:t>
            </w:r>
            <w:r>
              <w:rPr>
                <w:rFonts w:hint="eastAsia"/>
                <w:sz w:val="24"/>
              </w:rPr>
              <w:t>烟气量：</w:t>
            </w:r>
            <w:r>
              <w:rPr>
                <w:sz w:val="24"/>
              </w:rPr>
              <w:t>3879</w:t>
            </w:r>
            <w:r>
              <w:rPr>
                <w:rFonts w:hint="eastAsia"/>
                <w:sz w:val="24"/>
              </w:rPr>
              <w:t>m</w:t>
            </w:r>
            <w:r>
              <w:rPr>
                <w:sz w:val="24"/>
                <w:vertAlign w:val="superscript"/>
              </w:rPr>
              <w:t>3</w:t>
            </w:r>
            <w:r>
              <w:rPr>
                <w:sz w:val="24"/>
              </w:rPr>
              <w:t>/</w:t>
            </w:r>
            <w:r>
              <w:rPr>
                <w:rFonts w:hint="eastAsia"/>
                <w:sz w:val="24"/>
              </w:rPr>
              <w:t>h，</w:t>
            </w:r>
            <w:r>
              <w:rPr>
                <w:sz w:val="24"/>
              </w:rPr>
              <w:t>30721680</w:t>
            </w:r>
            <w:r>
              <w:rPr>
                <w:rFonts w:hint="eastAsia"/>
                <w:sz w:val="24"/>
              </w:rPr>
              <w:t>m</w:t>
            </w:r>
            <w:r>
              <w:rPr>
                <w:sz w:val="24"/>
                <w:vertAlign w:val="superscript"/>
              </w:rPr>
              <w:t>3</w:t>
            </w:r>
            <w:r>
              <w:rPr>
                <w:sz w:val="24"/>
              </w:rPr>
              <w:t>/</w:t>
            </w:r>
            <w:r>
              <w:rPr>
                <w:rFonts w:hint="eastAsia"/>
                <w:sz w:val="24"/>
              </w:rPr>
              <w:t>a。</w:t>
            </w:r>
          </w:p>
          <w:p w14:paraId="5841EADC">
            <w:pPr>
              <w:adjustRightInd w:val="0"/>
              <w:snapToGrid w:val="0"/>
              <w:spacing w:line="360" w:lineRule="auto"/>
              <w:ind w:firstLine="480" w:firstLineChars="200"/>
              <w:rPr>
                <w:sz w:val="24"/>
              </w:rPr>
            </w:pPr>
            <w:r>
              <w:rPr>
                <w:rFonts w:hint="eastAsia"/>
                <w:sz w:val="24"/>
              </w:rPr>
              <w:t>保温炉炉体一侧建设1根排气管，天然气燃烧废气经排气管引至</w:t>
            </w:r>
            <w:r>
              <w:rPr>
                <w:sz w:val="24"/>
              </w:rPr>
              <w:t>2</w:t>
            </w:r>
            <w:r>
              <w:rPr>
                <w:rFonts w:hint="eastAsia"/>
                <w:sz w:val="24"/>
              </w:rPr>
              <w:t>#排气筒达标排放。</w:t>
            </w:r>
          </w:p>
          <w:p w14:paraId="5DEF030A">
            <w:pPr>
              <w:adjustRightInd w:val="0"/>
              <w:snapToGrid w:val="0"/>
              <w:spacing w:line="360" w:lineRule="auto"/>
              <w:ind w:firstLine="480" w:firstLineChars="200"/>
              <w:rPr>
                <w:sz w:val="24"/>
              </w:rPr>
            </w:pPr>
            <w:r>
              <w:rPr>
                <w:rFonts w:hint="eastAsia"/>
                <w:sz w:val="24"/>
              </w:rPr>
              <w:t>经计算，1#排气筒及2#排气筒污染物排放情况见</w:t>
            </w:r>
            <w:r>
              <w:rPr>
                <w:sz w:val="24"/>
              </w:rPr>
              <w:t>表</w:t>
            </w:r>
            <w:r>
              <w:rPr>
                <w:rFonts w:hint="eastAsia"/>
                <w:sz w:val="24"/>
              </w:rPr>
              <w:t>4</w:t>
            </w:r>
            <w:r>
              <w:rPr>
                <w:sz w:val="24"/>
              </w:rPr>
              <w:t>-4</w:t>
            </w:r>
            <w:r>
              <w:rPr>
                <w:rFonts w:hint="eastAsia"/>
                <w:sz w:val="24"/>
              </w:rPr>
              <w:t>。</w:t>
            </w:r>
          </w:p>
          <w:p w14:paraId="7F78C3E8">
            <w:pPr>
              <w:adjustRightInd w:val="0"/>
              <w:snapToGrid w:val="0"/>
              <w:spacing w:line="360" w:lineRule="auto"/>
              <w:jc w:val="center"/>
              <w:rPr>
                <w:sz w:val="24"/>
              </w:rPr>
            </w:pPr>
            <w:r>
              <w:rPr>
                <w:sz w:val="24"/>
              </w:rPr>
              <w:t>表</w:t>
            </w:r>
            <w:r>
              <w:rPr>
                <w:rFonts w:hint="eastAsia"/>
                <w:sz w:val="24"/>
              </w:rPr>
              <w:t>4</w:t>
            </w:r>
            <w:r>
              <w:rPr>
                <w:sz w:val="24"/>
              </w:rPr>
              <w:t>-4  1</w:t>
            </w:r>
            <w:r>
              <w:rPr>
                <w:rFonts w:hint="eastAsia"/>
                <w:sz w:val="24"/>
              </w:rPr>
              <w:t>#</w:t>
            </w:r>
            <w:r>
              <w:rPr>
                <w:sz w:val="24"/>
              </w:rPr>
              <w:t>排气筒</w:t>
            </w:r>
            <w:r>
              <w:rPr>
                <w:rFonts w:hint="eastAsia"/>
                <w:sz w:val="24"/>
              </w:rPr>
              <w:t>、2#</w:t>
            </w:r>
            <w:r>
              <w:rPr>
                <w:sz w:val="24"/>
              </w:rPr>
              <w:t>排气筒污染物排放统计表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38"/>
              <w:gridCol w:w="1596"/>
            </w:tblGrid>
            <w:tr w14:paraId="2E67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2C618ABD">
                  <w:pPr>
                    <w:adjustRightInd w:val="0"/>
                    <w:snapToGrid w:val="0"/>
                    <w:jc w:val="center"/>
                  </w:pPr>
                  <w:r>
                    <w:rPr>
                      <w:rFonts w:hint="eastAsia"/>
                    </w:rPr>
                    <w:t>排气筒编号</w:t>
                  </w:r>
                </w:p>
              </w:tc>
              <w:tc>
                <w:tcPr>
                  <w:tcW w:w="1596" w:type="dxa"/>
                  <w:vAlign w:val="center"/>
                </w:tcPr>
                <w:p w14:paraId="0C5C68DB">
                  <w:pPr>
                    <w:adjustRightInd w:val="0"/>
                    <w:snapToGrid w:val="0"/>
                    <w:jc w:val="center"/>
                  </w:pPr>
                  <w:r>
                    <w:rPr>
                      <w:rFonts w:hint="eastAsia"/>
                    </w:rPr>
                    <w:t>污染物类型</w:t>
                  </w:r>
                </w:p>
              </w:tc>
              <w:tc>
                <w:tcPr>
                  <w:tcW w:w="1596" w:type="dxa"/>
                  <w:vAlign w:val="center"/>
                </w:tcPr>
                <w:p w14:paraId="7B399298">
                  <w:pPr>
                    <w:adjustRightInd w:val="0"/>
                    <w:snapToGrid w:val="0"/>
                    <w:jc w:val="center"/>
                  </w:pPr>
                  <w:r>
                    <w:rPr>
                      <w:rFonts w:hint="eastAsia"/>
                    </w:rPr>
                    <w:t>排放浓度mg</w:t>
                  </w:r>
                  <w:r>
                    <w:t>/m</w:t>
                  </w:r>
                  <w:r>
                    <w:rPr>
                      <w:vertAlign w:val="superscript"/>
                    </w:rPr>
                    <w:t>3</w:t>
                  </w:r>
                </w:p>
              </w:tc>
              <w:tc>
                <w:tcPr>
                  <w:tcW w:w="1538" w:type="dxa"/>
                  <w:vAlign w:val="center"/>
                </w:tcPr>
                <w:p w14:paraId="262AF55D">
                  <w:pPr>
                    <w:adjustRightInd w:val="0"/>
                    <w:snapToGrid w:val="0"/>
                    <w:jc w:val="center"/>
                  </w:pPr>
                  <w:r>
                    <w:rPr>
                      <w:rFonts w:hint="eastAsia"/>
                    </w:rPr>
                    <w:t>排放速率kg</w:t>
                  </w:r>
                  <w:r>
                    <w:t>/h</w:t>
                  </w:r>
                </w:p>
              </w:tc>
              <w:tc>
                <w:tcPr>
                  <w:tcW w:w="1596" w:type="dxa"/>
                  <w:vAlign w:val="center"/>
                </w:tcPr>
                <w:p w14:paraId="7EF57C67">
                  <w:pPr>
                    <w:adjustRightInd w:val="0"/>
                    <w:snapToGrid w:val="0"/>
                    <w:jc w:val="center"/>
                  </w:pPr>
                  <w:r>
                    <w:rPr>
                      <w:rFonts w:hint="eastAsia"/>
                    </w:rPr>
                    <w:t>年排放量t</w:t>
                  </w:r>
                  <w:r>
                    <w:t>/a</w:t>
                  </w:r>
                </w:p>
              </w:tc>
            </w:tr>
            <w:tr w14:paraId="0435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14:paraId="0B1250FD">
                  <w:pPr>
                    <w:adjustRightInd w:val="0"/>
                    <w:snapToGrid w:val="0"/>
                    <w:jc w:val="center"/>
                  </w:pPr>
                  <w:r>
                    <w:rPr>
                      <w:rFonts w:hint="eastAsia"/>
                    </w:rPr>
                    <w:t>1#排气筒</w:t>
                  </w:r>
                </w:p>
              </w:tc>
              <w:tc>
                <w:tcPr>
                  <w:tcW w:w="1596" w:type="dxa"/>
                  <w:vAlign w:val="bottom"/>
                </w:tcPr>
                <w:p w14:paraId="36BBD44E">
                  <w:pPr>
                    <w:widowControl/>
                    <w:jc w:val="center"/>
                    <w:rPr>
                      <w:kern w:val="0"/>
                      <w:szCs w:val="22"/>
                    </w:rPr>
                  </w:pPr>
                  <w:r>
                    <w:rPr>
                      <w:szCs w:val="22"/>
                    </w:rPr>
                    <w:t>二氧化硫</w:t>
                  </w:r>
                </w:p>
              </w:tc>
              <w:tc>
                <w:tcPr>
                  <w:tcW w:w="1596" w:type="dxa"/>
                  <w:vAlign w:val="center"/>
                </w:tcPr>
                <w:p w14:paraId="6C50217B">
                  <w:pPr>
                    <w:widowControl/>
                    <w:jc w:val="center"/>
                    <w:rPr>
                      <w:rFonts w:eastAsia="等线"/>
                      <w:kern w:val="0"/>
                      <w:szCs w:val="22"/>
                    </w:rPr>
                  </w:pPr>
                  <w:r>
                    <w:rPr>
                      <w:rFonts w:eastAsia="等线"/>
                      <w:szCs w:val="22"/>
                    </w:rPr>
                    <w:t xml:space="preserve">6.00 </w:t>
                  </w:r>
                </w:p>
              </w:tc>
              <w:tc>
                <w:tcPr>
                  <w:tcW w:w="1538" w:type="dxa"/>
                  <w:vAlign w:val="center"/>
                </w:tcPr>
                <w:p w14:paraId="5A9AD220">
                  <w:pPr>
                    <w:jc w:val="center"/>
                    <w:rPr>
                      <w:rFonts w:eastAsia="等线"/>
                      <w:szCs w:val="22"/>
                    </w:rPr>
                  </w:pPr>
                  <w:r>
                    <w:rPr>
                      <w:rFonts w:eastAsia="等线"/>
                      <w:szCs w:val="22"/>
                    </w:rPr>
                    <w:t xml:space="preserve">0.048 </w:t>
                  </w:r>
                </w:p>
              </w:tc>
              <w:tc>
                <w:tcPr>
                  <w:tcW w:w="1596" w:type="dxa"/>
                  <w:vAlign w:val="center"/>
                </w:tcPr>
                <w:p w14:paraId="0F390AA9">
                  <w:pPr>
                    <w:jc w:val="center"/>
                    <w:rPr>
                      <w:rFonts w:eastAsia="等线"/>
                      <w:szCs w:val="22"/>
                    </w:rPr>
                  </w:pPr>
                  <w:r>
                    <w:rPr>
                      <w:rFonts w:eastAsia="等线"/>
                      <w:szCs w:val="22"/>
                    </w:rPr>
                    <w:t xml:space="preserve">0.032 </w:t>
                  </w:r>
                </w:p>
              </w:tc>
            </w:tr>
            <w:tr w14:paraId="3AC6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14:paraId="6D04D27A">
                  <w:pPr>
                    <w:adjustRightInd w:val="0"/>
                    <w:snapToGrid w:val="0"/>
                    <w:jc w:val="center"/>
                  </w:pPr>
                </w:p>
              </w:tc>
              <w:tc>
                <w:tcPr>
                  <w:tcW w:w="1596" w:type="dxa"/>
                  <w:vAlign w:val="bottom"/>
                </w:tcPr>
                <w:p w14:paraId="34263DD5">
                  <w:pPr>
                    <w:jc w:val="center"/>
                    <w:rPr>
                      <w:szCs w:val="22"/>
                    </w:rPr>
                  </w:pPr>
                  <w:r>
                    <w:rPr>
                      <w:szCs w:val="22"/>
                    </w:rPr>
                    <w:t>氮氧化物</w:t>
                  </w:r>
                </w:p>
              </w:tc>
              <w:tc>
                <w:tcPr>
                  <w:tcW w:w="1596" w:type="dxa"/>
                  <w:vAlign w:val="center"/>
                </w:tcPr>
                <w:p w14:paraId="0587AF7A">
                  <w:pPr>
                    <w:jc w:val="center"/>
                    <w:rPr>
                      <w:rFonts w:eastAsia="等线"/>
                      <w:szCs w:val="22"/>
                    </w:rPr>
                  </w:pPr>
                  <w:r>
                    <w:rPr>
                      <w:rFonts w:eastAsia="等线"/>
                      <w:szCs w:val="22"/>
                    </w:rPr>
                    <w:t xml:space="preserve">56.00 </w:t>
                  </w:r>
                </w:p>
              </w:tc>
              <w:tc>
                <w:tcPr>
                  <w:tcW w:w="1538" w:type="dxa"/>
                  <w:vAlign w:val="center"/>
                </w:tcPr>
                <w:p w14:paraId="77CA34D0">
                  <w:pPr>
                    <w:jc w:val="center"/>
                    <w:rPr>
                      <w:rFonts w:eastAsia="等线"/>
                      <w:szCs w:val="22"/>
                    </w:rPr>
                  </w:pPr>
                  <w:r>
                    <w:rPr>
                      <w:rFonts w:eastAsia="等线"/>
                      <w:szCs w:val="22"/>
                    </w:rPr>
                    <w:t xml:space="preserve">0.448 </w:t>
                  </w:r>
                </w:p>
              </w:tc>
              <w:tc>
                <w:tcPr>
                  <w:tcW w:w="1596" w:type="dxa"/>
                  <w:vAlign w:val="center"/>
                </w:tcPr>
                <w:p w14:paraId="320F752D">
                  <w:pPr>
                    <w:jc w:val="center"/>
                    <w:rPr>
                      <w:rFonts w:eastAsia="等线"/>
                      <w:szCs w:val="22"/>
                    </w:rPr>
                  </w:pPr>
                  <w:r>
                    <w:rPr>
                      <w:rFonts w:eastAsia="等线"/>
                      <w:szCs w:val="22"/>
                    </w:rPr>
                    <w:t xml:space="preserve">0.299 </w:t>
                  </w:r>
                </w:p>
              </w:tc>
            </w:tr>
            <w:tr w14:paraId="7895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14:paraId="5F9D4F4E">
                  <w:pPr>
                    <w:adjustRightInd w:val="0"/>
                    <w:snapToGrid w:val="0"/>
                    <w:jc w:val="center"/>
                  </w:pPr>
                </w:p>
              </w:tc>
              <w:tc>
                <w:tcPr>
                  <w:tcW w:w="1596" w:type="dxa"/>
                  <w:vAlign w:val="bottom"/>
                </w:tcPr>
                <w:p w14:paraId="3FECDD7F">
                  <w:pPr>
                    <w:jc w:val="center"/>
                    <w:rPr>
                      <w:szCs w:val="22"/>
                    </w:rPr>
                  </w:pPr>
                  <w:r>
                    <w:rPr>
                      <w:szCs w:val="22"/>
                    </w:rPr>
                    <w:t>颗粒物</w:t>
                  </w:r>
                </w:p>
              </w:tc>
              <w:tc>
                <w:tcPr>
                  <w:tcW w:w="1596" w:type="dxa"/>
                  <w:vAlign w:val="center"/>
                </w:tcPr>
                <w:p w14:paraId="4E250A8E">
                  <w:pPr>
                    <w:jc w:val="center"/>
                    <w:rPr>
                      <w:rFonts w:eastAsia="等线"/>
                      <w:szCs w:val="22"/>
                    </w:rPr>
                  </w:pPr>
                  <w:r>
                    <w:rPr>
                      <w:rFonts w:eastAsia="等线"/>
                      <w:szCs w:val="22"/>
                    </w:rPr>
                    <w:t xml:space="preserve">22.13 </w:t>
                  </w:r>
                </w:p>
              </w:tc>
              <w:tc>
                <w:tcPr>
                  <w:tcW w:w="1538" w:type="dxa"/>
                  <w:vAlign w:val="center"/>
                </w:tcPr>
                <w:p w14:paraId="23230F71">
                  <w:pPr>
                    <w:jc w:val="center"/>
                    <w:rPr>
                      <w:rFonts w:eastAsia="等线"/>
                      <w:szCs w:val="22"/>
                    </w:rPr>
                  </w:pPr>
                  <w:r>
                    <w:rPr>
                      <w:rFonts w:eastAsia="等线"/>
                      <w:szCs w:val="22"/>
                    </w:rPr>
                    <w:t xml:space="preserve">0.177 </w:t>
                  </w:r>
                </w:p>
              </w:tc>
              <w:tc>
                <w:tcPr>
                  <w:tcW w:w="1596" w:type="dxa"/>
                  <w:vAlign w:val="center"/>
                </w:tcPr>
                <w:p w14:paraId="3F076A4F">
                  <w:pPr>
                    <w:jc w:val="center"/>
                    <w:rPr>
                      <w:rFonts w:eastAsia="等线"/>
                      <w:szCs w:val="22"/>
                    </w:rPr>
                  </w:pPr>
                  <w:r>
                    <w:rPr>
                      <w:rFonts w:eastAsia="等线"/>
                      <w:szCs w:val="22"/>
                    </w:rPr>
                    <w:t xml:space="preserve">0.118 </w:t>
                  </w:r>
                </w:p>
              </w:tc>
            </w:tr>
            <w:tr w14:paraId="630D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14:paraId="6DA36173">
                  <w:pPr>
                    <w:adjustRightInd w:val="0"/>
                    <w:snapToGrid w:val="0"/>
                    <w:jc w:val="center"/>
                  </w:pPr>
                </w:p>
              </w:tc>
              <w:tc>
                <w:tcPr>
                  <w:tcW w:w="1596" w:type="dxa"/>
                  <w:vAlign w:val="bottom"/>
                </w:tcPr>
                <w:p w14:paraId="587B48BC">
                  <w:pPr>
                    <w:jc w:val="center"/>
                    <w:rPr>
                      <w:szCs w:val="22"/>
                    </w:rPr>
                  </w:pPr>
                  <w:r>
                    <w:rPr>
                      <w:rFonts w:hint="eastAsia"/>
                      <w:szCs w:val="22"/>
                    </w:rPr>
                    <w:t>氯化氢</w:t>
                  </w:r>
                </w:p>
              </w:tc>
              <w:tc>
                <w:tcPr>
                  <w:tcW w:w="1596" w:type="dxa"/>
                  <w:vAlign w:val="center"/>
                </w:tcPr>
                <w:p w14:paraId="5B7984AA">
                  <w:pPr>
                    <w:jc w:val="center"/>
                    <w:rPr>
                      <w:rFonts w:eastAsia="等线"/>
                      <w:szCs w:val="22"/>
                    </w:rPr>
                  </w:pPr>
                  <w:r>
                    <w:rPr>
                      <w:rFonts w:eastAsia="等线"/>
                      <w:szCs w:val="22"/>
                    </w:rPr>
                    <w:t xml:space="preserve">16.50 </w:t>
                  </w:r>
                </w:p>
              </w:tc>
              <w:tc>
                <w:tcPr>
                  <w:tcW w:w="1538" w:type="dxa"/>
                  <w:vAlign w:val="center"/>
                </w:tcPr>
                <w:p w14:paraId="5EFD7CFB">
                  <w:pPr>
                    <w:jc w:val="center"/>
                    <w:rPr>
                      <w:rFonts w:eastAsia="等线"/>
                      <w:szCs w:val="22"/>
                    </w:rPr>
                  </w:pPr>
                  <w:r>
                    <w:rPr>
                      <w:rFonts w:eastAsia="等线"/>
                      <w:szCs w:val="22"/>
                    </w:rPr>
                    <w:t xml:space="preserve">0.132 </w:t>
                  </w:r>
                </w:p>
              </w:tc>
              <w:tc>
                <w:tcPr>
                  <w:tcW w:w="1596" w:type="dxa"/>
                  <w:vAlign w:val="center"/>
                </w:tcPr>
                <w:p w14:paraId="308929B9">
                  <w:pPr>
                    <w:jc w:val="center"/>
                    <w:rPr>
                      <w:rFonts w:eastAsia="等线"/>
                      <w:szCs w:val="22"/>
                    </w:rPr>
                  </w:pPr>
                  <w:r>
                    <w:rPr>
                      <w:rFonts w:eastAsia="等线"/>
                      <w:szCs w:val="22"/>
                    </w:rPr>
                    <w:t xml:space="preserve">0.088 </w:t>
                  </w:r>
                </w:p>
              </w:tc>
            </w:tr>
            <w:tr w14:paraId="524F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14:paraId="289EC2A8">
                  <w:pPr>
                    <w:adjustRightInd w:val="0"/>
                    <w:snapToGrid w:val="0"/>
                    <w:jc w:val="center"/>
                  </w:pPr>
                  <w:r>
                    <w:rPr>
                      <w:rFonts w:hint="eastAsia"/>
                    </w:rPr>
                    <w:t>2#排气筒</w:t>
                  </w:r>
                </w:p>
              </w:tc>
              <w:tc>
                <w:tcPr>
                  <w:tcW w:w="1596" w:type="dxa"/>
                  <w:vAlign w:val="bottom"/>
                </w:tcPr>
                <w:p w14:paraId="5B4D8327">
                  <w:pPr>
                    <w:widowControl/>
                    <w:jc w:val="center"/>
                    <w:rPr>
                      <w:kern w:val="0"/>
                      <w:szCs w:val="22"/>
                    </w:rPr>
                  </w:pPr>
                  <w:r>
                    <w:rPr>
                      <w:szCs w:val="22"/>
                    </w:rPr>
                    <w:t>二氧化硫</w:t>
                  </w:r>
                </w:p>
              </w:tc>
              <w:tc>
                <w:tcPr>
                  <w:tcW w:w="1596" w:type="dxa"/>
                  <w:vAlign w:val="center"/>
                </w:tcPr>
                <w:p w14:paraId="499B8911">
                  <w:pPr>
                    <w:widowControl/>
                    <w:jc w:val="center"/>
                    <w:rPr>
                      <w:rFonts w:eastAsia="等线"/>
                      <w:kern w:val="0"/>
                      <w:szCs w:val="22"/>
                    </w:rPr>
                  </w:pPr>
                  <w:r>
                    <w:rPr>
                      <w:rFonts w:eastAsia="等线"/>
                      <w:szCs w:val="22"/>
                    </w:rPr>
                    <w:t xml:space="preserve">18.56 </w:t>
                  </w:r>
                </w:p>
              </w:tc>
              <w:tc>
                <w:tcPr>
                  <w:tcW w:w="1538" w:type="dxa"/>
                  <w:vAlign w:val="center"/>
                </w:tcPr>
                <w:p w14:paraId="48B639AB">
                  <w:pPr>
                    <w:jc w:val="center"/>
                    <w:rPr>
                      <w:rFonts w:eastAsia="等线"/>
                      <w:szCs w:val="22"/>
                    </w:rPr>
                  </w:pPr>
                  <w:r>
                    <w:rPr>
                      <w:rFonts w:eastAsia="等线"/>
                      <w:szCs w:val="22"/>
                    </w:rPr>
                    <w:t xml:space="preserve">0.078 </w:t>
                  </w:r>
                </w:p>
              </w:tc>
              <w:tc>
                <w:tcPr>
                  <w:tcW w:w="1596" w:type="dxa"/>
                  <w:vAlign w:val="center"/>
                </w:tcPr>
                <w:p w14:paraId="46E9BB68">
                  <w:pPr>
                    <w:jc w:val="center"/>
                    <w:rPr>
                      <w:rFonts w:eastAsia="等线"/>
                      <w:szCs w:val="22"/>
                    </w:rPr>
                  </w:pPr>
                  <w:r>
                    <w:rPr>
                      <w:rFonts w:eastAsia="等线"/>
                      <w:szCs w:val="22"/>
                    </w:rPr>
                    <w:t xml:space="preserve">0.574 </w:t>
                  </w:r>
                </w:p>
              </w:tc>
            </w:tr>
            <w:tr w14:paraId="5E07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14:paraId="684A9273">
                  <w:pPr>
                    <w:adjustRightInd w:val="0"/>
                    <w:snapToGrid w:val="0"/>
                    <w:jc w:val="center"/>
                  </w:pPr>
                </w:p>
              </w:tc>
              <w:tc>
                <w:tcPr>
                  <w:tcW w:w="1596" w:type="dxa"/>
                  <w:vAlign w:val="bottom"/>
                </w:tcPr>
                <w:p w14:paraId="68244A58">
                  <w:pPr>
                    <w:jc w:val="center"/>
                    <w:rPr>
                      <w:szCs w:val="22"/>
                    </w:rPr>
                  </w:pPr>
                  <w:r>
                    <w:rPr>
                      <w:szCs w:val="22"/>
                    </w:rPr>
                    <w:t>氮氧化物</w:t>
                  </w:r>
                </w:p>
              </w:tc>
              <w:tc>
                <w:tcPr>
                  <w:tcW w:w="1596" w:type="dxa"/>
                  <w:vAlign w:val="center"/>
                </w:tcPr>
                <w:p w14:paraId="70B0C60E">
                  <w:pPr>
                    <w:jc w:val="center"/>
                    <w:rPr>
                      <w:rFonts w:eastAsia="等线"/>
                      <w:szCs w:val="22"/>
                    </w:rPr>
                  </w:pPr>
                  <w:r>
                    <w:rPr>
                      <w:rFonts w:eastAsia="等线"/>
                      <w:szCs w:val="22"/>
                    </w:rPr>
                    <w:t xml:space="preserve">173.49 </w:t>
                  </w:r>
                </w:p>
              </w:tc>
              <w:tc>
                <w:tcPr>
                  <w:tcW w:w="1538" w:type="dxa"/>
                  <w:vAlign w:val="center"/>
                </w:tcPr>
                <w:p w14:paraId="36BF2025">
                  <w:pPr>
                    <w:jc w:val="center"/>
                    <w:rPr>
                      <w:rFonts w:eastAsia="等线"/>
                      <w:szCs w:val="22"/>
                    </w:rPr>
                  </w:pPr>
                  <w:r>
                    <w:rPr>
                      <w:rFonts w:eastAsia="等线"/>
                      <w:szCs w:val="22"/>
                    </w:rPr>
                    <w:t xml:space="preserve">0.729 </w:t>
                  </w:r>
                </w:p>
              </w:tc>
              <w:tc>
                <w:tcPr>
                  <w:tcW w:w="1596" w:type="dxa"/>
                  <w:vAlign w:val="center"/>
                </w:tcPr>
                <w:p w14:paraId="36E04578">
                  <w:pPr>
                    <w:jc w:val="center"/>
                    <w:rPr>
                      <w:rFonts w:eastAsia="等线"/>
                      <w:szCs w:val="22"/>
                    </w:rPr>
                  </w:pPr>
                  <w:r>
                    <w:rPr>
                      <w:rFonts w:eastAsia="等线"/>
                      <w:szCs w:val="22"/>
                    </w:rPr>
                    <w:t xml:space="preserve">5.375 </w:t>
                  </w:r>
                </w:p>
              </w:tc>
            </w:tr>
            <w:tr w14:paraId="58C3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vAlign w:val="center"/>
                </w:tcPr>
                <w:p w14:paraId="68824B07">
                  <w:pPr>
                    <w:adjustRightInd w:val="0"/>
                    <w:snapToGrid w:val="0"/>
                    <w:jc w:val="center"/>
                  </w:pPr>
                </w:p>
              </w:tc>
              <w:tc>
                <w:tcPr>
                  <w:tcW w:w="1596" w:type="dxa"/>
                  <w:vAlign w:val="bottom"/>
                </w:tcPr>
                <w:p w14:paraId="40EA6CA2">
                  <w:pPr>
                    <w:jc w:val="center"/>
                    <w:rPr>
                      <w:szCs w:val="22"/>
                    </w:rPr>
                  </w:pPr>
                  <w:r>
                    <w:rPr>
                      <w:szCs w:val="22"/>
                    </w:rPr>
                    <w:t>颗粒物</w:t>
                  </w:r>
                </w:p>
              </w:tc>
              <w:tc>
                <w:tcPr>
                  <w:tcW w:w="1596" w:type="dxa"/>
                  <w:vAlign w:val="center"/>
                </w:tcPr>
                <w:p w14:paraId="54C5B2CB">
                  <w:pPr>
                    <w:jc w:val="center"/>
                    <w:rPr>
                      <w:rFonts w:eastAsia="等线"/>
                      <w:szCs w:val="22"/>
                    </w:rPr>
                  </w:pPr>
                  <w:r>
                    <w:rPr>
                      <w:rFonts w:eastAsia="等线"/>
                      <w:szCs w:val="22"/>
                    </w:rPr>
                    <w:t xml:space="preserve">26.65 </w:t>
                  </w:r>
                </w:p>
              </w:tc>
              <w:tc>
                <w:tcPr>
                  <w:tcW w:w="1538" w:type="dxa"/>
                  <w:vAlign w:val="center"/>
                </w:tcPr>
                <w:p w14:paraId="79B58CAE">
                  <w:pPr>
                    <w:jc w:val="center"/>
                    <w:rPr>
                      <w:rFonts w:eastAsia="等线"/>
                      <w:szCs w:val="22"/>
                    </w:rPr>
                  </w:pPr>
                  <w:r>
                    <w:rPr>
                      <w:rFonts w:eastAsia="等线"/>
                      <w:szCs w:val="22"/>
                    </w:rPr>
                    <w:t xml:space="preserve">0.112 </w:t>
                  </w:r>
                </w:p>
              </w:tc>
              <w:tc>
                <w:tcPr>
                  <w:tcW w:w="1596" w:type="dxa"/>
                  <w:vAlign w:val="center"/>
                </w:tcPr>
                <w:p w14:paraId="49CE0CCF">
                  <w:pPr>
                    <w:jc w:val="center"/>
                    <w:rPr>
                      <w:rFonts w:eastAsia="等线"/>
                      <w:szCs w:val="22"/>
                    </w:rPr>
                  </w:pPr>
                  <w:r>
                    <w:rPr>
                      <w:rFonts w:eastAsia="等线"/>
                      <w:szCs w:val="22"/>
                    </w:rPr>
                    <w:t xml:space="preserve">0.822 </w:t>
                  </w:r>
                </w:p>
              </w:tc>
            </w:tr>
          </w:tbl>
          <w:p w14:paraId="1E50C844">
            <w:pPr>
              <w:adjustRightInd w:val="0"/>
              <w:snapToGrid w:val="0"/>
              <w:spacing w:line="360" w:lineRule="auto"/>
              <w:ind w:firstLine="480" w:firstLineChars="200"/>
              <w:rPr>
                <w:sz w:val="24"/>
              </w:rPr>
            </w:pPr>
            <w:r>
              <w:rPr>
                <w:rFonts w:hint="eastAsia"/>
                <w:sz w:val="24"/>
              </w:rPr>
              <w:t>脱模废气（G</w:t>
            </w:r>
            <w:r>
              <w:rPr>
                <w:sz w:val="24"/>
              </w:rPr>
              <w:t>3</w:t>
            </w:r>
            <w:r>
              <w:rPr>
                <w:rFonts w:hint="eastAsia"/>
                <w:sz w:val="24"/>
              </w:rPr>
              <w:t>）：</w:t>
            </w:r>
          </w:p>
          <w:p w14:paraId="23E07E1D">
            <w:pPr>
              <w:adjustRightInd w:val="0"/>
              <w:snapToGrid w:val="0"/>
              <w:spacing w:line="360" w:lineRule="auto"/>
              <w:ind w:firstLine="480" w:firstLineChars="200"/>
              <w:rPr>
                <w:sz w:val="24"/>
              </w:rPr>
            </w:pPr>
            <w:r>
              <w:rPr>
                <w:sz w:val="24"/>
              </w:rPr>
              <w:t>项目压铸模具工作时处于高温状态，压铸过程中脱模剂及颗粒柱塞油均会少量分解，并产生有机废气（以非甲烷总烃计），类比同类压铸企业，颗粒柱塞油及脱模剂分解量约为使用量的3%，项目颗粒柱塞油使用量为9.5t/a</w:t>
            </w:r>
            <w:r>
              <w:rPr>
                <w:rFonts w:hint="eastAsia"/>
                <w:sz w:val="24"/>
              </w:rPr>
              <w:t>，</w:t>
            </w:r>
            <w:r>
              <w:rPr>
                <w:sz w:val="24"/>
              </w:rPr>
              <w:t>脱模剂使用量为</w:t>
            </w:r>
            <w:r>
              <w:rPr>
                <w:rFonts w:eastAsia="等线"/>
                <w:sz w:val="24"/>
                <w:szCs w:val="21"/>
              </w:rPr>
              <w:t>21.4</w:t>
            </w:r>
            <w:r>
              <w:rPr>
                <w:rFonts w:hint="eastAsia"/>
                <w:sz w:val="24"/>
              </w:rPr>
              <w:t>t</w:t>
            </w:r>
            <w:r>
              <w:rPr>
                <w:sz w:val="24"/>
              </w:rPr>
              <w:t>/</w:t>
            </w:r>
            <w:r>
              <w:rPr>
                <w:rFonts w:hint="eastAsia"/>
                <w:sz w:val="24"/>
              </w:rPr>
              <w:t>a</w:t>
            </w:r>
            <w:r>
              <w:rPr>
                <w:sz w:val="24"/>
              </w:rPr>
              <w:t>，则脱模废气非甲烷总烃产生量为0.927t/a。</w:t>
            </w:r>
          </w:p>
          <w:p w14:paraId="71E01838">
            <w:pPr>
              <w:adjustRightInd w:val="0"/>
              <w:snapToGrid w:val="0"/>
              <w:spacing w:line="360" w:lineRule="auto"/>
              <w:ind w:firstLine="480" w:firstLineChars="200"/>
              <w:rPr>
                <w:bCs/>
                <w:sz w:val="24"/>
              </w:rPr>
            </w:pPr>
            <w:r>
              <w:rPr>
                <w:rFonts w:hint="eastAsia"/>
                <w:sz w:val="24"/>
              </w:rPr>
              <w:t>项目拟在每台压铸机机头上方建设1个方形集气罩，边长</w:t>
            </w:r>
            <w:r>
              <w:rPr>
                <w:sz w:val="24"/>
              </w:rPr>
              <w:t>0.8</w:t>
            </w:r>
            <w:r>
              <w:rPr>
                <w:rFonts w:hint="eastAsia"/>
                <w:sz w:val="24"/>
              </w:rPr>
              <w:t>m×</w:t>
            </w:r>
            <w:r>
              <w:rPr>
                <w:sz w:val="24"/>
              </w:rPr>
              <w:t>0.8</w:t>
            </w:r>
            <w:r>
              <w:rPr>
                <w:rFonts w:hint="eastAsia"/>
                <w:sz w:val="24"/>
              </w:rPr>
              <w:t>m，集气罩收集效率</w:t>
            </w:r>
            <w:r>
              <w:rPr>
                <w:sz w:val="24"/>
              </w:rPr>
              <w:t>80</w:t>
            </w:r>
            <w:r>
              <w:rPr>
                <w:rFonts w:hint="eastAsia"/>
                <w:sz w:val="24"/>
              </w:rPr>
              <w:t>%，并建设1套脱模废气处理设施进行处理，采用“</w:t>
            </w:r>
            <w:r>
              <w:rPr>
                <w:rFonts w:hint="eastAsia"/>
                <w:bCs/>
                <w:sz w:val="24"/>
              </w:rPr>
              <w:t>干燥+UV光解+活性炭吸附</w:t>
            </w:r>
            <w:r>
              <w:rPr>
                <w:rFonts w:hint="eastAsia"/>
                <w:sz w:val="24"/>
              </w:rPr>
              <w:t>”工艺，风量</w:t>
            </w:r>
            <w:r>
              <w:rPr>
                <w:sz w:val="24"/>
              </w:rPr>
              <w:t>15000</w:t>
            </w:r>
            <w:r>
              <w:rPr>
                <w:rFonts w:hint="eastAsia"/>
                <w:sz w:val="24"/>
              </w:rPr>
              <w:t>m</w:t>
            </w:r>
            <w:r>
              <w:rPr>
                <w:sz w:val="24"/>
                <w:vertAlign w:val="superscript"/>
              </w:rPr>
              <w:t>3</w:t>
            </w:r>
            <w:r>
              <w:rPr>
                <w:sz w:val="24"/>
              </w:rPr>
              <w:t>/</w:t>
            </w:r>
            <w:r>
              <w:rPr>
                <w:rFonts w:hint="eastAsia"/>
                <w:sz w:val="24"/>
              </w:rPr>
              <w:t>h，处理效率5</w:t>
            </w:r>
            <w:r>
              <w:rPr>
                <w:sz w:val="24"/>
              </w:rPr>
              <w:t>0</w:t>
            </w:r>
            <w:r>
              <w:rPr>
                <w:rFonts w:hint="eastAsia"/>
                <w:sz w:val="24"/>
              </w:rPr>
              <w:t>%，</w:t>
            </w:r>
            <w:r>
              <w:rPr>
                <w:rFonts w:hint="eastAsia"/>
                <w:bCs/>
                <w:sz w:val="24"/>
              </w:rPr>
              <w:t>处理后的废气通过</w:t>
            </w:r>
            <w:r>
              <w:rPr>
                <w:sz w:val="24"/>
                <w:szCs w:val="21"/>
              </w:rPr>
              <w:t>20m</w:t>
            </w:r>
            <w:r>
              <w:rPr>
                <w:bCs/>
                <w:sz w:val="24"/>
              </w:rPr>
              <w:t>高3</w:t>
            </w:r>
            <w:r>
              <w:rPr>
                <w:rFonts w:hint="eastAsia"/>
                <w:bCs/>
                <w:sz w:val="24"/>
              </w:rPr>
              <w:t>#</w:t>
            </w:r>
            <w:r>
              <w:rPr>
                <w:bCs/>
                <w:sz w:val="24"/>
              </w:rPr>
              <w:t>排气筒排放</w:t>
            </w:r>
            <w:r>
              <w:rPr>
                <w:rFonts w:hint="eastAsia"/>
                <w:bCs/>
                <w:sz w:val="24"/>
              </w:rPr>
              <w:t>。</w:t>
            </w:r>
          </w:p>
          <w:p w14:paraId="4D120238">
            <w:pPr>
              <w:adjustRightInd w:val="0"/>
              <w:snapToGrid w:val="0"/>
              <w:spacing w:line="360" w:lineRule="auto"/>
              <w:ind w:firstLine="480" w:firstLineChars="200"/>
              <w:rPr>
                <w:sz w:val="24"/>
              </w:rPr>
            </w:pPr>
            <w:r>
              <w:rPr>
                <w:bCs/>
                <w:sz w:val="24"/>
              </w:rPr>
              <w:t>经计算</w:t>
            </w:r>
            <w:r>
              <w:rPr>
                <w:rFonts w:hint="eastAsia"/>
                <w:bCs/>
                <w:sz w:val="24"/>
              </w:rPr>
              <w:t>，</w:t>
            </w:r>
            <w:r>
              <w:rPr>
                <w:bCs/>
                <w:sz w:val="24"/>
              </w:rPr>
              <w:t>3</w:t>
            </w:r>
            <w:r>
              <w:rPr>
                <w:rFonts w:hint="eastAsia"/>
                <w:bCs/>
                <w:sz w:val="24"/>
              </w:rPr>
              <w:t>#排气筒非甲烷总烃</w:t>
            </w:r>
            <w:r>
              <w:rPr>
                <w:rFonts w:hint="eastAsia"/>
                <w:sz w:val="24"/>
              </w:rPr>
              <w:t>有组织排放速率为</w:t>
            </w:r>
            <w:r>
              <w:rPr>
                <w:sz w:val="24"/>
              </w:rPr>
              <w:t>0.047</w:t>
            </w:r>
            <w:r>
              <w:rPr>
                <w:rFonts w:hint="eastAsia"/>
                <w:sz w:val="24"/>
              </w:rPr>
              <w:t>kg/h，排放浓度</w:t>
            </w:r>
            <w:r>
              <w:rPr>
                <w:sz w:val="24"/>
              </w:rPr>
              <w:t>3.13</w:t>
            </w:r>
            <w:r>
              <w:rPr>
                <w:rFonts w:hint="eastAsia"/>
                <w:sz w:val="24"/>
              </w:rPr>
              <w:t>mg</w:t>
            </w:r>
            <w:r>
              <w:rPr>
                <w:sz w:val="24"/>
              </w:rPr>
              <w:t>/m</w:t>
            </w:r>
            <w:r>
              <w:rPr>
                <w:sz w:val="24"/>
                <w:vertAlign w:val="superscript"/>
              </w:rPr>
              <w:t>3</w:t>
            </w:r>
            <w:r>
              <w:rPr>
                <w:rFonts w:hint="eastAsia"/>
                <w:sz w:val="24"/>
              </w:rPr>
              <w:t>，有组织排放量</w:t>
            </w:r>
            <w:r>
              <w:rPr>
                <w:sz w:val="24"/>
              </w:rPr>
              <w:t>0.371</w:t>
            </w:r>
            <w:r>
              <w:rPr>
                <w:rFonts w:hint="eastAsia"/>
                <w:sz w:val="24"/>
              </w:rPr>
              <w:t>t</w:t>
            </w:r>
            <w:r>
              <w:rPr>
                <w:sz w:val="24"/>
              </w:rPr>
              <w:t>/a</w:t>
            </w:r>
            <w:r>
              <w:rPr>
                <w:rFonts w:hint="eastAsia"/>
                <w:sz w:val="24"/>
              </w:rPr>
              <w:t>。</w:t>
            </w:r>
          </w:p>
          <w:p w14:paraId="3D2539C8">
            <w:pPr>
              <w:adjustRightInd w:val="0"/>
              <w:snapToGrid w:val="0"/>
              <w:spacing w:line="360" w:lineRule="auto"/>
              <w:ind w:firstLine="480" w:firstLineChars="200"/>
              <w:rPr>
                <w:sz w:val="24"/>
              </w:rPr>
            </w:pPr>
            <w:r>
              <w:rPr>
                <w:rFonts w:hint="eastAsia"/>
                <w:sz w:val="24"/>
              </w:rPr>
              <w:t>③表面清理工序</w:t>
            </w:r>
          </w:p>
          <w:p w14:paraId="5D0FA0AE">
            <w:pPr>
              <w:adjustRightInd w:val="0"/>
              <w:snapToGrid w:val="0"/>
              <w:spacing w:line="360" w:lineRule="auto"/>
              <w:ind w:firstLine="480" w:firstLineChars="200"/>
              <w:rPr>
                <w:sz w:val="24"/>
              </w:rPr>
            </w:pPr>
            <w:r>
              <w:rPr>
                <w:rFonts w:hint="eastAsia"/>
                <w:sz w:val="24"/>
              </w:rPr>
              <w:t>项目压铸工序成品工件边缘存在毛刺等不平整现在，需人工使用锉刀及砂轮机对工件进行去毛刺处理。表面清理过程颗粒物产生源强参照《排放源统计调查产排污核算方法和系数手册》“3</w:t>
            </w:r>
            <w:r>
              <w:rPr>
                <w:sz w:val="24"/>
              </w:rPr>
              <w:t>3</w:t>
            </w:r>
            <w:r>
              <w:rPr>
                <w:rFonts w:hint="eastAsia"/>
                <w:sz w:val="24"/>
              </w:rPr>
              <w:t>~</w:t>
            </w:r>
            <w:r>
              <w:rPr>
                <w:sz w:val="24"/>
              </w:rPr>
              <w:t>37</w:t>
            </w:r>
            <w:r>
              <w:rPr>
                <w:rFonts w:hint="eastAsia"/>
                <w:sz w:val="24"/>
              </w:rPr>
              <w:t>，4</w:t>
            </w:r>
            <w:r>
              <w:rPr>
                <w:sz w:val="24"/>
              </w:rPr>
              <w:t>31</w:t>
            </w:r>
            <w:r>
              <w:rPr>
                <w:rFonts w:hint="eastAsia"/>
                <w:sz w:val="24"/>
              </w:rPr>
              <w:t>~</w:t>
            </w:r>
            <w:r>
              <w:rPr>
                <w:sz w:val="24"/>
              </w:rPr>
              <w:t>43</w:t>
            </w:r>
            <w:r>
              <w:rPr>
                <w:rFonts w:hint="eastAsia"/>
                <w:sz w:val="24"/>
              </w:rPr>
              <w:t>机械行业系数手册”中打磨工序进行核算，为</w:t>
            </w:r>
            <w:r>
              <w:rPr>
                <w:sz w:val="24"/>
              </w:rPr>
              <w:t>2.19</w:t>
            </w:r>
            <w:r>
              <w:rPr>
                <w:rFonts w:hint="eastAsia"/>
                <w:sz w:val="24"/>
              </w:rPr>
              <w:t>kg</w:t>
            </w:r>
            <w:r>
              <w:rPr>
                <w:sz w:val="24"/>
              </w:rPr>
              <w:t>/</w:t>
            </w:r>
            <w:r>
              <w:rPr>
                <w:rFonts w:hint="eastAsia"/>
                <w:sz w:val="24"/>
              </w:rPr>
              <w:t>t产品。项目表面清理过程产品共计约7</w:t>
            </w:r>
            <w:r>
              <w:rPr>
                <w:sz w:val="24"/>
              </w:rPr>
              <w:t>600t/a</w:t>
            </w:r>
            <w:r>
              <w:rPr>
                <w:rFonts w:hint="eastAsia"/>
                <w:sz w:val="24"/>
              </w:rPr>
              <w:t>，则颗粒物产生量为</w:t>
            </w:r>
            <w:r>
              <w:rPr>
                <w:sz w:val="24"/>
              </w:rPr>
              <w:t>16.64</w:t>
            </w:r>
            <w:r>
              <w:rPr>
                <w:rFonts w:hint="eastAsia"/>
                <w:sz w:val="24"/>
              </w:rPr>
              <w:t>t/a。结合现有工程实际，表面清理工序产生的颗粒物多熟粒径较大，约7</w:t>
            </w:r>
            <w:r>
              <w:rPr>
                <w:sz w:val="24"/>
              </w:rPr>
              <w:t>0</w:t>
            </w:r>
            <w:r>
              <w:rPr>
                <w:rFonts w:hint="eastAsia"/>
                <w:sz w:val="24"/>
              </w:rPr>
              <w:t>%</w:t>
            </w:r>
            <w:r>
              <w:rPr>
                <w:sz w:val="24"/>
              </w:rPr>
              <w:t>在厂区内自然沉降</w:t>
            </w:r>
            <w:r>
              <w:rPr>
                <w:rFonts w:hint="eastAsia"/>
                <w:sz w:val="24"/>
              </w:rPr>
              <w:t>，</w:t>
            </w:r>
            <w:r>
              <w:rPr>
                <w:sz w:val="24"/>
              </w:rPr>
              <w:t>则沉降量为11.65t/a</w:t>
            </w:r>
            <w:r>
              <w:rPr>
                <w:rFonts w:hint="eastAsia"/>
                <w:sz w:val="24"/>
              </w:rPr>
              <w:t>，</w:t>
            </w:r>
            <w:r>
              <w:rPr>
                <w:sz w:val="24"/>
              </w:rPr>
              <w:t>颗粒物产生量为4.99t/a</w:t>
            </w:r>
            <w:r>
              <w:rPr>
                <w:rFonts w:hint="eastAsia"/>
                <w:sz w:val="24"/>
              </w:rPr>
              <w:t>，</w:t>
            </w:r>
            <w:r>
              <w:rPr>
                <w:sz w:val="24"/>
              </w:rPr>
              <w:t>产生速率为1.890kg/h</w:t>
            </w:r>
            <w:r>
              <w:rPr>
                <w:rFonts w:hint="eastAsia"/>
                <w:sz w:val="24"/>
              </w:rPr>
              <w:t>。项目在每个工位上设置侧向集气罩，</w:t>
            </w:r>
            <w:r>
              <w:rPr>
                <w:sz w:val="24"/>
              </w:rPr>
              <w:t>0.3</w:t>
            </w:r>
            <w:r>
              <w:rPr>
                <w:rFonts w:hint="eastAsia"/>
                <w:sz w:val="24"/>
              </w:rPr>
              <w:t>m×</w:t>
            </w:r>
            <w:r>
              <w:rPr>
                <w:sz w:val="24"/>
              </w:rPr>
              <w:t>0.8</w:t>
            </w:r>
            <w:r>
              <w:rPr>
                <w:rFonts w:hint="eastAsia"/>
                <w:sz w:val="24"/>
              </w:rPr>
              <w:t>m，共1</w:t>
            </w:r>
            <w:r>
              <w:rPr>
                <w:sz w:val="24"/>
              </w:rPr>
              <w:t>8个</w:t>
            </w:r>
            <w:r>
              <w:rPr>
                <w:rFonts w:hint="eastAsia"/>
                <w:sz w:val="24"/>
              </w:rPr>
              <w:t>，对表面清理产生的废气进行收集处理。集气罩收集效率约</w:t>
            </w:r>
            <w:r>
              <w:rPr>
                <w:sz w:val="24"/>
              </w:rPr>
              <w:t>70%</w:t>
            </w:r>
            <w:r>
              <w:rPr>
                <w:rFonts w:hint="eastAsia"/>
                <w:sz w:val="24"/>
              </w:rPr>
              <w:t>，并建设1台防爆布袋除尘器，处理效率9</w:t>
            </w:r>
            <w:r>
              <w:rPr>
                <w:sz w:val="24"/>
              </w:rPr>
              <w:t>0</w:t>
            </w:r>
            <w:r>
              <w:rPr>
                <w:rFonts w:hint="eastAsia"/>
                <w:sz w:val="24"/>
              </w:rPr>
              <w:t>%，总风量</w:t>
            </w:r>
            <w:r>
              <w:rPr>
                <w:sz w:val="24"/>
              </w:rPr>
              <w:t>20000</w:t>
            </w:r>
            <w:r>
              <w:rPr>
                <w:rFonts w:hint="eastAsia"/>
                <w:sz w:val="24"/>
              </w:rPr>
              <w:t>m</w:t>
            </w:r>
            <w:r>
              <w:rPr>
                <w:sz w:val="24"/>
                <w:vertAlign w:val="superscript"/>
              </w:rPr>
              <w:t>3</w:t>
            </w:r>
            <w:r>
              <w:rPr>
                <w:rFonts w:hint="eastAsia"/>
                <w:sz w:val="24"/>
              </w:rPr>
              <w:t>，</w:t>
            </w:r>
            <w:r>
              <w:rPr>
                <w:rFonts w:hint="eastAsia"/>
                <w:bCs/>
                <w:sz w:val="24"/>
              </w:rPr>
              <w:t>处理后的废气通过</w:t>
            </w:r>
            <w:r>
              <w:rPr>
                <w:sz w:val="24"/>
                <w:szCs w:val="21"/>
              </w:rPr>
              <w:t>20m</w:t>
            </w:r>
            <w:r>
              <w:rPr>
                <w:bCs/>
                <w:sz w:val="24"/>
              </w:rPr>
              <w:t>高4</w:t>
            </w:r>
            <w:r>
              <w:rPr>
                <w:rFonts w:hint="eastAsia"/>
                <w:bCs/>
                <w:sz w:val="24"/>
              </w:rPr>
              <w:t>#</w:t>
            </w:r>
            <w:r>
              <w:rPr>
                <w:bCs/>
                <w:sz w:val="24"/>
              </w:rPr>
              <w:t>排气筒达标排放</w:t>
            </w:r>
            <w:r>
              <w:rPr>
                <w:rFonts w:hint="eastAsia"/>
                <w:bCs/>
                <w:sz w:val="24"/>
              </w:rPr>
              <w:t>。</w:t>
            </w:r>
          </w:p>
          <w:p w14:paraId="28B37D86">
            <w:pPr>
              <w:adjustRightInd w:val="0"/>
              <w:snapToGrid w:val="0"/>
              <w:spacing w:line="360" w:lineRule="auto"/>
              <w:ind w:firstLine="480" w:firstLineChars="200"/>
              <w:rPr>
                <w:sz w:val="24"/>
              </w:rPr>
            </w:pPr>
            <w:r>
              <w:rPr>
                <w:rFonts w:hint="eastAsia"/>
                <w:sz w:val="24"/>
              </w:rPr>
              <w:t>④抛丸工序</w:t>
            </w:r>
          </w:p>
          <w:p w14:paraId="48F09D1B">
            <w:pPr>
              <w:adjustRightInd w:val="0"/>
              <w:snapToGrid w:val="0"/>
              <w:spacing w:line="360" w:lineRule="auto"/>
              <w:ind w:firstLine="480" w:firstLineChars="200"/>
              <w:rPr>
                <w:sz w:val="24"/>
              </w:rPr>
            </w:pPr>
            <w:r>
              <w:rPr>
                <w:rFonts w:hint="eastAsia"/>
                <w:sz w:val="24"/>
              </w:rPr>
              <w:t>项目对表面清理后的工程进行抛丸处理。</w:t>
            </w:r>
            <w:r>
              <w:rPr>
                <w:sz w:val="24"/>
              </w:rPr>
              <w:t>抛丸粉尘</w:t>
            </w:r>
            <w:r>
              <w:rPr>
                <w:rFonts w:hint="eastAsia"/>
                <w:sz w:val="24"/>
              </w:rPr>
              <w:t>产生量参照《排放源统计调查产排污核算方法和系数手册》“3</w:t>
            </w:r>
            <w:r>
              <w:rPr>
                <w:sz w:val="24"/>
              </w:rPr>
              <w:t>3</w:t>
            </w:r>
            <w:r>
              <w:rPr>
                <w:rFonts w:hint="eastAsia"/>
                <w:sz w:val="24"/>
              </w:rPr>
              <w:t>~</w:t>
            </w:r>
            <w:r>
              <w:rPr>
                <w:sz w:val="24"/>
              </w:rPr>
              <w:t>37</w:t>
            </w:r>
            <w:r>
              <w:rPr>
                <w:rFonts w:hint="eastAsia"/>
                <w:sz w:val="24"/>
              </w:rPr>
              <w:t>，4</w:t>
            </w:r>
            <w:r>
              <w:rPr>
                <w:sz w:val="24"/>
              </w:rPr>
              <w:t>31</w:t>
            </w:r>
            <w:r>
              <w:rPr>
                <w:rFonts w:hint="eastAsia"/>
                <w:sz w:val="24"/>
              </w:rPr>
              <w:t>~</w:t>
            </w:r>
            <w:r>
              <w:rPr>
                <w:sz w:val="24"/>
              </w:rPr>
              <w:t>43</w:t>
            </w:r>
            <w:r>
              <w:rPr>
                <w:rFonts w:hint="eastAsia"/>
                <w:sz w:val="24"/>
              </w:rPr>
              <w:t>机械行业系数手册”中抛丸工序颗粒物产生量进行计算，为</w:t>
            </w:r>
            <w:r>
              <w:rPr>
                <w:sz w:val="24"/>
              </w:rPr>
              <w:t>2.19</w:t>
            </w:r>
            <w:r>
              <w:rPr>
                <w:rFonts w:hint="eastAsia"/>
                <w:sz w:val="24"/>
              </w:rPr>
              <w:t>kg/t产品，项目抛丸过程产品共计约7</w:t>
            </w:r>
            <w:r>
              <w:rPr>
                <w:sz w:val="24"/>
              </w:rPr>
              <w:t>520t/a</w:t>
            </w:r>
            <w:r>
              <w:rPr>
                <w:rFonts w:hint="eastAsia"/>
                <w:sz w:val="24"/>
              </w:rPr>
              <w:t>，抛丸工序年时基数</w:t>
            </w:r>
            <w:r>
              <w:rPr>
                <w:sz w:val="24"/>
              </w:rPr>
              <w:t>2640</w:t>
            </w:r>
            <w:r>
              <w:rPr>
                <w:rFonts w:hint="eastAsia"/>
                <w:sz w:val="24"/>
              </w:rPr>
              <w:t>h，则抛丸过程中粉尘产生量为</w:t>
            </w:r>
            <w:r>
              <w:rPr>
                <w:sz w:val="24"/>
              </w:rPr>
              <w:t>16.47</w:t>
            </w:r>
            <w:r>
              <w:rPr>
                <w:rFonts w:hint="eastAsia"/>
                <w:sz w:val="24"/>
              </w:rPr>
              <w:t>t/a。共设置了</w:t>
            </w:r>
            <w:r>
              <w:rPr>
                <w:sz w:val="24"/>
              </w:rPr>
              <w:t>4</w:t>
            </w:r>
            <w:r>
              <w:rPr>
                <w:rFonts w:hint="eastAsia"/>
                <w:sz w:val="24"/>
              </w:rPr>
              <w:t>台</w:t>
            </w:r>
            <w:r>
              <w:rPr>
                <w:sz w:val="24"/>
              </w:rPr>
              <w:t>抛丸机</w:t>
            </w:r>
            <w:r>
              <w:rPr>
                <w:rFonts w:hint="eastAsia"/>
                <w:sz w:val="24"/>
              </w:rPr>
              <w:t>，每台抛丸机配套1个滤筒除尘器，同时</w:t>
            </w:r>
            <w:r>
              <w:rPr>
                <w:sz w:val="24"/>
              </w:rPr>
              <w:t>配套</w:t>
            </w:r>
            <w:r>
              <w:rPr>
                <w:rFonts w:hint="eastAsia"/>
                <w:sz w:val="24"/>
              </w:rPr>
              <w:t>1台防爆布袋</w:t>
            </w:r>
            <w:r>
              <w:rPr>
                <w:sz w:val="24"/>
              </w:rPr>
              <w:t>除尘器</w:t>
            </w:r>
            <w:r>
              <w:rPr>
                <w:rFonts w:hint="eastAsia"/>
                <w:sz w:val="24"/>
              </w:rPr>
              <w:t>，总风量</w:t>
            </w:r>
            <w:r>
              <w:rPr>
                <w:sz w:val="24"/>
              </w:rPr>
              <w:t>约20000m</w:t>
            </w:r>
            <w:r>
              <w:rPr>
                <w:sz w:val="24"/>
                <w:vertAlign w:val="superscript"/>
              </w:rPr>
              <w:t>3</w:t>
            </w:r>
            <w:r>
              <w:rPr>
                <w:sz w:val="24"/>
              </w:rPr>
              <w:t>/h，抛丸机自带滤筒除尘系统</w:t>
            </w:r>
            <w:r>
              <w:rPr>
                <w:rFonts w:hint="eastAsia"/>
                <w:sz w:val="24"/>
              </w:rPr>
              <w:t>除尘效率6</w:t>
            </w:r>
            <w:r>
              <w:rPr>
                <w:sz w:val="24"/>
              </w:rPr>
              <w:t>0%</w:t>
            </w:r>
            <w:r>
              <w:rPr>
                <w:rFonts w:hint="eastAsia"/>
                <w:sz w:val="24"/>
              </w:rPr>
              <w:t>，布袋除尘系统除尘效率约9</w:t>
            </w:r>
            <w:r>
              <w:rPr>
                <w:sz w:val="24"/>
              </w:rPr>
              <w:t>0%</w:t>
            </w:r>
            <w:r>
              <w:rPr>
                <w:rFonts w:hint="eastAsia"/>
                <w:sz w:val="24"/>
              </w:rPr>
              <w:t>，废气经滤筒除尘器处理后与表面清理工序废气一并进入防爆布袋除尘器，处理后由1根</w:t>
            </w:r>
            <w:r>
              <w:rPr>
                <w:sz w:val="24"/>
              </w:rPr>
              <w:t>20m</w:t>
            </w:r>
            <w:r>
              <w:rPr>
                <w:rFonts w:hint="eastAsia"/>
                <w:sz w:val="24"/>
              </w:rPr>
              <w:t>高</w:t>
            </w:r>
            <w:r>
              <w:rPr>
                <w:sz w:val="24"/>
              </w:rPr>
              <w:t>4</w:t>
            </w:r>
            <w:r>
              <w:rPr>
                <w:rFonts w:hint="eastAsia"/>
                <w:sz w:val="24"/>
              </w:rPr>
              <w:t>#排气筒达标排放。</w:t>
            </w:r>
          </w:p>
          <w:p w14:paraId="119E5C4D">
            <w:pPr>
              <w:adjustRightInd w:val="0"/>
              <w:snapToGrid w:val="0"/>
              <w:spacing w:line="360" w:lineRule="auto"/>
              <w:ind w:firstLine="480" w:firstLineChars="200"/>
              <w:rPr>
                <w:sz w:val="24"/>
              </w:rPr>
            </w:pPr>
            <w:r>
              <w:rPr>
                <w:bCs/>
                <w:sz w:val="24"/>
              </w:rPr>
              <w:t>经计算</w:t>
            </w:r>
            <w:r>
              <w:rPr>
                <w:rFonts w:hint="eastAsia"/>
                <w:bCs/>
                <w:sz w:val="24"/>
              </w:rPr>
              <w:t>，</w:t>
            </w:r>
            <w:r>
              <w:rPr>
                <w:bCs/>
                <w:sz w:val="24"/>
              </w:rPr>
              <w:t>4</w:t>
            </w:r>
            <w:r>
              <w:rPr>
                <w:rFonts w:hint="eastAsia"/>
                <w:bCs/>
                <w:sz w:val="24"/>
              </w:rPr>
              <w:t>#排气筒颗粒物</w:t>
            </w:r>
            <w:r>
              <w:rPr>
                <w:rFonts w:hint="eastAsia"/>
                <w:sz w:val="24"/>
              </w:rPr>
              <w:t>有组织排放速率为</w:t>
            </w:r>
            <w:r>
              <w:rPr>
                <w:sz w:val="24"/>
              </w:rPr>
              <w:t>0.201</w:t>
            </w:r>
            <w:r>
              <w:rPr>
                <w:rFonts w:hint="eastAsia"/>
                <w:sz w:val="24"/>
              </w:rPr>
              <w:t>kg/h，排放浓度</w:t>
            </w:r>
            <w:r>
              <w:rPr>
                <w:sz w:val="24"/>
              </w:rPr>
              <w:t>10.05</w:t>
            </w:r>
            <w:r>
              <w:rPr>
                <w:rFonts w:hint="eastAsia"/>
                <w:sz w:val="24"/>
              </w:rPr>
              <w:t>mg</w:t>
            </w:r>
            <w:r>
              <w:rPr>
                <w:sz w:val="24"/>
              </w:rPr>
              <w:t>/m</w:t>
            </w:r>
            <w:r>
              <w:rPr>
                <w:sz w:val="24"/>
                <w:vertAlign w:val="superscript"/>
              </w:rPr>
              <w:t>3</w:t>
            </w:r>
            <w:r>
              <w:rPr>
                <w:rFonts w:hint="eastAsia"/>
                <w:sz w:val="24"/>
              </w:rPr>
              <w:t>，有组织排放量</w:t>
            </w:r>
            <w:r>
              <w:rPr>
                <w:sz w:val="24"/>
              </w:rPr>
              <w:t>1.058</w:t>
            </w:r>
            <w:r>
              <w:rPr>
                <w:rFonts w:hint="eastAsia"/>
                <w:sz w:val="24"/>
              </w:rPr>
              <w:t>t</w:t>
            </w:r>
            <w:r>
              <w:rPr>
                <w:sz w:val="24"/>
              </w:rPr>
              <w:t>/a</w:t>
            </w:r>
            <w:r>
              <w:rPr>
                <w:rFonts w:hint="eastAsia"/>
                <w:sz w:val="24"/>
              </w:rPr>
              <w:t>。</w:t>
            </w:r>
          </w:p>
          <w:p w14:paraId="606E50C5">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⑤模具维修废气</w:t>
            </w:r>
          </w:p>
          <w:p w14:paraId="7AD5E3DC">
            <w:pPr>
              <w:adjustRightInd w:val="0"/>
              <w:snapToGrid w:val="0"/>
              <w:spacing w:line="360" w:lineRule="auto"/>
              <w:ind w:firstLine="480" w:firstLineChars="200"/>
              <w:rPr>
                <w:sz w:val="24"/>
              </w:rPr>
            </w:pPr>
            <w:r>
              <w:rPr>
                <w:rFonts w:hint="eastAsia"/>
                <w:sz w:val="24"/>
              </w:rPr>
              <w:t>项目主要采用点焊焊接方式，项目焊接过程使用氩弧焊，根据《焊接技术手册》（王文翰主编）并结合现有工程实际，焊接烟尘产生系数取40g/kg原料，项目焊丝使用量为6</w:t>
            </w:r>
            <w:r>
              <w:rPr>
                <w:sz w:val="24"/>
              </w:rPr>
              <w:t>0kg/a</w:t>
            </w:r>
            <w:r>
              <w:rPr>
                <w:rFonts w:hint="eastAsia"/>
                <w:sz w:val="24"/>
              </w:rPr>
              <w:t>，则焊接烟尘产生量约为</w:t>
            </w:r>
            <w:r>
              <w:rPr>
                <w:sz w:val="24"/>
              </w:rPr>
              <w:t>2.4</w:t>
            </w:r>
            <w:r>
              <w:rPr>
                <w:rFonts w:hint="eastAsia"/>
                <w:sz w:val="24"/>
              </w:rPr>
              <w:t>kg/a，项目焊接过程为间断作业，焊接时间较短，约为</w:t>
            </w:r>
            <w:r>
              <w:rPr>
                <w:sz w:val="24"/>
              </w:rPr>
              <w:t>0.5</w:t>
            </w:r>
            <w:r>
              <w:rPr>
                <w:rFonts w:hint="eastAsia"/>
                <w:sz w:val="24"/>
              </w:rPr>
              <w:t>h/d（</w:t>
            </w:r>
            <w:r>
              <w:rPr>
                <w:sz w:val="24"/>
              </w:rPr>
              <w:t>18</w:t>
            </w:r>
            <w:r>
              <w:rPr>
                <w:rFonts w:hint="eastAsia"/>
                <w:sz w:val="24"/>
              </w:rPr>
              <w:t>0h/a）。焊接过程所产生的烟尘量较少，浓度较低，项目拟配制1台移动式焊烟净化器和焊机配套使用，风量1</w:t>
            </w:r>
            <w:r>
              <w:rPr>
                <w:sz w:val="24"/>
              </w:rPr>
              <w:t>200m</w:t>
            </w:r>
            <w:r>
              <w:rPr>
                <w:sz w:val="24"/>
                <w:vertAlign w:val="superscript"/>
              </w:rPr>
              <w:t>3</w:t>
            </w:r>
            <w:r>
              <w:rPr>
                <w:sz w:val="24"/>
              </w:rPr>
              <w:t>/h</w:t>
            </w:r>
            <w:r>
              <w:rPr>
                <w:rFonts w:hint="eastAsia"/>
                <w:sz w:val="24"/>
              </w:rPr>
              <w:t>。焊接烟尘经移动式焊期烟净化器收集处理后无组织排放，移动式焊烟净化器收集处理焊接烟尘的效率70%，处理效率80%，则焊接烟尘无组织排放量为</w:t>
            </w:r>
            <w:r>
              <w:rPr>
                <w:sz w:val="24"/>
              </w:rPr>
              <w:t>1.06</w:t>
            </w:r>
            <w:r>
              <w:rPr>
                <w:rFonts w:hint="eastAsia"/>
                <w:sz w:val="24"/>
              </w:rPr>
              <w:t>kg/a（0.006kg/h）。模具维修过程使用砂轮机对焊缝及铝粘连部位进行打磨平整，项目模具维修量少，打磨量极少，打磨过程产生的少量颗粒物在车间内无组织排放。</w:t>
            </w:r>
          </w:p>
          <w:p w14:paraId="4B8139B0">
            <w:pPr>
              <w:adjustRightInd w:val="0"/>
              <w:snapToGrid w:val="0"/>
              <w:spacing w:line="360" w:lineRule="auto"/>
              <w:ind w:firstLine="480" w:firstLineChars="200"/>
              <w:rPr>
                <w:bCs/>
                <w:kern w:val="0"/>
                <w:sz w:val="24"/>
              </w:rPr>
            </w:pPr>
            <w:r>
              <w:rPr>
                <w:rFonts w:hint="eastAsia"/>
                <w:bCs/>
                <w:sz w:val="24"/>
              </w:rPr>
              <w:t>⑥</w:t>
            </w:r>
            <w:r>
              <w:rPr>
                <w:rFonts w:hint="eastAsia"/>
                <w:bCs/>
                <w:kern w:val="0"/>
                <w:sz w:val="24"/>
              </w:rPr>
              <w:t>食堂油烟</w:t>
            </w:r>
          </w:p>
          <w:p w14:paraId="66545748">
            <w:pPr>
              <w:pStyle w:val="54"/>
              <w:spacing w:line="360" w:lineRule="auto"/>
              <w:ind w:firstLine="480" w:firstLineChars="200"/>
              <w:jc w:val="both"/>
              <w:rPr>
                <w:rFonts w:ascii="Times New Roman" w:cs="Times New Roman"/>
                <w:color w:val="auto"/>
              </w:rPr>
            </w:pPr>
            <w:r>
              <w:rPr>
                <w:rFonts w:hint="eastAsia" w:ascii="Times New Roman" w:cs="Times New Roman"/>
                <w:color w:val="auto"/>
              </w:rPr>
              <w:t>项目设置员工食堂，设</w:t>
            </w:r>
            <w:r>
              <w:rPr>
                <w:rFonts w:ascii="Times New Roman" w:cs="Times New Roman"/>
                <w:color w:val="auto"/>
              </w:rPr>
              <w:t>3</w:t>
            </w:r>
            <w:r>
              <w:rPr>
                <w:rFonts w:hint="eastAsia" w:ascii="Times New Roman" w:cs="Times New Roman"/>
                <w:color w:val="auto"/>
              </w:rPr>
              <w:t>个基准灶头，根据《餐饮业大气污染物排放标准》</w:t>
            </w:r>
            <w:r>
              <w:rPr>
                <w:rFonts w:ascii="Times New Roman" w:cs="Times New Roman"/>
                <w:color w:val="auto"/>
              </w:rPr>
              <w:t>(DB50/859-2018</w:t>
            </w:r>
            <w:r>
              <w:rPr>
                <w:rFonts w:hint="eastAsia" w:ascii="Times New Roman" w:cs="Times New Roman"/>
                <w:color w:val="auto"/>
              </w:rPr>
              <w:t>）：基准灶头</w:t>
            </w:r>
            <w:r>
              <w:rPr>
                <w:rFonts w:ascii="Arial" w:hAnsi="Arial" w:cs="Arial"/>
                <w:color w:val="auto"/>
              </w:rPr>
              <w:t>≥</w:t>
            </w:r>
            <w:r>
              <w:rPr>
                <w:rFonts w:ascii="Times New Roman" w:cs="Times New Roman"/>
                <w:color w:val="auto"/>
              </w:rPr>
              <w:t>3</w:t>
            </w:r>
            <w:r>
              <w:rPr>
                <w:rFonts w:hint="eastAsia" w:ascii="Times New Roman" w:cs="Times New Roman"/>
                <w:color w:val="auto"/>
              </w:rPr>
              <w:t>的餐饮单位为中型餐饮单位；设计排放风量</w:t>
            </w:r>
            <w:r>
              <w:rPr>
                <w:rFonts w:ascii="Times New Roman" w:cs="Times New Roman"/>
                <w:color w:val="auto"/>
              </w:rPr>
              <w:t>=</w:t>
            </w:r>
            <w:r>
              <w:rPr>
                <w:rFonts w:hint="eastAsia" w:ascii="Times New Roman" w:cs="Times New Roman"/>
                <w:color w:val="auto"/>
              </w:rPr>
              <w:t>基准灶头数</w:t>
            </w:r>
            <w:r>
              <w:rPr>
                <w:rFonts w:ascii="Times New Roman" w:cs="Times New Roman"/>
                <w:color w:val="auto"/>
              </w:rPr>
              <w:t>×</w:t>
            </w:r>
            <w:r>
              <w:rPr>
                <w:rFonts w:hint="eastAsia" w:ascii="Times New Roman" w:cs="Times New Roman"/>
                <w:color w:val="auto"/>
              </w:rPr>
              <w:t>基准风量（单个基准灶头的基准风量以</w:t>
            </w:r>
            <w:r>
              <w:rPr>
                <w:rFonts w:ascii="Times New Roman" w:cs="Times New Roman"/>
                <w:color w:val="auto"/>
              </w:rPr>
              <w:t>2000m</w:t>
            </w:r>
            <w:r>
              <w:rPr>
                <w:rFonts w:ascii="Times New Roman" w:cs="Times New Roman"/>
                <w:color w:val="auto"/>
                <w:vertAlign w:val="superscript"/>
              </w:rPr>
              <w:t>3</w:t>
            </w:r>
            <w:r>
              <w:rPr>
                <w:rFonts w:ascii="Times New Roman" w:cs="Times New Roman"/>
                <w:color w:val="auto"/>
              </w:rPr>
              <w:t>/h</w:t>
            </w:r>
            <w:r>
              <w:rPr>
                <w:rFonts w:hint="eastAsia" w:ascii="Times New Roman" w:cs="Times New Roman"/>
                <w:color w:val="auto"/>
              </w:rPr>
              <w:t>计），则项目总风量为</w:t>
            </w:r>
            <w:r>
              <w:rPr>
                <w:rFonts w:ascii="Times New Roman" w:cs="Times New Roman"/>
                <w:color w:val="auto"/>
              </w:rPr>
              <w:t>6000m</w:t>
            </w:r>
            <w:r>
              <w:rPr>
                <w:rFonts w:ascii="Times New Roman" w:cs="Times New Roman"/>
                <w:color w:val="auto"/>
                <w:vertAlign w:val="superscript"/>
              </w:rPr>
              <w:t>3</w:t>
            </w:r>
            <w:r>
              <w:rPr>
                <w:rFonts w:ascii="Times New Roman" w:cs="Times New Roman"/>
                <w:color w:val="auto"/>
              </w:rPr>
              <w:t>/h</w:t>
            </w:r>
            <w:r>
              <w:rPr>
                <w:rFonts w:hint="eastAsia" w:ascii="Times New Roman" w:cs="Times New Roman"/>
                <w:color w:val="auto"/>
              </w:rPr>
              <w:t>；中型餐饮单位净化设备的油烟去除效率不应低于</w:t>
            </w:r>
            <w:r>
              <w:rPr>
                <w:rFonts w:ascii="Times New Roman" w:cs="Times New Roman"/>
                <w:color w:val="auto"/>
              </w:rPr>
              <w:t>90%</w:t>
            </w:r>
            <w:r>
              <w:rPr>
                <w:rFonts w:hint="eastAsia" w:ascii="Times New Roman" w:cs="Times New Roman"/>
                <w:color w:val="auto"/>
              </w:rPr>
              <w:t>，本项目取</w:t>
            </w:r>
            <w:r>
              <w:rPr>
                <w:rFonts w:ascii="Times New Roman" w:cs="Times New Roman"/>
                <w:color w:val="auto"/>
              </w:rPr>
              <w:t>95%</w:t>
            </w:r>
            <w:r>
              <w:rPr>
                <w:rFonts w:hint="eastAsia" w:ascii="Times New Roman" w:cs="Times New Roman"/>
                <w:color w:val="auto"/>
              </w:rPr>
              <w:t>；非甲烷总烃去除效率不应低于</w:t>
            </w:r>
            <w:r>
              <w:rPr>
                <w:rFonts w:ascii="Times New Roman" w:cs="Times New Roman"/>
                <w:color w:val="auto"/>
              </w:rPr>
              <w:t>75%</w:t>
            </w:r>
            <w:r>
              <w:rPr>
                <w:rFonts w:hint="eastAsia" w:ascii="Times New Roman" w:cs="Times New Roman"/>
                <w:color w:val="auto"/>
              </w:rPr>
              <w:t>，本项目取</w:t>
            </w:r>
            <w:r>
              <w:rPr>
                <w:rFonts w:ascii="Times New Roman" w:cs="Times New Roman"/>
                <w:color w:val="auto"/>
              </w:rPr>
              <w:t>75%</w:t>
            </w:r>
            <w:r>
              <w:rPr>
                <w:rFonts w:hint="eastAsia" w:ascii="Times New Roman" w:cs="Times New Roman"/>
                <w:color w:val="auto"/>
              </w:rPr>
              <w:t>。</w:t>
            </w:r>
          </w:p>
          <w:p w14:paraId="0BA70C16">
            <w:pPr>
              <w:pStyle w:val="54"/>
              <w:spacing w:line="360" w:lineRule="auto"/>
              <w:ind w:firstLine="480" w:firstLineChars="200"/>
              <w:jc w:val="both"/>
              <w:rPr>
                <w:rFonts w:ascii="Times New Roman" w:cs="Times New Roman"/>
                <w:color w:val="auto"/>
              </w:rPr>
            </w:pPr>
            <w:r>
              <w:rPr>
                <w:rFonts w:hint="eastAsia" w:ascii="Times New Roman" w:cs="Times New Roman"/>
                <w:color w:val="auto"/>
              </w:rPr>
              <w:t>项目就餐人员</w:t>
            </w:r>
            <w:r>
              <w:rPr>
                <w:rFonts w:ascii="Times New Roman" w:cs="Times New Roman"/>
                <w:color w:val="auto"/>
              </w:rPr>
              <w:t>388</w:t>
            </w:r>
            <w:r>
              <w:rPr>
                <w:rFonts w:hint="eastAsia" w:ascii="Times New Roman" w:cs="Times New Roman"/>
                <w:color w:val="auto"/>
              </w:rPr>
              <w:t>人，年工作</w:t>
            </w:r>
            <w:r>
              <w:rPr>
                <w:rFonts w:ascii="Times New Roman" w:cs="Times New Roman"/>
                <w:color w:val="auto"/>
              </w:rPr>
              <w:t>330</w:t>
            </w:r>
            <w:r>
              <w:rPr>
                <w:rFonts w:hint="eastAsia" w:ascii="Times New Roman" w:cs="Times New Roman"/>
                <w:color w:val="auto"/>
              </w:rPr>
              <w:t>天，根据饮食业油烟浓度经验数据，目前居民人均食用油日用量约</w:t>
            </w:r>
            <w:r>
              <w:rPr>
                <w:rFonts w:ascii="Times New Roman" w:cs="Times New Roman"/>
                <w:color w:val="auto"/>
              </w:rPr>
              <w:t>30g/</w:t>
            </w:r>
            <w:r>
              <w:rPr>
                <w:rFonts w:hint="eastAsia" w:ascii="Times New Roman" w:cs="Times New Roman"/>
                <w:color w:val="auto"/>
              </w:rPr>
              <w:t>人</w:t>
            </w:r>
            <w:r>
              <w:rPr>
                <w:rFonts w:ascii="Times New Roman" w:cs="Times New Roman"/>
                <w:color w:val="auto"/>
              </w:rPr>
              <w:t>·d</w:t>
            </w:r>
            <w:r>
              <w:rPr>
                <w:rFonts w:hint="eastAsia" w:ascii="Times New Roman" w:cs="Times New Roman"/>
                <w:color w:val="auto"/>
              </w:rPr>
              <w:t>，油烟挥发量占总耗油量的</w:t>
            </w:r>
            <w:r>
              <w:rPr>
                <w:rFonts w:ascii="Times New Roman" w:cs="Times New Roman"/>
                <w:color w:val="auto"/>
              </w:rPr>
              <w:t>3%</w:t>
            </w:r>
            <w:r>
              <w:rPr>
                <w:rFonts w:hint="eastAsia" w:ascii="Times New Roman" w:cs="Times New Roman"/>
                <w:color w:val="auto"/>
              </w:rPr>
              <w:t>，则项目年产生油烟约</w:t>
            </w:r>
            <w:r>
              <w:rPr>
                <w:rFonts w:ascii="Times New Roman" w:cs="Times New Roman"/>
                <w:color w:val="auto"/>
              </w:rPr>
              <w:t>0.12t/a(0.35kg/d)</w:t>
            </w:r>
            <w:r>
              <w:rPr>
                <w:rFonts w:hint="eastAsia" w:ascii="Times New Roman" w:cs="Times New Roman"/>
                <w:color w:val="auto"/>
              </w:rPr>
              <w:t>，按每天烹饪</w:t>
            </w:r>
            <w:r>
              <w:rPr>
                <w:rFonts w:ascii="Times New Roman" w:cs="Times New Roman"/>
                <w:color w:val="auto"/>
              </w:rPr>
              <w:t>4</w:t>
            </w:r>
            <w:r>
              <w:rPr>
                <w:rFonts w:hint="eastAsia" w:ascii="Times New Roman" w:cs="Times New Roman"/>
                <w:color w:val="auto"/>
              </w:rPr>
              <w:t>小时算，则高峰期所产生油烟量为</w:t>
            </w:r>
            <w:r>
              <w:rPr>
                <w:rFonts w:ascii="Times New Roman" w:cs="Times New Roman"/>
                <w:color w:val="auto"/>
              </w:rPr>
              <w:t>0.087kg/h</w:t>
            </w:r>
            <w:r>
              <w:rPr>
                <w:rFonts w:hint="eastAsia" w:ascii="Times New Roman" w:cs="Times New Roman"/>
                <w:color w:val="auto"/>
              </w:rPr>
              <w:t>，产生浓度为</w:t>
            </w:r>
            <w:r>
              <w:rPr>
                <w:rFonts w:ascii="Times New Roman" w:cs="Times New Roman"/>
                <w:color w:val="auto"/>
              </w:rPr>
              <w:t>14.5mg/m</w:t>
            </w:r>
            <w:r>
              <w:rPr>
                <w:rFonts w:ascii="Times New Roman" w:cs="Times New Roman"/>
                <w:color w:val="auto"/>
                <w:vertAlign w:val="superscript"/>
              </w:rPr>
              <w:t>3</w:t>
            </w:r>
            <w:r>
              <w:rPr>
                <w:rFonts w:hint="eastAsia" w:ascii="Times New Roman" w:cs="Times New Roman"/>
                <w:color w:val="auto"/>
              </w:rPr>
              <w:t>。油烟净化器对油烟的处理效率为</w:t>
            </w:r>
            <w:r>
              <w:rPr>
                <w:rFonts w:ascii="Times New Roman" w:cs="Times New Roman"/>
                <w:color w:val="auto"/>
              </w:rPr>
              <w:t>95%</w:t>
            </w:r>
            <w:r>
              <w:rPr>
                <w:rFonts w:hint="eastAsia" w:ascii="Times New Roman" w:cs="Times New Roman"/>
                <w:color w:val="auto"/>
              </w:rPr>
              <w:t>，则油烟排放量为</w:t>
            </w:r>
            <w:r>
              <w:rPr>
                <w:rFonts w:ascii="Times New Roman" w:cs="Times New Roman"/>
                <w:color w:val="auto"/>
              </w:rPr>
              <w:t>0.006t/a</w:t>
            </w:r>
            <w:r>
              <w:rPr>
                <w:rFonts w:hint="eastAsia" w:ascii="Times New Roman" w:cs="Times New Roman"/>
                <w:color w:val="auto"/>
              </w:rPr>
              <w:t>，排放速率为</w:t>
            </w:r>
            <w:r>
              <w:rPr>
                <w:rFonts w:ascii="Times New Roman" w:cs="Times New Roman"/>
                <w:color w:val="auto"/>
              </w:rPr>
              <w:t>0.004kg/h</w:t>
            </w:r>
            <w:r>
              <w:rPr>
                <w:rFonts w:hint="eastAsia" w:ascii="Times New Roman" w:cs="Times New Roman"/>
                <w:color w:val="auto"/>
              </w:rPr>
              <w:t>，排放浓度为</w:t>
            </w:r>
            <w:r>
              <w:rPr>
                <w:rFonts w:ascii="Times New Roman" w:cs="Times New Roman"/>
                <w:color w:val="auto"/>
              </w:rPr>
              <w:t>0.67mg/m</w:t>
            </w:r>
            <w:r>
              <w:rPr>
                <w:rFonts w:ascii="Times New Roman" w:cs="Times New Roman"/>
                <w:color w:val="auto"/>
                <w:vertAlign w:val="superscript"/>
              </w:rPr>
              <w:t>3</w:t>
            </w:r>
            <w:r>
              <w:rPr>
                <w:rFonts w:hint="eastAsia" w:ascii="Times New Roman" w:cs="Times New Roman"/>
                <w:color w:val="auto"/>
              </w:rPr>
              <w:t>。</w:t>
            </w:r>
          </w:p>
          <w:p w14:paraId="66CF2A6B">
            <w:pPr>
              <w:pStyle w:val="54"/>
              <w:spacing w:line="360" w:lineRule="auto"/>
              <w:ind w:firstLine="480" w:firstLineChars="200"/>
              <w:jc w:val="both"/>
              <w:rPr>
                <w:rFonts w:ascii="Times New Roman" w:cs="Times New Roman"/>
                <w:color w:val="auto"/>
              </w:rPr>
            </w:pPr>
            <w:r>
              <w:rPr>
                <w:rFonts w:hint="eastAsia" w:ascii="Times New Roman" w:cs="Times New Roman"/>
                <w:color w:val="auto"/>
              </w:rPr>
              <w:t>根据张春洋、马永亮的《中式餐饮业油烟中非甲烷碳氢化合物排放特征》研究报告可知，食堂油烟非甲烷总烃产生浓度约为</w:t>
            </w:r>
            <w:r>
              <w:rPr>
                <w:rFonts w:ascii="Times New Roman" w:cs="Times New Roman"/>
                <w:color w:val="auto"/>
              </w:rPr>
              <w:t>9.13~14.2mg/m</w:t>
            </w:r>
            <w:r>
              <w:rPr>
                <w:rFonts w:ascii="Times New Roman" w:cs="Times New Roman"/>
                <w:color w:val="auto"/>
                <w:vertAlign w:val="superscript"/>
              </w:rPr>
              <w:t>3</w:t>
            </w:r>
            <w:r>
              <w:rPr>
                <w:rFonts w:hint="eastAsia" w:ascii="Times New Roman" w:cs="Times New Roman"/>
                <w:color w:val="auto"/>
              </w:rPr>
              <w:t>，项目非甲烷总烃产生浓度取</w:t>
            </w:r>
            <w:r>
              <w:rPr>
                <w:rFonts w:ascii="Times New Roman" w:cs="Times New Roman"/>
                <w:color w:val="auto"/>
              </w:rPr>
              <w:t>14mg/m</w:t>
            </w:r>
            <w:r>
              <w:rPr>
                <w:rFonts w:ascii="Times New Roman" w:cs="Times New Roman"/>
                <w:color w:val="auto"/>
                <w:vertAlign w:val="superscript"/>
              </w:rPr>
              <w:t>3</w:t>
            </w:r>
            <w:r>
              <w:rPr>
                <w:rFonts w:hint="eastAsia" w:ascii="Times New Roman" w:cs="Times New Roman"/>
                <w:color w:val="auto"/>
              </w:rPr>
              <w:t>，产生速率为</w:t>
            </w:r>
            <w:r>
              <w:rPr>
                <w:rFonts w:ascii="Times New Roman" w:cs="Times New Roman"/>
                <w:color w:val="auto"/>
              </w:rPr>
              <w:t>0.084kg/h</w:t>
            </w:r>
            <w:r>
              <w:rPr>
                <w:rFonts w:hint="eastAsia" w:ascii="Times New Roman" w:cs="Times New Roman"/>
                <w:color w:val="auto"/>
              </w:rPr>
              <w:t>，产生量为</w:t>
            </w:r>
            <w:r>
              <w:rPr>
                <w:rFonts w:ascii="Times New Roman" w:cs="Times New Roman"/>
                <w:color w:val="auto"/>
              </w:rPr>
              <w:t>0.11t/a</w:t>
            </w:r>
            <w:r>
              <w:rPr>
                <w:rFonts w:hint="eastAsia" w:ascii="Times New Roman" w:cs="Times New Roman"/>
                <w:color w:val="auto"/>
              </w:rPr>
              <w:t>。油烟净化器对非甲烷总烃的处理效率为</w:t>
            </w:r>
            <w:r>
              <w:rPr>
                <w:rFonts w:ascii="Times New Roman" w:cs="Times New Roman"/>
                <w:color w:val="auto"/>
              </w:rPr>
              <w:t>75%</w:t>
            </w:r>
            <w:r>
              <w:rPr>
                <w:rFonts w:hint="eastAsia" w:ascii="Times New Roman" w:cs="Times New Roman"/>
                <w:color w:val="auto"/>
              </w:rPr>
              <w:t>，则非甲烷总烃排放量为</w:t>
            </w:r>
            <w:r>
              <w:rPr>
                <w:rFonts w:ascii="Times New Roman" w:cs="Times New Roman"/>
                <w:color w:val="auto"/>
              </w:rPr>
              <w:t>0.028t/a</w:t>
            </w:r>
            <w:r>
              <w:rPr>
                <w:rFonts w:hint="eastAsia" w:ascii="Times New Roman" w:cs="Times New Roman"/>
                <w:color w:val="auto"/>
              </w:rPr>
              <w:t>、排放速率为</w:t>
            </w:r>
            <w:r>
              <w:rPr>
                <w:rFonts w:ascii="Times New Roman" w:cs="Times New Roman"/>
                <w:color w:val="auto"/>
              </w:rPr>
              <w:t>0.021kg/h</w:t>
            </w:r>
            <w:r>
              <w:rPr>
                <w:rFonts w:hint="eastAsia" w:ascii="Times New Roman" w:cs="Times New Roman"/>
                <w:color w:val="auto"/>
              </w:rPr>
              <w:t>，排放浓度为</w:t>
            </w:r>
            <w:r>
              <w:rPr>
                <w:rFonts w:ascii="Times New Roman" w:cs="Times New Roman"/>
                <w:color w:val="auto"/>
              </w:rPr>
              <w:t>3.50mg/m</w:t>
            </w:r>
            <w:r>
              <w:rPr>
                <w:rFonts w:ascii="Times New Roman" w:cs="Times New Roman"/>
                <w:color w:val="auto"/>
                <w:vertAlign w:val="superscript"/>
              </w:rPr>
              <w:t>3</w:t>
            </w:r>
            <w:r>
              <w:rPr>
                <w:rFonts w:hint="eastAsia" w:ascii="Times New Roman" w:cs="Times New Roman"/>
                <w:color w:val="auto"/>
              </w:rPr>
              <w:t>。</w:t>
            </w:r>
          </w:p>
          <w:p w14:paraId="64D44BAE">
            <w:pPr>
              <w:pStyle w:val="54"/>
              <w:spacing w:line="360" w:lineRule="auto"/>
              <w:ind w:firstLine="480" w:firstLineChars="200"/>
              <w:jc w:val="both"/>
              <w:rPr>
                <w:rFonts w:ascii="Times New Roman" w:cs="Times New Roman"/>
                <w:color w:val="auto"/>
              </w:rPr>
            </w:pPr>
            <w:r>
              <w:rPr>
                <w:rFonts w:hint="eastAsia" w:ascii="Times New Roman" w:cs="Times New Roman"/>
                <w:color w:val="auto"/>
              </w:rPr>
              <w:t>食堂废气通过倒班楼油烟净化器处理后经专用烟道升顶排放。</w:t>
            </w:r>
          </w:p>
          <w:p w14:paraId="5043A574">
            <w:pPr>
              <w:adjustRightInd w:val="0"/>
              <w:snapToGrid w:val="0"/>
              <w:spacing w:line="360" w:lineRule="auto"/>
              <w:ind w:firstLine="405"/>
              <w:rPr>
                <w:bCs/>
                <w:sz w:val="24"/>
              </w:rPr>
            </w:pPr>
            <w:r>
              <w:rPr>
                <w:rFonts w:hint="eastAsia"/>
                <w:bCs/>
                <w:sz w:val="24"/>
              </w:rPr>
              <w:t>⑦污水处理设施臭气</w:t>
            </w:r>
          </w:p>
          <w:p w14:paraId="4F8961D1">
            <w:pPr>
              <w:adjustRightInd w:val="0"/>
              <w:snapToGrid w:val="0"/>
              <w:spacing w:line="360" w:lineRule="auto"/>
              <w:ind w:firstLine="405"/>
              <w:rPr>
                <w:bCs/>
                <w:sz w:val="24"/>
              </w:rPr>
            </w:pPr>
            <w:r>
              <w:rPr>
                <w:rFonts w:hint="eastAsia"/>
                <w:bCs/>
                <w:sz w:val="24"/>
              </w:rPr>
              <w:t>项目拟建设1座污水处理设施，位于项目区北侧辅房内，用于处理项目运行过程中产生的生产废水、生活污水及食堂废水，处理能力1</w:t>
            </w:r>
            <w:r>
              <w:rPr>
                <w:bCs/>
                <w:sz w:val="24"/>
              </w:rPr>
              <w:t>0</w:t>
            </w:r>
            <w:r>
              <w:rPr>
                <w:rFonts w:hint="eastAsia"/>
                <w:bCs/>
                <w:sz w:val="24"/>
              </w:rPr>
              <w:t>0m</w:t>
            </w:r>
            <w:r>
              <w:rPr>
                <w:rFonts w:hint="eastAsia"/>
                <w:bCs/>
                <w:sz w:val="24"/>
                <w:vertAlign w:val="superscript"/>
              </w:rPr>
              <w:t>3</w:t>
            </w:r>
            <w:r>
              <w:rPr>
                <w:rFonts w:hint="eastAsia"/>
                <w:bCs/>
                <w:sz w:val="24"/>
              </w:rPr>
              <w:t>/d。污水处理设施采用“</w:t>
            </w:r>
            <w:r>
              <w:rPr>
                <w:rFonts w:hint="eastAsia"/>
                <w:sz w:val="24"/>
              </w:rPr>
              <w:t>隔油+调节池+破乳+气浮</w:t>
            </w:r>
            <w:r>
              <w:rPr>
                <w:rFonts w:hint="eastAsia"/>
                <w:bCs/>
                <w:sz w:val="24"/>
              </w:rPr>
              <w:t>”工艺预处理生产废水，预处理后的生产废水与生活污水、食堂废水进入生化处理系统，生化处理系统采用</w:t>
            </w:r>
            <w:r>
              <w:rPr>
                <w:rFonts w:hint="eastAsia"/>
                <w:sz w:val="24"/>
              </w:rPr>
              <w:t>“水解酸化+生物接触氧化”工艺</w:t>
            </w:r>
            <w:r>
              <w:rPr>
                <w:rFonts w:hint="eastAsia"/>
                <w:bCs/>
                <w:sz w:val="24"/>
              </w:rPr>
              <w:t>，废水生化处理过程中有机物分解将产生NH</w:t>
            </w:r>
            <w:r>
              <w:rPr>
                <w:rFonts w:hint="eastAsia"/>
                <w:bCs/>
                <w:sz w:val="24"/>
                <w:vertAlign w:val="subscript"/>
              </w:rPr>
              <w:t>3</w:t>
            </w:r>
            <w:r>
              <w:rPr>
                <w:rFonts w:hint="eastAsia"/>
                <w:bCs/>
                <w:sz w:val="24"/>
              </w:rPr>
              <w:t>、H</w:t>
            </w:r>
            <w:r>
              <w:rPr>
                <w:rFonts w:hint="eastAsia"/>
                <w:bCs/>
                <w:sz w:val="24"/>
                <w:vertAlign w:val="subscript"/>
              </w:rPr>
              <w:t>2</w:t>
            </w:r>
            <w:r>
              <w:rPr>
                <w:rFonts w:hint="eastAsia"/>
                <w:bCs/>
                <w:sz w:val="24"/>
              </w:rPr>
              <w:t>S等恶臭污染物以及臭气浓度。由于项目废水处理规模较小，恶臭污染物产生量很少，本次评价不进行定量核算。项目污水处理设施池体均地埋式密闭建设，废水处理过程产生的恶臭污染物引至辅房楼顶排放。</w:t>
            </w:r>
          </w:p>
          <w:p w14:paraId="7D940E92">
            <w:pPr>
              <w:adjustRightInd w:val="0"/>
              <w:snapToGrid w:val="0"/>
              <w:spacing w:line="360" w:lineRule="auto"/>
              <w:ind w:firstLine="405"/>
              <w:rPr>
                <w:bCs/>
                <w:sz w:val="24"/>
              </w:rPr>
            </w:pPr>
            <w:r>
              <w:rPr>
                <w:rFonts w:hint="eastAsia"/>
                <w:bCs/>
                <w:sz w:val="24"/>
              </w:rPr>
              <w:t>项目迁建后现有工程所有设施全部拆除。根据以上核算结果，迁建后</w:t>
            </w:r>
            <w:r>
              <w:rPr>
                <w:bCs/>
                <w:sz w:val="24"/>
              </w:rPr>
              <w:t>废气产排及治理设施见表4-5</w:t>
            </w:r>
            <w:r>
              <w:rPr>
                <w:rFonts w:hint="eastAsia"/>
                <w:bCs/>
                <w:sz w:val="24"/>
              </w:rPr>
              <w:t>。</w:t>
            </w:r>
          </w:p>
          <w:p w14:paraId="44EE66FF">
            <w:pPr>
              <w:adjustRightInd w:val="0"/>
              <w:snapToGrid w:val="0"/>
              <w:spacing w:line="360" w:lineRule="auto"/>
              <w:rPr>
                <w:bCs/>
                <w:spacing w:val="-10"/>
                <w:szCs w:val="21"/>
              </w:rPr>
            </w:pPr>
          </w:p>
          <w:p w14:paraId="6BF73F08">
            <w:pPr>
              <w:adjustRightInd w:val="0"/>
              <w:snapToGrid w:val="0"/>
              <w:spacing w:line="360" w:lineRule="auto"/>
              <w:rPr>
                <w:bCs/>
                <w:spacing w:val="-10"/>
                <w:szCs w:val="21"/>
              </w:rPr>
            </w:pPr>
          </w:p>
          <w:p w14:paraId="3EEC9ACD">
            <w:pPr>
              <w:adjustRightInd w:val="0"/>
              <w:snapToGrid w:val="0"/>
              <w:spacing w:line="360" w:lineRule="auto"/>
              <w:rPr>
                <w:bCs/>
                <w:spacing w:val="-10"/>
                <w:szCs w:val="21"/>
              </w:rPr>
            </w:pPr>
          </w:p>
          <w:p w14:paraId="6C17C47B">
            <w:pPr>
              <w:adjustRightInd w:val="0"/>
              <w:snapToGrid w:val="0"/>
              <w:spacing w:line="360" w:lineRule="auto"/>
              <w:rPr>
                <w:bCs/>
                <w:spacing w:val="-10"/>
                <w:szCs w:val="21"/>
              </w:rPr>
            </w:pPr>
          </w:p>
          <w:p w14:paraId="528635EE">
            <w:pPr>
              <w:adjustRightInd w:val="0"/>
              <w:snapToGrid w:val="0"/>
              <w:spacing w:line="360" w:lineRule="auto"/>
              <w:rPr>
                <w:bCs/>
                <w:spacing w:val="-10"/>
                <w:szCs w:val="21"/>
              </w:rPr>
            </w:pPr>
          </w:p>
          <w:p w14:paraId="31A93198">
            <w:pPr>
              <w:adjustRightInd w:val="0"/>
              <w:snapToGrid w:val="0"/>
              <w:spacing w:line="360" w:lineRule="auto"/>
              <w:rPr>
                <w:bCs/>
                <w:spacing w:val="-10"/>
                <w:szCs w:val="21"/>
              </w:rPr>
            </w:pPr>
          </w:p>
          <w:p w14:paraId="6B141DE0">
            <w:pPr>
              <w:adjustRightInd w:val="0"/>
              <w:snapToGrid w:val="0"/>
              <w:spacing w:line="360" w:lineRule="auto"/>
              <w:rPr>
                <w:bCs/>
                <w:spacing w:val="-10"/>
                <w:szCs w:val="21"/>
              </w:rPr>
            </w:pPr>
          </w:p>
          <w:p w14:paraId="1413BAF6">
            <w:pPr>
              <w:adjustRightInd w:val="0"/>
              <w:snapToGrid w:val="0"/>
              <w:spacing w:line="360" w:lineRule="auto"/>
              <w:rPr>
                <w:bCs/>
                <w:spacing w:val="-10"/>
                <w:szCs w:val="21"/>
              </w:rPr>
            </w:pPr>
          </w:p>
          <w:p w14:paraId="472E5998">
            <w:pPr>
              <w:adjustRightInd w:val="0"/>
              <w:snapToGrid w:val="0"/>
              <w:spacing w:line="360" w:lineRule="auto"/>
              <w:rPr>
                <w:bCs/>
                <w:spacing w:val="-10"/>
                <w:szCs w:val="21"/>
              </w:rPr>
            </w:pPr>
          </w:p>
          <w:p w14:paraId="23419DAF">
            <w:pPr>
              <w:adjustRightInd w:val="0"/>
              <w:snapToGrid w:val="0"/>
              <w:spacing w:line="360" w:lineRule="auto"/>
              <w:rPr>
                <w:bCs/>
                <w:spacing w:val="-10"/>
                <w:szCs w:val="21"/>
              </w:rPr>
            </w:pPr>
          </w:p>
          <w:p w14:paraId="47F9AF66">
            <w:pPr>
              <w:adjustRightInd w:val="0"/>
              <w:snapToGrid w:val="0"/>
              <w:spacing w:line="360" w:lineRule="auto"/>
              <w:rPr>
                <w:bCs/>
                <w:spacing w:val="-10"/>
                <w:szCs w:val="21"/>
              </w:rPr>
            </w:pPr>
          </w:p>
          <w:p w14:paraId="7E61D03B">
            <w:pPr>
              <w:adjustRightInd w:val="0"/>
              <w:snapToGrid w:val="0"/>
              <w:spacing w:line="360" w:lineRule="auto"/>
              <w:rPr>
                <w:bCs/>
                <w:spacing w:val="-10"/>
                <w:szCs w:val="21"/>
              </w:rPr>
            </w:pPr>
          </w:p>
          <w:p w14:paraId="20DE1215">
            <w:pPr>
              <w:adjustRightInd w:val="0"/>
              <w:snapToGrid w:val="0"/>
              <w:spacing w:line="360" w:lineRule="auto"/>
              <w:rPr>
                <w:bCs/>
                <w:spacing w:val="-10"/>
                <w:szCs w:val="21"/>
              </w:rPr>
            </w:pPr>
          </w:p>
          <w:p w14:paraId="1F2601A9">
            <w:pPr>
              <w:adjustRightInd w:val="0"/>
              <w:snapToGrid w:val="0"/>
              <w:spacing w:line="360" w:lineRule="auto"/>
              <w:rPr>
                <w:bCs/>
                <w:spacing w:val="-10"/>
                <w:szCs w:val="21"/>
              </w:rPr>
            </w:pPr>
          </w:p>
          <w:p w14:paraId="3A621D0F">
            <w:pPr>
              <w:adjustRightInd w:val="0"/>
              <w:snapToGrid w:val="0"/>
              <w:spacing w:line="360" w:lineRule="auto"/>
              <w:rPr>
                <w:bCs/>
                <w:spacing w:val="-10"/>
                <w:szCs w:val="21"/>
              </w:rPr>
            </w:pPr>
          </w:p>
          <w:p w14:paraId="177E3E90">
            <w:pPr>
              <w:adjustRightInd w:val="0"/>
              <w:snapToGrid w:val="0"/>
              <w:spacing w:line="360" w:lineRule="auto"/>
              <w:rPr>
                <w:bCs/>
                <w:spacing w:val="-10"/>
                <w:szCs w:val="21"/>
              </w:rPr>
            </w:pPr>
          </w:p>
          <w:p w14:paraId="378E6D9B">
            <w:pPr>
              <w:adjustRightInd w:val="0"/>
              <w:snapToGrid w:val="0"/>
              <w:spacing w:line="360" w:lineRule="auto"/>
              <w:rPr>
                <w:bCs/>
                <w:spacing w:val="-10"/>
                <w:szCs w:val="21"/>
              </w:rPr>
            </w:pPr>
          </w:p>
          <w:p w14:paraId="05CB0C29">
            <w:pPr>
              <w:adjustRightInd w:val="0"/>
              <w:snapToGrid w:val="0"/>
              <w:spacing w:line="360" w:lineRule="auto"/>
              <w:rPr>
                <w:bCs/>
                <w:spacing w:val="-10"/>
                <w:szCs w:val="21"/>
              </w:rPr>
            </w:pPr>
          </w:p>
          <w:p w14:paraId="78F5AC65">
            <w:pPr>
              <w:adjustRightInd w:val="0"/>
              <w:snapToGrid w:val="0"/>
              <w:spacing w:line="360" w:lineRule="auto"/>
              <w:rPr>
                <w:bCs/>
                <w:spacing w:val="-10"/>
                <w:szCs w:val="21"/>
              </w:rPr>
            </w:pPr>
          </w:p>
          <w:p w14:paraId="7AC83FF8">
            <w:pPr>
              <w:adjustRightInd w:val="0"/>
              <w:snapToGrid w:val="0"/>
              <w:spacing w:line="360" w:lineRule="auto"/>
              <w:rPr>
                <w:bCs/>
                <w:spacing w:val="-10"/>
                <w:szCs w:val="21"/>
              </w:rPr>
            </w:pPr>
          </w:p>
          <w:p w14:paraId="611ED83B">
            <w:pPr>
              <w:adjustRightInd w:val="0"/>
              <w:snapToGrid w:val="0"/>
              <w:spacing w:line="360" w:lineRule="auto"/>
              <w:rPr>
                <w:bCs/>
                <w:spacing w:val="-10"/>
                <w:szCs w:val="21"/>
              </w:rPr>
            </w:pPr>
          </w:p>
          <w:p w14:paraId="420CD4B1">
            <w:pPr>
              <w:adjustRightInd w:val="0"/>
              <w:snapToGrid w:val="0"/>
              <w:spacing w:line="360" w:lineRule="auto"/>
              <w:rPr>
                <w:bCs/>
                <w:spacing w:val="-10"/>
                <w:szCs w:val="21"/>
              </w:rPr>
            </w:pPr>
          </w:p>
          <w:p w14:paraId="6F8ABD03">
            <w:pPr>
              <w:adjustRightInd w:val="0"/>
              <w:snapToGrid w:val="0"/>
              <w:spacing w:line="360" w:lineRule="auto"/>
              <w:rPr>
                <w:bCs/>
                <w:spacing w:val="-10"/>
                <w:szCs w:val="21"/>
              </w:rPr>
            </w:pPr>
          </w:p>
          <w:p w14:paraId="68C5B06F">
            <w:pPr>
              <w:adjustRightInd w:val="0"/>
              <w:snapToGrid w:val="0"/>
              <w:spacing w:line="360" w:lineRule="auto"/>
              <w:rPr>
                <w:bCs/>
                <w:spacing w:val="-10"/>
                <w:szCs w:val="21"/>
              </w:rPr>
            </w:pPr>
          </w:p>
          <w:p w14:paraId="1232A178">
            <w:pPr>
              <w:adjustRightInd w:val="0"/>
              <w:snapToGrid w:val="0"/>
              <w:spacing w:line="360" w:lineRule="auto"/>
              <w:rPr>
                <w:bCs/>
                <w:spacing w:val="-10"/>
                <w:szCs w:val="21"/>
              </w:rPr>
            </w:pPr>
          </w:p>
          <w:p w14:paraId="513EDEF1">
            <w:pPr>
              <w:adjustRightInd w:val="0"/>
              <w:snapToGrid w:val="0"/>
              <w:spacing w:line="360" w:lineRule="auto"/>
              <w:rPr>
                <w:bCs/>
                <w:spacing w:val="-10"/>
                <w:szCs w:val="21"/>
              </w:rPr>
            </w:pPr>
          </w:p>
          <w:p w14:paraId="04CDE67E">
            <w:pPr>
              <w:adjustRightInd w:val="0"/>
              <w:snapToGrid w:val="0"/>
              <w:spacing w:line="360" w:lineRule="auto"/>
              <w:rPr>
                <w:bCs/>
                <w:spacing w:val="-10"/>
                <w:szCs w:val="21"/>
              </w:rPr>
            </w:pPr>
          </w:p>
          <w:p w14:paraId="2051F6BF">
            <w:pPr>
              <w:adjustRightInd w:val="0"/>
              <w:snapToGrid w:val="0"/>
              <w:spacing w:line="360" w:lineRule="auto"/>
              <w:rPr>
                <w:bCs/>
                <w:spacing w:val="-10"/>
                <w:szCs w:val="21"/>
              </w:rPr>
            </w:pPr>
          </w:p>
          <w:p w14:paraId="5F86024E">
            <w:pPr>
              <w:adjustRightInd w:val="0"/>
              <w:snapToGrid w:val="0"/>
              <w:spacing w:line="360" w:lineRule="auto"/>
              <w:rPr>
                <w:bCs/>
                <w:spacing w:val="-10"/>
                <w:szCs w:val="21"/>
              </w:rPr>
            </w:pPr>
          </w:p>
          <w:p w14:paraId="786429DB">
            <w:pPr>
              <w:adjustRightInd w:val="0"/>
              <w:snapToGrid w:val="0"/>
              <w:spacing w:line="360" w:lineRule="auto"/>
              <w:rPr>
                <w:bCs/>
                <w:spacing w:val="-10"/>
                <w:szCs w:val="21"/>
              </w:rPr>
            </w:pPr>
          </w:p>
          <w:p w14:paraId="680FB50D">
            <w:pPr>
              <w:adjustRightInd w:val="0"/>
              <w:snapToGrid w:val="0"/>
              <w:spacing w:line="360" w:lineRule="auto"/>
              <w:rPr>
                <w:bCs/>
                <w:spacing w:val="-10"/>
                <w:szCs w:val="21"/>
              </w:rPr>
            </w:pPr>
          </w:p>
          <w:p w14:paraId="7ABA726E">
            <w:pPr>
              <w:adjustRightInd w:val="0"/>
              <w:snapToGrid w:val="0"/>
              <w:spacing w:line="360" w:lineRule="auto"/>
              <w:rPr>
                <w:bCs/>
                <w:spacing w:val="-10"/>
                <w:szCs w:val="21"/>
              </w:rPr>
            </w:pPr>
          </w:p>
        </w:tc>
      </w:tr>
    </w:tbl>
    <w:p w14:paraId="247D7FE3">
      <w:pPr>
        <w:rPr>
          <w:sz w:val="28"/>
          <w:szCs w:val="28"/>
        </w:rPr>
      </w:pPr>
    </w:p>
    <w:p w14:paraId="0C847C25">
      <w:pPr>
        <w:rPr>
          <w:sz w:val="28"/>
          <w:szCs w:val="28"/>
        </w:rPr>
        <w:sectPr>
          <w:pgSz w:w="11907" w:h="16840"/>
          <w:pgMar w:top="1701" w:right="1531" w:bottom="2127" w:left="1531" w:header="851" w:footer="851" w:gutter="0"/>
          <w:cols w:space="720" w:num="1"/>
          <w:docGrid w:linePitch="312" w:charSpace="0"/>
        </w:sect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554"/>
      </w:tblGrid>
      <w:tr w14:paraId="755A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255" w:type="pct"/>
            <w:shd w:val="clear" w:color="auto" w:fill="auto"/>
            <w:vAlign w:val="center"/>
          </w:tcPr>
          <w:p w14:paraId="04B2AB18">
            <w:pPr>
              <w:adjustRightInd w:val="0"/>
              <w:snapToGrid w:val="0"/>
              <w:jc w:val="center"/>
              <w:rPr>
                <w:bCs/>
                <w:szCs w:val="21"/>
              </w:rPr>
            </w:pPr>
            <w:r>
              <w:rPr>
                <w:bCs/>
                <w:szCs w:val="21"/>
              </w:rPr>
              <w:t>运营</w:t>
            </w:r>
          </w:p>
          <w:p w14:paraId="3DC4A4A1">
            <w:pPr>
              <w:adjustRightInd w:val="0"/>
              <w:snapToGrid w:val="0"/>
              <w:jc w:val="center"/>
              <w:rPr>
                <w:bCs/>
                <w:szCs w:val="21"/>
              </w:rPr>
            </w:pPr>
            <w:r>
              <w:rPr>
                <w:bCs/>
                <w:szCs w:val="21"/>
              </w:rPr>
              <w:t>期环</w:t>
            </w:r>
          </w:p>
          <w:p w14:paraId="61D768E4">
            <w:pPr>
              <w:adjustRightInd w:val="0"/>
              <w:snapToGrid w:val="0"/>
              <w:jc w:val="center"/>
              <w:rPr>
                <w:bCs/>
                <w:szCs w:val="21"/>
              </w:rPr>
            </w:pPr>
            <w:r>
              <w:rPr>
                <w:bCs/>
                <w:szCs w:val="21"/>
              </w:rPr>
              <w:t>境影</w:t>
            </w:r>
          </w:p>
          <w:p w14:paraId="4A1C6AA2">
            <w:pPr>
              <w:adjustRightInd w:val="0"/>
              <w:snapToGrid w:val="0"/>
              <w:jc w:val="center"/>
              <w:rPr>
                <w:bCs/>
                <w:szCs w:val="21"/>
              </w:rPr>
            </w:pPr>
            <w:r>
              <w:rPr>
                <w:bCs/>
                <w:szCs w:val="21"/>
              </w:rPr>
              <w:t>响和</w:t>
            </w:r>
          </w:p>
          <w:p w14:paraId="531FB52A">
            <w:pPr>
              <w:adjustRightInd w:val="0"/>
              <w:snapToGrid w:val="0"/>
              <w:jc w:val="center"/>
              <w:rPr>
                <w:bCs/>
                <w:szCs w:val="21"/>
              </w:rPr>
            </w:pPr>
            <w:r>
              <w:rPr>
                <w:bCs/>
                <w:szCs w:val="21"/>
              </w:rPr>
              <w:t>保护</w:t>
            </w:r>
          </w:p>
          <w:p w14:paraId="60FB47C6">
            <w:pPr>
              <w:rPr>
                <w:szCs w:val="21"/>
              </w:rPr>
            </w:pPr>
            <w:r>
              <w:rPr>
                <w:bCs/>
                <w:szCs w:val="21"/>
              </w:rPr>
              <w:t>措施</w:t>
            </w:r>
          </w:p>
        </w:tc>
        <w:tc>
          <w:tcPr>
            <w:tcW w:w="4745" w:type="pct"/>
            <w:shd w:val="clear" w:color="auto" w:fill="auto"/>
          </w:tcPr>
          <w:p w14:paraId="29FCDBDA">
            <w:pPr>
              <w:jc w:val="center"/>
              <w:rPr>
                <w:bCs/>
                <w:spacing w:val="-10"/>
                <w:sz w:val="24"/>
              </w:rPr>
            </w:pPr>
            <w:r>
              <w:rPr>
                <w:sz w:val="24"/>
              </w:rPr>
              <w:t xml:space="preserve">表4-5  </w:t>
            </w:r>
            <w:r>
              <w:rPr>
                <w:rFonts w:hint="eastAsia"/>
                <w:sz w:val="24"/>
              </w:rPr>
              <w:t>迁建后</w:t>
            </w:r>
            <w:r>
              <w:rPr>
                <w:rFonts w:hint="eastAsia"/>
                <w:bCs/>
                <w:spacing w:val="-10"/>
                <w:sz w:val="24"/>
              </w:rPr>
              <w:t>全厂</w:t>
            </w:r>
            <w:r>
              <w:rPr>
                <w:bCs/>
                <w:spacing w:val="-10"/>
                <w:sz w:val="24"/>
              </w:rPr>
              <w:t>废气产排及治理设施</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6"/>
              <w:gridCol w:w="25"/>
              <w:gridCol w:w="540"/>
              <w:gridCol w:w="762"/>
              <w:gridCol w:w="745"/>
              <w:gridCol w:w="698"/>
              <w:gridCol w:w="710"/>
              <w:gridCol w:w="535"/>
              <w:gridCol w:w="592"/>
              <w:gridCol w:w="565"/>
              <w:gridCol w:w="752"/>
              <w:gridCol w:w="594"/>
              <w:gridCol w:w="824"/>
              <w:gridCol w:w="646"/>
              <w:gridCol w:w="604"/>
              <w:gridCol w:w="826"/>
              <w:gridCol w:w="646"/>
              <w:gridCol w:w="439"/>
              <w:gridCol w:w="589"/>
              <w:gridCol w:w="740"/>
            </w:tblGrid>
            <w:tr w14:paraId="58AF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 w:hRule="atLeast"/>
                <w:jc w:val="center"/>
              </w:trPr>
              <w:tc>
                <w:tcPr>
                  <w:tcW w:w="430" w:type="pct"/>
                  <w:gridSpan w:val="3"/>
                  <w:vMerge w:val="restart"/>
                  <w:shd w:val="clear" w:color="auto" w:fill="auto"/>
                  <w:vAlign w:val="center"/>
                </w:tcPr>
                <w:p w14:paraId="4CAC9388">
                  <w:pPr>
                    <w:pStyle w:val="69"/>
                    <w:spacing w:line="260" w:lineRule="exact"/>
                    <w:rPr>
                      <w:rFonts w:ascii="Times New Roman" w:hAnsi="Times New Roman"/>
                    </w:rPr>
                  </w:pPr>
                  <w:r>
                    <w:rPr>
                      <w:rFonts w:ascii="Times New Roman" w:hAnsi="Times New Roman"/>
                    </w:rPr>
                    <w:t>产污环节</w:t>
                  </w:r>
                </w:p>
              </w:tc>
              <w:tc>
                <w:tcPr>
                  <w:tcW w:w="309" w:type="pct"/>
                  <w:vMerge w:val="restart"/>
                  <w:shd w:val="clear" w:color="auto" w:fill="auto"/>
                  <w:vAlign w:val="center"/>
                </w:tcPr>
                <w:p w14:paraId="50F38A4F">
                  <w:pPr>
                    <w:pStyle w:val="69"/>
                    <w:spacing w:line="260" w:lineRule="exact"/>
                    <w:rPr>
                      <w:rFonts w:ascii="Times New Roman" w:hAnsi="Times New Roman"/>
                    </w:rPr>
                  </w:pPr>
                  <w:r>
                    <w:rPr>
                      <w:rFonts w:ascii="Times New Roman" w:hAnsi="Times New Roman"/>
                    </w:rPr>
                    <w:t>污染物种类</w:t>
                  </w:r>
                </w:p>
              </w:tc>
              <w:tc>
                <w:tcPr>
                  <w:tcW w:w="873" w:type="pct"/>
                  <w:gridSpan w:val="3"/>
                  <w:shd w:val="clear" w:color="auto" w:fill="auto"/>
                  <w:vAlign w:val="center"/>
                </w:tcPr>
                <w:p w14:paraId="2C816184">
                  <w:pPr>
                    <w:pStyle w:val="69"/>
                    <w:spacing w:line="260" w:lineRule="exact"/>
                    <w:rPr>
                      <w:rFonts w:ascii="Times New Roman" w:hAnsi="Times New Roman"/>
                    </w:rPr>
                  </w:pPr>
                  <w:r>
                    <w:rPr>
                      <w:rFonts w:ascii="Times New Roman" w:hAnsi="Times New Roman"/>
                    </w:rPr>
                    <w:t>污染物产生量</w:t>
                  </w:r>
                </w:p>
              </w:tc>
              <w:tc>
                <w:tcPr>
                  <w:tcW w:w="217" w:type="pct"/>
                  <w:vMerge w:val="restart"/>
                  <w:shd w:val="clear" w:color="auto" w:fill="auto"/>
                  <w:vAlign w:val="center"/>
                </w:tcPr>
                <w:p w14:paraId="786F5FCD">
                  <w:pPr>
                    <w:pStyle w:val="69"/>
                    <w:spacing w:line="260" w:lineRule="exact"/>
                    <w:rPr>
                      <w:rFonts w:ascii="Times New Roman" w:hAnsi="Times New Roman"/>
                    </w:rPr>
                  </w:pPr>
                  <w:r>
                    <w:rPr>
                      <w:rFonts w:ascii="Times New Roman" w:hAnsi="Times New Roman"/>
                    </w:rPr>
                    <w:t>排放形式</w:t>
                  </w:r>
                </w:p>
              </w:tc>
              <w:tc>
                <w:tcPr>
                  <w:tcW w:w="1349" w:type="pct"/>
                  <w:gridSpan w:val="5"/>
                  <w:shd w:val="clear" w:color="auto" w:fill="auto"/>
                  <w:vAlign w:val="center"/>
                </w:tcPr>
                <w:p w14:paraId="466C0EEB">
                  <w:pPr>
                    <w:pStyle w:val="69"/>
                    <w:spacing w:line="260" w:lineRule="exact"/>
                    <w:rPr>
                      <w:rFonts w:ascii="Times New Roman" w:hAnsi="Times New Roman"/>
                    </w:rPr>
                  </w:pPr>
                  <w:r>
                    <w:rPr>
                      <w:rFonts w:ascii="Times New Roman" w:hAnsi="Times New Roman"/>
                    </w:rPr>
                    <w:t>治理措施</w:t>
                  </w:r>
                </w:p>
              </w:tc>
              <w:tc>
                <w:tcPr>
                  <w:tcW w:w="842" w:type="pct"/>
                  <w:gridSpan w:val="3"/>
                  <w:shd w:val="clear" w:color="auto" w:fill="auto"/>
                  <w:vAlign w:val="center"/>
                </w:tcPr>
                <w:p w14:paraId="293FA7E7">
                  <w:pPr>
                    <w:pStyle w:val="69"/>
                    <w:spacing w:line="260" w:lineRule="exact"/>
                    <w:rPr>
                      <w:rFonts w:ascii="Times New Roman" w:hAnsi="Times New Roman"/>
                    </w:rPr>
                  </w:pPr>
                  <w:r>
                    <w:rPr>
                      <w:rFonts w:ascii="Times New Roman" w:hAnsi="Times New Roman"/>
                    </w:rPr>
                    <w:t>污染物排放</w:t>
                  </w:r>
                </w:p>
              </w:tc>
              <w:tc>
                <w:tcPr>
                  <w:tcW w:w="440" w:type="pct"/>
                  <w:gridSpan w:val="2"/>
                  <w:shd w:val="clear" w:color="auto" w:fill="auto"/>
                  <w:vAlign w:val="center"/>
                </w:tcPr>
                <w:p w14:paraId="35954644">
                  <w:pPr>
                    <w:pStyle w:val="69"/>
                    <w:spacing w:line="260" w:lineRule="exact"/>
                    <w:rPr>
                      <w:rFonts w:ascii="Times New Roman" w:hAnsi="Times New Roman"/>
                    </w:rPr>
                  </w:pPr>
                  <w:r>
                    <w:rPr>
                      <w:rFonts w:ascii="Times New Roman" w:hAnsi="Times New Roman"/>
                    </w:rPr>
                    <w:t>执行标准</w:t>
                  </w:r>
                </w:p>
              </w:tc>
              <w:tc>
                <w:tcPr>
                  <w:tcW w:w="239" w:type="pct"/>
                  <w:vMerge w:val="restart"/>
                  <w:shd w:val="clear" w:color="auto" w:fill="auto"/>
                  <w:vAlign w:val="center"/>
                </w:tcPr>
                <w:p w14:paraId="0308B417">
                  <w:pPr>
                    <w:pStyle w:val="69"/>
                    <w:spacing w:line="260" w:lineRule="exact"/>
                    <w:rPr>
                      <w:rFonts w:ascii="Times New Roman" w:hAnsi="Times New Roman"/>
                    </w:rPr>
                  </w:pPr>
                  <w:r>
                    <w:rPr>
                      <w:rFonts w:ascii="Times New Roman" w:hAnsi="Times New Roman"/>
                    </w:rPr>
                    <w:t>排放时间h</w:t>
                  </w:r>
                </w:p>
              </w:tc>
              <w:tc>
                <w:tcPr>
                  <w:tcW w:w="300" w:type="pct"/>
                  <w:vMerge w:val="restart"/>
                  <w:shd w:val="clear" w:color="auto" w:fill="auto"/>
                  <w:vAlign w:val="center"/>
                </w:tcPr>
                <w:p w14:paraId="0CC65E14">
                  <w:pPr>
                    <w:pStyle w:val="69"/>
                    <w:spacing w:line="260" w:lineRule="exact"/>
                    <w:rPr>
                      <w:rFonts w:ascii="Times New Roman" w:hAnsi="Times New Roman"/>
                    </w:rPr>
                  </w:pPr>
                  <w:r>
                    <w:rPr>
                      <w:rFonts w:ascii="Times New Roman" w:hAnsi="Times New Roman"/>
                    </w:rPr>
                    <w:t>排气筒</w:t>
                  </w:r>
                </w:p>
              </w:tc>
            </w:tr>
            <w:tr w14:paraId="2EF3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vMerge w:val="continue"/>
                  <w:shd w:val="clear" w:color="auto" w:fill="auto"/>
                  <w:vAlign w:val="center"/>
                </w:tcPr>
                <w:p w14:paraId="751D749D">
                  <w:pPr>
                    <w:pStyle w:val="69"/>
                    <w:spacing w:line="260" w:lineRule="exact"/>
                    <w:rPr>
                      <w:rFonts w:ascii="Times New Roman" w:hAnsi="Times New Roman"/>
                    </w:rPr>
                  </w:pPr>
                </w:p>
              </w:tc>
              <w:tc>
                <w:tcPr>
                  <w:tcW w:w="309" w:type="pct"/>
                  <w:vMerge w:val="continue"/>
                  <w:shd w:val="clear" w:color="auto" w:fill="auto"/>
                  <w:vAlign w:val="center"/>
                </w:tcPr>
                <w:p w14:paraId="4FE2F672">
                  <w:pPr>
                    <w:pStyle w:val="69"/>
                    <w:spacing w:line="260" w:lineRule="exact"/>
                    <w:rPr>
                      <w:rFonts w:ascii="Times New Roman" w:hAnsi="Times New Roman"/>
                    </w:rPr>
                  </w:pPr>
                </w:p>
              </w:tc>
              <w:tc>
                <w:tcPr>
                  <w:tcW w:w="302" w:type="pct"/>
                  <w:shd w:val="clear" w:color="auto" w:fill="auto"/>
                  <w:vAlign w:val="center"/>
                </w:tcPr>
                <w:p w14:paraId="60DD1C24">
                  <w:pPr>
                    <w:pStyle w:val="69"/>
                    <w:spacing w:line="260" w:lineRule="exact"/>
                    <w:rPr>
                      <w:rFonts w:ascii="Times New Roman" w:hAnsi="Times New Roman"/>
                    </w:rPr>
                  </w:pPr>
                  <w:r>
                    <w:rPr>
                      <w:rFonts w:ascii="Times New Roman" w:hAnsi="Times New Roman"/>
                    </w:rPr>
                    <w:t>产生</w:t>
                  </w:r>
                </w:p>
                <w:p w14:paraId="09D31E5E">
                  <w:pPr>
                    <w:pStyle w:val="69"/>
                    <w:spacing w:line="260" w:lineRule="exact"/>
                    <w:rPr>
                      <w:rFonts w:ascii="Times New Roman" w:hAnsi="Times New Roman"/>
                    </w:rPr>
                  </w:pPr>
                  <w:r>
                    <w:rPr>
                      <w:rFonts w:ascii="Times New Roman" w:hAnsi="Times New Roman"/>
                    </w:rPr>
                    <w:t>浓度</w:t>
                  </w:r>
                </w:p>
                <w:p w14:paraId="7FB11C7A">
                  <w:pPr>
                    <w:pStyle w:val="69"/>
                    <w:spacing w:line="260" w:lineRule="exact"/>
                    <w:rPr>
                      <w:rFonts w:ascii="Times New Roman" w:hAnsi="Times New Roman"/>
                    </w:rPr>
                  </w:pPr>
                  <w:r>
                    <w:rPr>
                      <w:rFonts w:ascii="Times New Roman" w:hAnsi="Times New Roman"/>
                    </w:rPr>
                    <w:t>mg/m</w:t>
                  </w:r>
                  <w:r>
                    <w:rPr>
                      <w:rFonts w:ascii="Times New Roman" w:hAnsi="Times New Roman"/>
                      <w:vertAlign w:val="superscript"/>
                    </w:rPr>
                    <w:t>3</w:t>
                  </w:r>
                </w:p>
              </w:tc>
              <w:tc>
                <w:tcPr>
                  <w:tcW w:w="283" w:type="pct"/>
                  <w:shd w:val="clear" w:color="auto" w:fill="auto"/>
                  <w:vAlign w:val="center"/>
                </w:tcPr>
                <w:p w14:paraId="7620A93C">
                  <w:pPr>
                    <w:pStyle w:val="69"/>
                    <w:spacing w:line="260" w:lineRule="exact"/>
                    <w:rPr>
                      <w:rFonts w:ascii="Times New Roman" w:hAnsi="Times New Roman"/>
                    </w:rPr>
                  </w:pPr>
                  <w:r>
                    <w:rPr>
                      <w:rFonts w:ascii="Times New Roman" w:hAnsi="Times New Roman"/>
                    </w:rPr>
                    <w:t>产生</w:t>
                  </w:r>
                </w:p>
                <w:p w14:paraId="5FF5D6BA">
                  <w:pPr>
                    <w:pStyle w:val="69"/>
                    <w:spacing w:line="260" w:lineRule="exact"/>
                    <w:rPr>
                      <w:rFonts w:ascii="Times New Roman" w:hAnsi="Times New Roman"/>
                    </w:rPr>
                  </w:pPr>
                  <w:r>
                    <w:rPr>
                      <w:rFonts w:ascii="Times New Roman" w:hAnsi="Times New Roman"/>
                    </w:rPr>
                    <w:t>速率</w:t>
                  </w:r>
                </w:p>
                <w:p w14:paraId="495ACD86">
                  <w:pPr>
                    <w:pStyle w:val="69"/>
                    <w:spacing w:line="260" w:lineRule="exact"/>
                    <w:rPr>
                      <w:rFonts w:ascii="Times New Roman" w:hAnsi="Times New Roman"/>
                    </w:rPr>
                  </w:pPr>
                  <w:r>
                    <w:rPr>
                      <w:rFonts w:ascii="Times New Roman" w:hAnsi="Times New Roman"/>
                    </w:rPr>
                    <w:t>kg/h</w:t>
                  </w:r>
                </w:p>
              </w:tc>
              <w:tc>
                <w:tcPr>
                  <w:tcW w:w="288" w:type="pct"/>
                  <w:shd w:val="clear" w:color="auto" w:fill="auto"/>
                  <w:vAlign w:val="center"/>
                </w:tcPr>
                <w:p w14:paraId="1470ED11">
                  <w:pPr>
                    <w:pStyle w:val="69"/>
                    <w:spacing w:line="260" w:lineRule="exact"/>
                    <w:rPr>
                      <w:rFonts w:ascii="Times New Roman" w:hAnsi="Times New Roman"/>
                    </w:rPr>
                  </w:pPr>
                  <w:r>
                    <w:rPr>
                      <w:rFonts w:ascii="Times New Roman" w:hAnsi="Times New Roman"/>
                    </w:rPr>
                    <w:t>产生量</w:t>
                  </w:r>
                </w:p>
                <w:p w14:paraId="769AD7ED">
                  <w:pPr>
                    <w:pStyle w:val="69"/>
                    <w:spacing w:line="260" w:lineRule="exact"/>
                    <w:rPr>
                      <w:rFonts w:ascii="Times New Roman" w:hAnsi="Times New Roman"/>
                    </w:rPr>
                  </w:pPr>
                  <w:r>
                    <w:rPr>
                      <w:rFonts w:ascii="Times New Roman" w:hAnsi="Times New Roman"/>
                    </w:rPr>
                    <w:t>t/a</w:t>
                  </w:r>
                </w:p>
              </w:tc>
              <w:tc>
                <w:tcPr>
                  <w:tcW w:w="217" w:type="pct"/>
                  <w:vMerge w:val="continue"/>
                  <w:shd w:val="clear" w:color="auto" w:fill="auto"/>
                  <w:vAlign w:val="center"/>
                </w:tcPr>
                <w:p w14:paraId="63CEC4D4">
                  <w:pPr>
                    <w:pStyle w:val="69"/>
                    <w:spacing w:line="260" w:lineRule="exact"/>
                    <w:rPr>
                      <w:rFonts w:ascii="Times New Roman" w:hAnsi="Times New Roman"/>
                    </w:rPr>
                  </w:pPr>
                </w:p>
              </w:tc>
              <w:tc>
                <w:tcPr>
                  <w:tcW w:w="240" w:type="pct"/>
                  <w:shd w:val="clear" w:color="auto" w:fill="auto"/>
                  <w:vAlign w:val="center"/>
                </w:tcPr>
                <w:p w14:paraId="67C20D7F">
                  <w:pPr>
                    <w:pStyle w:val="69"/>
                    <w:spacing w:line="260" w:lineRule="exact"/>
                    <w:rPr>
                      <w:rFonts w:ascii="Times New Roman" w:hAnsi="Times New Roman"/>
                    </w:rPr>
                  </w:pPr>
                  <w:r>
                    <w:rPr>
                      <w:rFonts w:ascii="Times New Roman" w:hAnsi="Times New Roman"/>
                    </w:rPr>
                    <w:t>处理能力m</w:t>
                  </w:r>
                  <w:r>
                    <w:rPr>
                      <w:rFonts w:ascii="Times New Roman" w:hAnsi="Times New Roman"/>
                      <w:vertAlign w:val="superscript"/>
                    </w:rPr>
                    <w:t>3</w:t>
                  </w:r>
                  <w:r>
                    <w:rPr>
                      <w:rFonts w:ascii="Times New Roman" w:hAnsi="Times New Roman"/>
                    </w:rPr>
                    <w:t>/h</w:t>
                  </w:r>
                </w:p>
              </w:tc>
              <w:tc>
                <w:tcPr>
                  <w:tcW w:w="229" w:type="pct"/>
                  <w:shd w:val="clear" w:color="auto" w:fill="auto"/>
                  <w:vAlign w:val="center"/>
                </w:tcPr>
                <w:p w14:paraId="7BC3FEA9">
                  <w:pPr>
                    <w:pStyle w:val="69"/>
                    <w:spacing w:line="260" w:lineRule="exact"/>
                    <w:rPr>
                      <w:rFonts w:ascii="Times New Roman" w:hAnsi="Times New Roman"/>
                    </w:rPr>
                  </w:pPr>
                  <w:r>
                    <w:rPr>
                      <w:rFonts w:ascii="Times New Roman" w:hAnsi="Times New Roman"/>
                    </w:rPr>
                    <w:t>收集效率</w:t>
                  </w:r>
                </w:p>
                <w:p w14:paraId="1C1DF4CD">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7FA6DB05">
                  <w:pPr>
                    <w:pStyle w:val="69"/>
                    <w:spacing w:line="260" w:lineRule="exact"/>
                    <w:rPr>
                      <w:rFonts w:ascii="Times New Roman" w:hAnsi="Times New Roman"/>
                    </w:rPr>
                  </w:pPr>
                  <w:r>
                    <w:rPr>
                      <w:rFonts w:ascii="Times New Roman" w:hAnsi="Times New Roman"/>
                    </w:rPr>
                    <w:t>工艺</w:t>
                  </w:r>
                </w:p>
              </w:tc>
              <w:tc>
                <w:tcPr>
                  <w:tcW w:w="241" w:type="pct"/>
                  <w:shd w:val="clear" w:color="auto" w:fill="auto"/>
                  <w:vAlign w:val="center"/>
                </w:tcPr>
                <w:p w14:paraId="14B19DB0">
                  <w:pPr>
                    <w:pStyle w:val="69"/>
                    <w:spacing w:line="260" w:lineRule="exact"/>
                    <w:rPr>
                      <w:rFonts w:ascii="Times New Roman" w:hAnsi="Times New Roman"/>
                    </w:rPr>
                  </w:pPr>
                  <w:r>
                    <w:rPr>
                      <w:rFonts w:ascii="Times New Roman" w:hAnsi="Times New Roman"/>
                    </w:rPr>
                    <w:t>处理效率%</w:t>
                  </w:r>
                </w:p>
              </w:tc>
              <w:tc>
                <w:tcPr>
                  <w:tcW w:w="334" w:type="pct"/>
                  <w:shd w:val="clear" w:color="auto" w:fill="auto"/>
                  <w:vAlign w:val="center"/>
                </w:tcPr>
                <w:p w14:paraId="34622F46">
                  <w:pPr>
                    <w:pStyle w:val="69"/>
                    <w:spacing w:line="260" w:lineRule="exact"/>
                    <w:rPr>
                      <w:rFonts w:ascii="Times New Roman" w:hAnsi="Times New Roman"/>
                    </w:rPr>
                  </w:pPr>
                  <w:r>
                    <w:rPr>
                      <w:rFonts w:ascii="Times New Roman" w:hAnsi="Times New Roman"/>
                    </w:rPr>
                    <w:t>是否为推荐可行技术</w:t>
                  </w:r>
                </w:p>
              </w:tc>
              <w:tc>
                <w:tcPr>
                  <w:tcW w:w="262" w:type="pct"/>
                  <w:shd w:val="clear" w:color="auto" w:fill="auto"/>
                  <w:vAlign w:val="center"/>
                </w:tcPr>
                <w:p w14:paraId="7C78CEB5">
                  <w:pPr>
                    <w:pStyle w:val="69"/>
                    <w:spacing w:line="260" w:lineRule="exact"/>
                    <w:rPr>
                      <w:rFonts w:ascii="Times New Roman" w:hAnsi="Times New Roman"/>
                    </w:rPr>
                  </w:pPr>
                  <w:r>
                    <w:rPr>
                      <w:rFonts w:ascii="Times New Roman" w:hAnsi="Times New Roman"/>
                    </w:rPr>
                    <w:t>排放浓度</w:t>
                  </w:r>
                </w:p>
                <w:p w14:paraId="1F4E1A55">
                  <w:pPr>
                    <w:pStyle w:val="69"/>
                    <w:spacing w:line="260" w:lineRule="exact"/>
                    <w:rPr>
                      <w:rFonts w:ascii="Times New Roman" w:hAnsi="Times New Roman"/>
                    </w:rPr>
                  </w:pPr>
                  <w:r>
                    <w:rPr>
                      <w:rFonts w:ascii="Times New Roman" w:hAnsi="Times New Roman"/>
                    </w:rPr>
                    <w:t>mg/m</w:t>
                  </w:r>
                  <w:r>
                    <w:rPr>
                      <w:rFonts w:ascii="Times New Roman" w:hAnsi="Times New Roman"/>
                      <w:vertAlign w:val="superscript"/>
                    </w:rPr>
                    <w:t>3</w:t>
                  </w:r>
                </w:p>
              </w:tc>
              <w:tc>
                <w:tcPr>
                  <w:tcW w:w="245" w:type="pct"/>
                  <w:shd w:val="clear" w:color="auto" w:fill="auto"/>
                  <w:vAlign w:val="center"/>
                </w:tcPr>
                <w:p w14:paraId="5BBE6E4C">
                  <w:pPr>
                    <w:pStyle w:val="69"/>
                    <w:spacing w:line="260" w:lineRule="exact"/>
                    <w:rPr>
                      <w:rFonts w:ascii="Times New Roman" w:hAnsi="Times New Roman"/>
                    </w:rPr>
                  </w:pPr>
                  <w:r>
                    <w:rPr>
                      <w:rFonts w:ascii="Times New Roman" w:hAnsi="Times New Roman"/>
                    </w:rPr>
                    <w:t>排放速率</w:t>
                  </w:r>
                </w:p>
                <w:p w14:paraId="1887A290">
                  <w:pPr>
                    <w:pStyle w:val="69"/>
                    <w:spacing w:line="260" w:lineRule="exact"/>
                    <w:rPr>
                      <w:rFonts w:ascii="Times New Roman" w:hAnsi="Times New Roman"/>
                    </w:rPr>
                  </w:pPr>
                  <w:r>
                    <w:rPr>
                      <w:rFonts w:ascii="Times New Roman" w:hAnsi="Times New Roman"/>
                    </w:rPr>
                    <w:t>kg/h</w:t>
                  </w:r>
                </w:p>
              </w:tc>
              <w:tc>
                <w:tcPr>
                  <w:tcW w:w="335" w:type="pct"/>
                  <w:shd w:val="clear" w:color="auto" w:fill="auto"/>
                  <w:vAlign w:val="center"/>
                </w:tcPr>
                <w:p w14:paraId="4348EBC7">
                  <w:pPr>
                    <w:pStyle w:val="69"/>
                    <w:spacing w:line="260" w:lineRule="exact"/>
                    <w:rPr>
                      <w:rFonts w:ascii="Times New Roman" w:hAnsi="Times New Roman"/>
                    </w:rPr>
                  </w:pPr>
                  <w:r>
                    <w:rPr>
                      <w:rFonts w:ascii="Times New Roman" w:hAnsi="Times New Roman"/>
                    </w:rPr>
                    <w:t>排放量</w:t>
                  </w:r>
                </w:p>
                <w:p w14:paraId="211F05E9">
                  <w:pPr>
                    <w:pStyle w:val="69"/>
                    <w:spacing w:line="260" w:lineRule="exact"/>
                    <w:rPr>
                      <w:rFonts w:ascii="Times New Roman" w:hAnsi="Times New Roman"/>
                    </w:rPr>
                  </w:pPr>
                  <w:r>
                    <w:rPr>
                      <w:rFonts w:ascii="Times New Roman" w:hAnsi="Times New Roman"/>
                    </w:rPr>
                    <w:t>t/a</w:t>
                  </w:r>
                </w:p>
              </w:tc>
              <w:tc>
                <w:tcPr>
                  <w:tcW w:w="262" w:type="pct"/>
                  <w:shd w:val="clear" w:color="auto" w:fill="auto"/>
                  <w:vAlign w:val="center"/>
                </w:tcPr>
                <w:p w14:paraId="6624A6A6">
                  <w:pPr>
                    <w:widowControl/>
                    <w:spacing w:line="260" w:lineRule="exact"/>
                    <w:jc w:val="center"/>
                    <w:rPr>
                      <w:kern w:val="0"/>
                      <w:szCs w:val="21"/>
                    </w:rPr>
                  </w:pPr>
                  <w:r>
                    <w:rPr>
                      <w:kern w:val="0"/>
                      <w:szCs w:val="21"/>
                    </w:rPr>
                    <w:t>浓度mg/m</w:t>
                  </w:r>
                  <w:r>
                    <w:rPr>
                      <w:kern w:val="0"/>
                      <w:szCs w:val="21"/>
                      <w:vertAlign w:val="superscript"/>
                    </w:rPr>
                    <w:t>3</w:t>
                  </w:r>
                </w:p>
              </w:tc>
              <w:tc>
                <w:tcPr>
                  <w:tcW w:w="178" w:type="pct"/>
                  <w:shd w:val="clear" w:color="auto" w:fill="auto"/>
                  <w:vAlign w:val="center"/>
                </w:tcPr>
                <w:p w14:paraId="67EC2FD4">
                  <w:pPr>
                    <w:widowControl/>
                    <w:spacing w:line="260" w:lineRule="exact"/>
                    <w:jc w:val="center"/>
                    <w:rPr>
                      <w:kern w:val="0"/>
                      <w:szCs w:val="21"/>
                    </w:rPr>
                  </w:pPr>
                  <w:r>
                    <w:rPr>
                      <w:kern w:val="0"/>
                      <w:szCs w:val="21"/>
                    </w:rPr>
                    <w:t>速率kg/h</w:t>
                  </w:r>
                </w:p>
              </w:tc>
              <w:tc>
                <w:tcPr>
                  <w:tcW w:w="239" w:type="pct"/>
                  <w:vMerge w:val="continue"/>
                  <w:shd w:val="clear" w:color="auto" w:fill="auto"/>
                  <w:vAlign w:val="center"/>
                </w:tcPr>
                <w:p w14:paraId="597928B3">
                  <w:pPr>
                    <w:pStyle w:val="69"/>
                    <w:spacing w:line="260" w:lineRule="exact"/>
                    <w:rPr>
                      <w:rFonts w:ascii="Times New Roman" w:hAnsi="Times New Roman"/>
                    </w:rPr>
                  </w:pPr>
                </w:p>
              </w:tc>
              <w:tc>
                <w:tcPr>
                  <w:tcW w:w="300" w:type="pct"/>
                  <w:vMerge w:val="continue"/>
                  <w:shd w:val="clear" w:color="auto" w:fill="auto"/>
                  <w:vAlign w:val="center"/>
                </w:tcPr>
                <w:p w14:paraId="76FF87AB">
                  <w:pPr>
                    <w:pStyle w:val="69"/>
                    <w:spacing w:line="260" w:lineRule="exact"/>
                    <w:rPr>
                      <w:rFonts w:ascii="Times New Roman" w:hAnsi="Times New Roman"/>
                    </w:rPr>
                  </w:pPr>
                </w:p>
              </w:tc>
            </w:tr>
            <w:tr w14:paraId="70F8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restart"/>
                  <w:shd w:val="clear" w:color="auto" w:fill="auto"/>
                  <w:vAlign w:val="center"/>
                </w:tcPr>
                <w:p w14:paraId="7476F61B">
                  <w:pPr>
                    <w:pStyle w:val="69"/>
                    <w:spacing w:line="260" w:lineRule="exact"/>
                    <w:rPr>
                      <w:rFonts w:ascii="Times New Roman" w:hAnsi="Times New Roman"/>
                    </w:rPr>
                  </w:pPr>
                  <w:r>
                    <w:rPr>
                      <w:rFonts w:hint="eastAsia" w:ascii="Times New Roman" w:hAnsi="Times New Roman"/>
                    </w:rPr>
                    <w:t>熔化工序</w:t>
                  </w:r>
                </w:p>
              </w:tc>
              <w:tc>
                <w:tcPr>
                  <w:tcW w:w="229" w:type="pct"/>
                  <w:gridSpan w:val="2"/>
                  <w:vMerge w:val="restart"/>
                  <w:shd w:val="clear" w:color="auto" w:fill="auto"/>
                  <w:vAlign w:val="center"/>
                </w:tcPr>
                <w:p w14:paraId="313B610B">
                  <w:pPr>
                    <w:pStyle w:val="69"/>
                    <w:spacing w:line="260" w:lineRule="exact"/>
                    <w:rPr>
                      <w:rFonts w:ascii="Times New Roman" w:hAnsi="Times New Roman"/>
                    </w:rPr>
                  </w:pPr>
                  <w:r>
                    <w:rPr>
                      <w:rFonts w:ascii="Times New Roman" w:hAnsi="Times New Roman"/>
                    </w:rPr>
                    <w:t>熔化炉废气</w:t>
                  </w:r>
                </w:p>
              </w:tc>
              <w:tc>
                <w:tcPr>
                  <w:tcW w:w="309" w:type="pct"/>
                  <w:shd w:val="clear" w:color="auto" w:fill="auto"/>
                  <w:vAlign w:val="center"/>
                </w:tcPr>
                <w:p w14:paraId="354064EF">
                  <w:pPr>
                    <w:pStyle w:val="69"/>
                    <w:spacing w:line="260" w:lineRule="exact"/>
                    <w:rPr>
                      <w:rFonts w:ascii="Times New Roman" w:hAnsi="Times New Roman"/>
                    </w:rPr>
                  </w:pPr>
                  <w:r>
                    <w:rPr>
                      <w:rFonts w:ascii="Times New Roman" w:hAnsi="Times New Roman"/>
                    </w:rPr>
                    <w:t>二氧化硫</w:t>
                  </w:r>
                </w:p>
              </w:tc>
              <w:tc>
                <w:tcPr>
                  <w:tcW w:w="302" w:type="pct"/>
                  <w:shd w:val="clear" w:color="auto" w:fill="auto"/>
                  <w:vAlign w:val="center"/>
                </w:tcPr>
                <w:p w14:paraId="59D89BA9">
                  <w:pPr>
                    <w:widowControl/>
                    <w:jc w:val="center"/>
                    <w:rPr>
                      <w:rFonts w:eastAsia="等线"/>
                      <w:kern w:val="0"/>
                      <w:szCs w:val="22"/>
                    </w:rPr>
                  </w:pPr>
                  <w:r>
                    <w:rPr>
                      <w:rFonts w:eastAsia="等线"/>
                      <w:szCs w:val="22"/>
                    </w:rPr>
                    <w:t xml:space="preserve">6.00 </w:t>
                  </w:r>
                </w:p>
              </w:tc>
              <w:tc>
                <w:tcPr>
                  <w:tcW w:w="283" w:type="pct"/>
                  <w:shd w:val="clear" w:color="auto" w:fill="auto"/>
                  <w:vAlign w:val="center"/>
                </w:tcPr>
                <w:p w14:paraId="3A01DE86">
                  <w:pPr>
                    <w:jc w:val="center"/>
                    <w:rPr>
                      <w:rFonts w:eastAsia="等线"/>
                      <w:szCs w:val="22"/>
                    </w:rPr>
                  </w:pPr>
                  <w:r>
                    <w:rPr>
                      <w:rFonts w:eastAsia="等线"/>
                      <w:szCs w:val="22"/>
                    </w:rPr>
                    <w:t xml:space="preserve">0.048 </w:t>
                  </w:r>
                </w:p>
              </w:tc>
              <w:tc>
                <w:tcPr>
                  <w:tcW w:w="288" w:type="pct"/>
                  <w:shd w:val="clear" w:color="auto" w:fill="auto"/>
                  <w:vAlign w:val="center"/>
                </w:tcPr>
                <w:p w14:paraId="692F509C">
                  <w:pPr>
                    <w:jc w:val="center"/>
                    <w:rPr>
                      <w:rFonts w:eastAsia="等线"/>
                      <w:szCs w:val="22"/>
                    </w:rPr>
                  </w:pPr>
                  <w:r>
                    <w:rPr>
                      <w:rFonts w:eastAsia="等线"/>
                      <w:szCs w:val="22"/>
                    </w:rPr>
                    <w:t xml:space="preserve">0.032 </w:t>
                  </w:r>
                </w:p>
              </w:tc>
              <w:tc>
                <w:tcPr>
                  <w:tcW w:w="217" w:type="pct"/>
                  <w:vMerge w:val="restart"/>
                  <w:shd w:val="clear" w:color="auto" w:fill="auto"/>
                  <w:vAlign w:val="center"/>
                </w:tcPr>
                <w:p w14:paraId="066CAC6C">
                  <w:pPr>
                    <w:pStyle w:val="69"/>
                    <w:spacing w:line="260" w:lineRule="exact"/>
                    <w:rPr>
                      <w:rFonts w:ascii="Times New Roman" w:hAnsi="Times New Roman"/>
                    </w:rPr>
                  </w:pPr>
                  <w:r>
                    <w:rPr>
                      <w:rFonts w:ascii="Times New Roman" w:hAnsi="Times New Roman"/>
                    </w:rPr>
                    <w:t>有组织</w:t>
                  </w:r>
                </w:p>
              </w:tc>
              <w:tc>
                <w:tcPr>
                  <w:tcW w:w="240" w:type="pct"/>
                  <w:vMerge w:val="restart"/>
                  <w:shd w:val="clear" w:color="auto" w:fill="auto"/>
                  <w:vAlign w:val="center"/>
                </w:tcPr>
                <w:p w14:paraId="47AFFDC0">
                  <w:pPr>
                    <w:pStyle w:val="69"/>
                    <w:spacing w:line="260" w:lineRule="exact"/>
                    <w:rPr>
                      <w:rFonts w:ascii="Times New Roman" w:hAnsi="Times New Roman"/>
                    </w:rPr>
                  </w:pPr>
                  <w:r>
                    <w:rPr>
                      <w:rFonts w:ascii="Times New Roman" w:hAnsi="Times New Roman"/>
                    </w:rPr>
                    <w:t>8000</w:t>
                  </w:r>
                </w:p>
              </w:tc>
              <w:tc>
                <w:tcPr>
                  <w:tcW w:w="229" w:type="pct"/>
                  <w:vMerge w:val="restart"/>
                  <w:shd w:val="clear" w:color="auto" w:fill="auto"/>
                  <w:vAlign w:val="center"/>
                </w:tcPr>
                <w:p w14:paraId="6F1355A3">
                  <w:pPr>
                    <w:pStyle w:val="69"/>
                    <w:spacing w:line="260" w:lineRule="exact"/>
                    <w:rPr>
                      <w:rFonts w:ascii="Times New Roman" w:hAnsi="Times New Roman"/>
                    </w:rPr>
                  </w:pPr>
                  <w:r>
                    <w:rPr>
                      <w:rFonts w:hint="eastAsia" w:ascii="Times New Roman" w:hAnsi="Times New Roman"/>
                    </w:rPr>
                    <w:t>8</w:t>
                  </w:r>
                  <w:r>
                    <w:rPr>
                      <w:rFonts w:ascii="Times New Roman" w:hAnsi="Times New Roman"/>
                    </w:rPr>
                    <w:t>0</w:t>
                  </w:r>
                </w:p>
              </w:tc>
              <w:tc>
                <w:tcPr>
                  <w:tcW w:w="305" w:type="pct"/>
                  <w:shd w:val="clear" w:color="auto" w:fill="auto"/>
                  <w:vAlign w:val="center"/>
                </w:tcPr>
                <w:p w14:paraId="6589AEE3">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3EBFE7D7">
                  <w:pPr>
                    <w:pStyle w:val="69"/>
                    <w:spacing w:line="260" w:lineRule="exact"/>
                    <w:rPr>
                      <w:rFonts w:ascii="Times New Roman" w:hAnsi="Times New Roman"/>
                    </w:rPr>
                  </w:pPr>
                  <w:r>
                    <w:rPr>
                      <w:rFonts w:ascii="Times New Roman" w:hAnsi="Times New Roman"/>
                    </w:rPr>
                    <w:t>0</w:t>
                  </w:r>
                </w:p>
              </w:tc>
              <w:tc>
                <w:tcPr>
                  <w:tcW w:w="334" w:type="pct"/>
                  <w:shd w:val="clear" w:color="auto" w:fill="auto"/>
                  <w:vAlign w:val="center"/>
                </w:tcPr>
                <w:p w14:paraId="29165C9C">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624459A9">
                  <w:pPr>
                    <w:widowControl/>
                    <w:jc w:val="center"/>
                    <w:rPr>
                      <w:rFonts w:eastAsia="等线"/>
                      <w:kern w:val="0"/>
                      <w:szCs w:val="22"/>
                    </w:rPr>
                  </w:pPr>
                  <w:r>
                    <w:rPr>
                      <w:rFonts w:eastAsia="等线"/>
                      <w:szCs w:val="22"/>
                    </w:rPr>
                    <w:t xml:space="preserve">6.00 </w:t>
                  </w:r>
                </w:p>
              </w:tc>
              <w:tc>
                <w:tcPr>
                  <w:tcW w:w="245" w:type="pct"/>
                  <w:shd w:val="clear" w:color="auto" w:fill="auto"/>
                  <w:vAlign w:val="center"/>
                </w:tcPr>
                <w:p w14:paraId="639987A5">
                  <w:pPr>
                    <w:jc w:val="center"/>
                    <w:rPr>
                      <w:rFonts w:eastAsia="等线"/>
                      <w:szCs w:val="22"/>
                    </w:rPr>
                  </w:pPr>
                  <w:r>
                    <w:rPr>
                      <w:rFonts w:eastAsia="等线"/>
                      <w:szCs w:val="22"/>
                    </w:rPr>
                    <w:t xml:space="preserve">0.048 </w:t>
                  </w:r>
                </w:p>
              </w:tc>
              <w:tc>
                <w:tcPr>
                  <w:tcW w:w="335" w:type="pct"/>
                  <w:shd w:val="clear" w:color="auto" w:fill="auto"/>
                  <w:vAlign w:val="center"/>
                </w:tcPr>
                <w:p w14:paraId="43190FA5">
                  <w:pPr>
                    <w:jc w:val="center"/>
                    <w:rPr>
                      <w:rFonts w:eastAsia="等线"/>
                      <w:szCs w:val="22"/>
                    </w:rPr>
                  </w:pPr>
                  <w:r>
                    <w:rPr>
                      <w:rFonts w:eastAsia="等线"/>
                      <w:szCs w:val="22"/>
                    </w:rPr>
                    <w:t xml:space="preserve">0.032 </w:t>
                  </w:r>
                </w:p>
              </w:tc>
              <w:tc>
                <w:tcPr>
                  <w:tcW w:w="262" w:type="pct"/>
                  <w:shd w:val="clear" w:color="auto" w:fill="auto"/>
                  <w:vAlign w:val="center"/>
                </w:tcPr>
                <w:p w14:paraId="6091F811">
                  <w:pPr>
                    <w:widowControl/>
                    <w:jc w:val="center"/>
                    <w:rPr>
                      <w:rFonts w:eastAsia="等线"/>
                      <w:szCs w:val="22"/>
                    </w:rPr>
                  </w:pPr>
                  <w:r>
                    <w:rPr>
                      <w:rFonts w:hint="eastAsia" w:eastAsia="等线"/>
                      <w:szCs w:val="22"/>
                    </w:rPr>
                    <w:t>1</w:t>
                  </w:r>
                  <w:r>
                    <w:rPr>
                      <w:rFonts w:eastAsia="等线"/>
                      <w:szCs w:val="22"/>
                    </w:rPr>
                    <w:t>00</w:t>
                  </w:r>
                </w:p>
              </w:tc>
              <w:tc>
                <w:tcPr>
                  <w:tcW w:w="178" w:type="pct"/>
                  <w:shd w:val="clear" w:color="auto" w:fill="auto"/>
                  <w:vAlign w:val="center"/>
                </w:tcPr>
                <w:p w14:paraId="2B337CAF">
                  <w:pPr>
                    <w:pStyle w:val="69"/>
                    <w:spacing w:line="260" w:lineRule="exact"/>
                    <w:rPr>
                      <w:rFonts w:ascii="Times New Roman" w:hAnsi="Times New Roman"/>
                    </w:rPr>
                  </w:pPr>
                  <w:r>
                    <w:rPr>
                      <w:rFonts w:ascii="Times New Roman" w:hAnsi="Times New Roman"/>
                    </w:rPr>
                    <w:t>/</w:t>
                  </w:r>
                </w:p>
              </w:tc>
              <w:tc>
                <w:tcPr>
                  <w:tcW w:w="239" w:type="pct"/>
                  <w:vMerge w:val="restart"/>
                  <w:shd w:val="clear" w:color="auto" w:fill="auto"/>
                  <w:vAlign w:val="center"/>
                </w:tcPr>
                <w:p w14:paraId="257D18E9">
                  <w:pPr>
                    <w:pStyle w:val="69"/>
                    <w:spacing w:line="260" w:lineRule="exact"/>
                    <w:rPr>
                      <w:rFonts w:ascii="Times New Roman" w:hAnsi="Times New Roman"/>
                    </w:rPr>
                  </w:pPr>
                  <w:r>
                    <w:rPr>
                      <w:rFonts w:ascii="Times New Roman" w:hAnsi="Times New Roman"/>
                    </w:rPr>
                    <w:t>667</w:t>
                  </w:r>
                </w:p>
              </w:tc>
              <w:tc>
                <w:tcPr>
                  <w:tcW w:w="300" w:type="pct"/>
                  <w:vMerge w:val="restart"/>
                  <w:shd w:val="clear" w:color="auto" w:fill="auto"/>
                  <w:vAlign w:val="center"/>
                </w:tcPr>
                <w:p w14:paraId="2762654C">
                  <w:pPr>
                    <w:pStyle w:val="69"/>
                    <w:spacing w:line="260" w:lineRule="exact"/>
                    <w:rPr>
                      <w:rFonts w:ascii="Times New Roman" w:hAnsi="Times New Roman"/>
                    </w:rPr>
                  </w:pPr>
                  <w:r>
                    <w:rPr>
                      <w:rFonts w:hint="eastAsia" w:ascii="Times New Roman" w:hAnsi="Times New Roman"/>
                    </w:rPr>
                    <w:t>新建1#</w:t>
                  </w:r>
                  <w:r>
                    <w:rPr>
                      <w:rFonts w:ascii="Times New Roman" w:hAnsi="Times New Roman"/>
                    </w:rPr>
                    <w:t>排气筒</w:t>
                  </w:r>
                </w:p>
              </w:tc>
            </w:tr>
            <w:tr w14:paraId="3FF5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continue"/>
                  <w:shd w:val="clear" w:color="auto" w:fill="auto"/>
                  <w:vAlign w:val="center"/>
                </w:tcPr>
                <w:p w14:paraId="0FBBD979">
                  <w:pPr>
                    <w:pStyle w:val="69"/>
                    <w:spacing w:line="260" w:lineRule="exact"/>
                    <w:rPr>
                      <w:rFonts w:ascii="Times New Roman" w:hAnsi="Times New Roman"/>
                    </w:rPr>
                  </w:pPr>
                </w:p>
              </w:tc>
              <w:tc>
                <w:tcPr>
                  <w:tcW w:w="229" w:type="pct"/>
                  <w:gridSpan w:val="2"/>
                  <w:vMerge w:val="continue"/>
                  <w:shd w:val="clear" w:color="auto" w:fill="auto"/>
                  <w:vAlign w:val="center"/>
                </w:tcPr>
                <w:p w14:paraId="7E3B3DB7">
                  <w:pPr>
                    <w:pStyle w:val="69"/>
                    <w:spacing w:line="260" w:lineRule="exact"/>
                    <w:rPr>
                      <w:rFonts w:ascii="Times New Roman" w:hAnsi="Times New Roman"/>
                    </w:rPr>
                  </w:pPr>
                </w:p>
              </w:tc>
              <w:tc>
                <w:tcPr>
                  <w:tcW w:w="309" w:type="pct"/>
                  <w:shd w:val="clear" w:color="auto" w:fill="auto"/>
                  <w:vAlign w:val="center"/>
                </w:tcPr>
                <w:p w14:paraId="7BE7B121">
                  <w:pPr>
                    <w:pStyle w:val="69"/>
                    <w:spacing w:line="260" w:lineRule="exact"/>
                    <w:rPr>
                      <w:rFonts w:ascii="Times New Roman" w:hAnsi="Times New Roman"/>
                    </w:rPr>
                  </w:pPr>
                  <w:r>
                    <w:rPr>
                      <w:rFonts w:ascii="Times New Roman" w:hAnsi="Times New Roman"/>
                    </w:rPr>
                    <w:t>氮氧化物</w:t>
                  </w:r>
                </w:p>
              </w:tc>
              <w:tc>
                <w:tcPr>
                  <w:tcW w:w="302" w:type="pct"/>
                  <w:shd w:val="clear" w:color="auto" w:fill="auto"/>
                  <w:vAlign w:val="center"/>
                </w:tcPr>
                <w:p w14:paraId="60925008">
                  <w:pPr>
                    <w:jc w:val="center"/>
                    <w:rPr>
                      <w:rFonts w:eastAsia="等线"/>
                      <w:szCs w:val="22"/>
                    </w:rPr>
                  </w:pPr>
                  <w:r>
                    <w:rPr>
                      <w:rFonts w:eastAsia="等线"/>
                      <w:szCs w:val="22"/>
                    </w:rPr>
                    <w:t xml:space="preserve">56.00 </w:t>
                  </w:r>
                </w:p>
              </w:tc>
              <w:tc>
                <w:tcPr>
                  <w:tcW w:w="283" w:type="pct"/>
                  <w:shd w:val="clear" w:color="auto" w:fill="auto"/>
                  <w:vAlign w:val="center"/>
                </w:tcPr>
                <w:p w14:paraId="74AE067B">
                  <w:pPr>
                    <w:jc w:val="center"/>
                    <w:rPr>
                      <w:rFonts w:eastAsia="等线"/>
                      <w:szCs w:val="22"/>
                    </w:rPr>
                  </w:pPr>
                  <w:r>
                    <w:rPr>
                      <w:rFonts w:eastAsia="等线"/>
                      <w:szCs w:val="22"/>
                    </w:rPr>
                    <w:t xml:space="preserve">0.448 </w:t>
                  </w:r>
                </w:p>
              </w:tc>
              <w:tc>
                <w:tcPr>
                  <w:tcW w:w="288" w:type="pct"/>
                  <w:shd w:val="clear" w:color="auto" w:fill="auto"/>
                  <w:vAlign w:val="center"/>
                </w:tcPr>
                <w:p w14:paraId="6B561DDF">
                  <w:pPr>
                    <w:jc w:val="center"/>
                    <w:rPr>
                      <w:rFonts w:eastAsia="等线"/>
                      <w:szCs w:val="22"/>
                    </w:rPr>
                  </w:pPr>
                  <w:r>
                    <w:rPr>
                      <w:rFonts w:eastAsia="等线"/>
                      <w:szCs w:val="22"/>
                    </w:rPr>
                    <w:t xml:space="preserve">0.299 </w:t>
                  </w:r>
                </w:p>
              </w:tc>
              <w:tc>
                <w:tcPr>
                  <w:tcW w:w="217" w:type="pct"/>
                  <w:vMerge w:val="continue"/>
                  <w:shd w:val="clear" w:color="auto" w:fill="auto"/>
                  <w:vAlign w:val="center"/>
                </w:tcPr>
                <w:p w14:paraId="5502A64B">
                  <w:pPr>
                    <w:pStyle w:val="69"/>
                    <w:spacing w:line="260" w:lineRule="exact"/>
                    <w:rPr>
                      <w:rFonts w:ascii="Times New Roman" w:hAnsi="Times New Roman"/>
                    </w:rPr>
                  </w:pPr>
                </w:p>
              </w:tc>
              <w:tc>
                <w:tcPr>
                  <w:tcW w:w="240" w:type="pct"/>
                  <w:vMerge w:val="continue"/>
                  <w:shd w:val="clear" w:color="auto" w:fill="auto"/>
                  <w:vAlign w:val="center"/>
                </w:tcPr>
                <w:p w14:paraId="015EA384">
                  <w:pPr>
                    <w:pStyle w:val="69"/>
                    <w:spacing w:line="260" w:lineRule="exact"/>
                    <w:rPr>
                      <w:rFonts w:ascii="Times New Roman" w:hAnsi="Times New Roman"/>
                    </w:rPr>
                  </w:pPr>
                </w:p>
              </w:tc>
              <w:tc>
                <w:tcPr>
                  <w:tcW w:w="229" w:type="pct"/>
                  <w:vMerge w:val="continue"/>
                  <w:shd w:val="clear" w:color="auto" w:fill="auto"/>
                  <w:vAlign w:val="center"/>
                </w:tcPr>
                <w:p w14:paraId="7993742B">
                  <w:pPr>
                    <w:pStyle w:val="69"/>
                    <w:spacing w:line="260" w:lineRule="exact"/>
                    <w:rPr>
                      <w:rFonts w:ascii="Times New Roman" w:hAnsi="Times New Roman"/>
                    </w:rPr>
                  </w:pPr>
                </w:p>
              </w:tc>
              <w:tc>
                <w:tcPr>
                  <w:tcW w:w="305" w:type="pct"/>
                  <w:shd w:val="clear" w:color="auto" w:fill="auto"/>
                  <w:vAlign w:val="center"/>
                </w:tcPr>
                <w:p w14:paraId="7C4E7831">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5598318D">
                  <w:pPr>
                    <w:pStyle w:val="69"/>
                    <w:spacing w:line="260" w:lineRule="exact"/>
                    <w:rPr>
                      <w:rFonts w:ascii="Times New Roman" w:hAnsi="Times New Roman"/>
                    </w:rPr>
                  </w:pPr>
                  <w:r>
                    <w:rPr>
                      <w:rFonts w:ascii="Times New Roman" w:hAnsi="Times New Roman"/>
                    </w:rPr>
                    <w:t>0</w:t>
                  </w:r>
                </w:p>
              </w:tc>
              <w:tc>
                <w:tcPr>
                  <w:tcW w:w="334" w:type="pct"/>
                  <w:shd w:val="clear" w:color="auto" w:fill="auto"/>
                  <w:vAlign w:val="center"/>
                </w:tcPr>
                <w:p w14:paraId="73F0EBD3">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770E5E5B">
                  <w:pPr>
                    <w:jc w:val="center"/>
                    <w:rPr>
                      <w:rFonts w:eastAsia="等线"/>
                      <w:szCs w:val="22"/>
                    </w:rPr>
                  </w:pPr>
                  <w:r>
                    <w:rPr>
                      <w:rFonts w:eastAsia="等线"/>
                      <w:szCs w:val="22"/>
                    </w:rPr>
                    <w:t xml:space="preserve">56.00 </w:t>
                  </w:r>
                </w:p>
              </w:tc>
              <w:tc>
                <w:tcPr>
                  <w:tcW w:w="245" w:type="pct"/>
                  <w:shd w:val="clear" w:color="auto" w:fill="auto"/>
                  <w:vAlign w:val="center"/>
                </w:tcPr>
                <w:p w14:paraId="5916DA95">
                  <w:pPr>
                    <w:jc w:val="center"/>
                    <w:rPr>
                      <w:rFonts w:eastAsia="等线"/>
                      <w:szCs w:val="22"/>
                    </w:rPr>
                  </w:pPr>
                  <w:r>
                    <w:rPr>
                      <w:rFonts w:eastAsia="等线"/>
                      <w:szCs w:val="22"/>
                    </w:rPr>
                    <w:t xml:space="preserve">0.448 </w:t>
                  </w:r>
                </w:p>
              </w:tc>
              <w:tc>
                <w:tcPr>
                  <w:tcW w:w="335" w:type="pct"/>
                  <w:shd w:val="clear" w:color="auto" w:fill="auto"/>
                  <w:vAlign w:val="center"/>
                </w:tcPr>
                <w:p w14:paraId="690F3A5A">
                  <w:pPr>
                    <w:jc w:val="center"/>
                    <w:rPr>
                      <w:rFonts w:eastAsia="等线"/>
                      <w:szCs w:val="22"/>
                    </w:rPr>
                  </w:pPr>
                  <w:r>
                    <w:rPr>
                      <w:rFonts w:eastAsia="等线"/>
                      <w:szCs w:val="22"/>
                    </w:rPr>
                    <w:t xml:space="preserve">0.299 </w:t>
                  </w:r>
                </w:p>
              </w:tc>
              <w:tc>
                <w:tcPr>
                  <w:tcW w:w="262" w:type="pct"/>
                  <w:shd w:val="clear" w:color="auto" w:fill="auto"/>
                  <w:vAlign w:val="center"/>
                </w:tcPr>
                <w:p w14:paraId="51B52765">
                  <w:pPr>
                    <w:widowControl/>
                    <w:jc w:val="center"/>
                    <w:rPr>
                      <w:rFonts w:eastAsia="等线"/>
                      <w:szCs w:val="22"/>
                    </w:rPr>
                  </w:pPr>
                  <w:r>
                    <w:rPr>
                      <w:rFonts w:hint="eastAsia" w:eastAsia="等线"/>
                      <w:szCs w:val="22"/>
                    </w:rPr>
                    <w:t>4</w:t>
                  </w:r>
                  <w:r>
                    <w:rPr>
                      <w:rFonts w:eastAsia="等线"/>
                      <w:szCs w:val="22"/>
                    </w:rPr>
                    <w:t>00</w:t>
                  </w:r>
                </w:p>
              </w:tc>
              <w:tc>
                <w:tcPr>
                  <w:tcW w:w="178" w:type="pct"/>
                  <w:shd w:val="clear" w:color="auto" w:fill="auto"/>
                  <w:vAlign w:val="center"/>
                </w:tcPr>
                <w:p w14:paraId="511779F7">
                  <w:pPr>
                    <w:pStyle w:val="69"/>
                    <w:spacing w:line="260" w:lineRule="exact"/>
                    <w:rPr>
                      <w:rFonts w:ascii="Times New Roman" w:hAnsi="Times New Roman"/>
                    </w:rPr>
                  </w:pPr>
                  <w:r>
                    <w:rPr>
                      <w:rFonts w:ascii="Times New Roman" w:hAnsi="Times New Roman"/>
                    </w:rPr>
                    <w:t>/</w:t>
                  </w:r>
                </w:p>
              </w:tc>
              <w:tc>
                <w:tcPr>
                  <w:tcW w:w="239" w:type="pct"/>
                  <w:vMerge w:val="continue"/>
                  <w:shd w:val="clear" w:color="auto" w:fill="auto"/>
                  <w:vAlign w:val="center"/>
                </w:tcPr>
                <w:p w14:paraId="47E7DF74">
                  <w:pPr>
                    <w:pStyle w:val="69"/>
                    <w:spacing w:line="260" w:lineRule="exact"/>
                    <w:rPr>
                      <w:rFonts w:ascii="Times New Roman" w:hAnsi="Times New Roman"/>
                    </w:rPr>
                  </w:pPr>
                </w:p>
              </w:tc>
              <w:tc>
                <w:tcPr>
                  <w:tcW w:w="300" w:type="pct"/>
                  <w:vMerge w:val="continue"/>
                  <w:shd w:val="clear" w:color="auto" w:fill="auto"/>
                  <w:vAlign w:val="center"/>
                </w:tcPr>
                <w:p w14:paraId="3C46C831">
                  <w:pPr>
                    <w:pStyle w:val="69"/>
                    <w:spacing w:line="260" w:lineRule="exact"/>
                    <w:rPr>
                      <w:rFonts w:ascii="Times New Roman" w:hAnsi="Times New Roman"/>
                    </w:rPr>
                  </w:pPr>
                </w:p>
              </w:tc>
            </w:tr>
            <w:tr w14:paraId="502D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continue"/>
                  <w:shd w:val="clear" w:color="auto" w:fill="auto"/>
                  <w:vAlign w:val="center"/>
                </w:tcPr>
                <w:p w14:paraId="415B8B67">
                  <w:pPr>
                    <w:pStyle w:val="69"/>
                    <w:spacing w:line="260" w:lineRule="exact"/>
                    <w:rPr>
                      <w:rFonts w:ascii="Times New Roman" w:hAnsi="Times New Roman"/>
                    </w:rPr>
                  </w:pPr>
                </w:p>
              </w:tc>
              <w:tc>
                <w:tcPr>
                  <w:tcW w:w="229" w:type="pct"/>
                  <w:gridSpan w:val="2"/>
                  <w:vMerge w:val="continue"/>
                  <w:shd w:val="clear" w:color="auto" w:fill="auto"/>
                  <w:vAlign w:val="center"/>
                </w:tcPr>
                <w:p w14:paraId="4518EBB7">
                  <w:pPr>
                    <w:pStyle w:val="69"/>
                    <w:spacing w:line="260" w:lineRule="exact"/>
                    <w:rPr>
                      <w:rFonts w:ascii="Times New Roman" w:hAnsi="Times New Roman"/>
                    </w:rPr>
                  </w:pPr>
                </w:p>
              </w:tc>
              <w:tc>
                <w:tcPr>
                  <w:tcW w:w="309" w:type="pct"/>
                  <w:shd w:val="clear" w:color="auto" w:fill="auto"/>
                  <w:vAlign w:val="center"/>
                </w:tcPr>
                <w:p w14:paraId="1701F0D7">
                  <w:pPr>
                    <w:pStyle w:val="69"/>
                    <w:spacing w:line="260" w:lineRule="exact"/>
                    <w:rPr>
                      <w:rFonts w:ascii="Times New Roman" w:hAnsi="Times New Roman"/>
                    </w:rPr>
                  </w:pPr>
                  <w:r>
                    <w:rPr>
                      <w:rFonts w:ascii="Times New Roman" w:hAnsi="Times New Roman"/>
                    </w:rPr>
                    <w:t>颗粒物</w:t>
                  </w:r>
                </w:p>
              </w:tc>
              <w:tc>
                <w:tcPr>
                  <w:tcW w:w="302" w:type="pct"/>
                  <w:shd w:val="clear" w:color="auto" w:fill="auto"/>
                  <w:vAlign w:val="center"/>
                </w:tcPr>
                <w:p w14:paraId="7133CC37">
                  <w:pPr>
                    <w:jc w:val="center"/>
                    <w:rPr>
                      <w:rFonts w:eastAsia="等线"/>
                      <w:szCs w:val="22"/>
                    </w:rPr>
                  </w:pPr>
                  <w:r>
                    <w:rPr>
                      <w:rFonts w:eastAsia="等线"/>
                      <w:szCs w:val="22"/>
                    </w:rPr>
                    <w:t xml:space="preserve">220.75 </w:t>
                  </w:r>
                </w:p>
              </w:tc>
              <w:tc>
                <w:tcPr>
                  <w:tcW w:w="283" w:type="pct"/>
                  <w:shd w:val="clear" w:color="auto" w:fill="auto"/>
                  <w:vAlign w:val="center"/>
                </w:tcPr>
                <w:p w14:paraId="7BD1CACF">
                  <w:pPr>
                    <w:jc w:val="center"/>
                    <w:rPr>
                      <w:rFonts w:eastAsia="等线"/>
                      <w:szCs w:val="22"/>
                    </w:rPr>
                  </w:pPr>
                  <w:r>
                    <w:rPr>
                      <w:rFonts w:eastAsia="等线"/>
                      <w:szCs w:val="22"/>
                    </w:rPr>
                    <w:t xml:space="preserve">1.766 </w:t>
                  </w:r>
                </w:p>
              </w:tc>
              <w:tc>
                <w:tcPr>
                  <w:tcW w:w="288" w:type="pct"/>
                  <w:shd w:val="clear" w:color="auto" w:fill="auto"/>
                  <w:vAlign w:val="center"/>
                </w:tcPr>
                <w:p w14:paraId="79CDA62A">
                  <w:pPr>
                    <w:jc w:val="center"/>
                    <w:rPr>
                      <w:rFonts w:eastAsia="等线"/>
                      <w:szCs w:val="22"/>
                    </w:rPr>
                  </w:pPr>
                  <w:r>
                    <w:rPr>
                      <w:rFonts w:eastAsia="等线"/>
                      <w:szCs w:val="22"/>
                    </w:rPr>
                    <w:t xml:space="preserve">1.178 </w:t>
                  </w:r>
                </w:p>
              </w:tc>
              <w:tc>
                <w:tcPr>
                  <w:tcW w:w="217" w:type="pct"/>
                  <w:vMerge w:val="continue"/>
                  <w:shd w:val="clear" w:color="auto" w:fill="auto"/>
                  <w:vAlign w:val="center"/>
                </w:tcPr>
                <w:p w14:paraId="71319C9C">
                  <w:pPr>
                    <w:pStyle w:val="69"/>
                    <w:spacing w:line="260" w:lineRule="exact"/>
                    <w:rPr>
                      <w:rFonts w:ascii="Times New Roman" w:hAnsi="Times New Roman"/>
                    </w:rPr>
                  </w:pPr>
                </w:p>
              </w:tc>
              <w:tc>
                <w:tcPr>
                  <w:tcW w:w="240" w:type="pct"/>
                  <w:vMerge w:val="continue"/>
                  <w:shd w:val="clear" w:color="auto" w:fill="auto"/>
                  <w:vAlign w:val="center"/>
                </w:tcPr>
                <w:p w14:paraId="367E92DF">
                  <w:pPr>
                    <w:pStyle w:val="69"/>
                    <w:spacing w:line="260" w:lineRule="exact"/>
                    <w:rPr>
                      <w:rFonts w:ascii="Times New Roman" w:hAnsi="Times New Roman"/>
                    </w:rPr>
                  </w:pPr>
                </w:p>
              </w:tc>
              <w:tc>
                <w:tcPr>
                  <w:tcW w:w="229" w:type="pct"/>
                  <w:vMerge w:val="continue"/>
                  <w:shd w:val="clear" w:color="auto" w:fill="auto"/>
                  <w:vAlign w:val="center"/>
                </w:tcPr>
                <w:p w14:paraId="4E377B77">
                  <w:pPr>
                    <w:pStyle w:val="69"/>
                    <w:spacing w:line="260" w:lineRule="exact"/>
                    <w:rPr>
                      <w:rFonts w:ascii="Times New Roman" w:hAnsi="Times New Roman"/>
                    </w:rPr>
                  </w:pPr>
                </w:p>
              </w:tc>
              <w:tc>
                <w:tcPr>
                  <w:tcW w:w="305" w:type="pct"/>
                  <w:shd w:val="clear" w:color="auto" w:fill="auto"/>
                  <w:vAlign w:val="center"/>
                </w:tcPr>
                <w:p w14:paraId="16163683">
                  <w:pPr>
                    <w:pStyle w:val="69"/>
                    <w:spacing w:line="260" w:lineRule="exact"/>
                    <w:rPr>
                      <w:rFonts w:ascii="Times New Roman" w:hAnsi="Times New Roman"/>
                    </w:rPr>
                  </w:pPr>
                  <w:r>
                    <w:rPr>
                      <w:rFonts w:ascii="Times New Roman" w:hAnsi="Times New Roman"/>
                    </w:rPr>
                    <w:t>袋式除尘</w:t>
                  </w:r>
                </w:p>
              </w:tc>
              <w:tc>
                <w:tcPr>
                  <w:tcW w:w="241" w:type="pct"/>
                  <w:shd w:val="clear" w:color="auto" w:fill="auto"/>
                  <w:vAlign w:val="center"/>
                </w:tcPr>
                <w:p w14:paraId="166001A4">
                  <w:pPr>
                    <w:pStyle w:val="69"/>
                    <w:spacing w:line="260" w:lineRule="exact"/>
                    <w:rPr>
                      <w:rFonts w:ascii="Times New Roman" w:hAnsi="Times New Roman"/>
                    </w:rPr>
                  </w:pPr>
                  <w:r>
                    <w:rPr>
                      <w:rFonts w:ascii="Times New Roman" w:hAnsi="Times New Roman"/>
                    </w:rPr>
                    <w:t>90</w:t>
                  </w:r>
                </w:p>
              </w:tc>
              <w:tc>
                <w:tcPr>
                  <w:tcW w:w="334" w:type="pct"/>
                  <w:shd w:val="clear" w:color="auto" w:fill="auto"/>
                  <w:vAlign w:val="center"/>
                </w:tcPr>
                <w:p w14:paraId="5DD8D8CA">
                  <w:pPr>
                    <w:pStyle w:val="69"/>
                    <w:spacing w:line="260" w:lineRule="exact"/>
                    <w:rPr>
                      <w:rFonts w:ascii="Times New Roman" w:hAnsi="Times New Roman"/>
                    </w:rPr>
                  </w:pPr>
                  <w:r>
                    <w:rPr>
                      <w:rFonts w:ascii="Times New Roman" w:hAnsi="Times New Roman"/>
                    </w:rPr>
                    <w:t>是</w:t>
                  </w:r>
                </w:p>
              </w:tc>
              <w:tc>
                <w:tcPr>
                  <w:tcW w:w="262" w:type="pct"/>
                  <w:shd w:val="clear" w:color="auto" w:fill="auto"/>
                  <w:vAlign w:val="center"/>
                </w:tcPr>
                <w:p w14:paraId="0EB9ECE3">
                  <w:pPr>
                    <w:jc w:val="center"/>
                    <w:rPr>
                      <w:rFonts w:eastAsia="等线"/>
                      <w:szCs w:val="22"/>
                    </w:rPr>
                  </w:pPr>
                  <w:r>
                    <w:rPr>
                      <w:rFonts w:eastAsia="等线"/>
                      <w:szCs w:val="22"/>
                    </w:rPr>
                    <w:t xml:space="preserve">22.13 </w:t>
                  </w:r>
                </w:p>
              </w:tc>
              <w:tc>
                <w:tcPr>
                  <w:tcW w:w="245" w:type="pct"/>
                  <w:shd w:val="clear" w:color="auto" w:fill="auto"/>
                  <w:vAlign w:val="center"/>
                </w:tcPr>
                <w:p w14:paraId="185E4BE2">
                  <w:pPr>
                    <w:jc w:val="center"/>
                    <w:rPr>
                      <w:rFonts w:eastAsia="等线"/>
                      <w:szCs w:val="22"/>
                    </w:rPr>
                  </w:pPr>
                  <w:r>
                    <w:rPr>
                      <w:rFonts w:eastAsia="等线"/>
                      <w:szCs w:val="22"/>
                    </w:rPr>
                    <w:t xml:space="preserve">0.177 </w:t>
                  </w:r>
                </w:p>
              </w:tc>
              <w:tc>
                <w:tcPr>
                  <w:tcW w:w="335" w:type="pct"/>
                  <w:shd w:val="clear" w:color="auto" w:fill="auto"/>
                  <w:vAlign w:val="center"/>
                </w:tcPr>
                <w:p w14:paraId="59A91DE2">
                  <w:pPr>
                    <w:jc w:val="center"/>
                    <w:rPr>
                      <w:rFonts w:eastAsia="等线"/>
                      <w:szCs w:val="22"/>
                    </w:rPr>
                  </w:pPr>
                  <w:r>
                    <w:rPr>
                      <w:rFonts w:eastAsia="等线"/>
                      <w:szCs w:val="22"/>
                    </w:rPr>
                    <w:t xml:space="preserve">0.118 </w:t>
                  </w:r>
                </w:p>
              </w:tc>
              <w:tc>
                <w:tcPr>
                  <w:tcW w:w="262" w:type="pct"/>
                  <w:shd w:val="clear" w:color="auto" w:fill="auto"/>
                  <w:vAlign w:val="center"/>
                </w:tcPr>
                <w:p w14:paraId="00329007">
                  <w:pPr>
                    <w:widowControl/>
                    <w:jc w:val="center"/>
                    <w:rPr>
                      <w:rFonts w:eastAsia="等线"/>
                      <w:szCs w:val="22"/>
                    </w:rPr>
                  </w:pPr>
                  <w:r>
                    <w:rPr>
                      <w:rFonts w:hint="eastAsia" w:eastAsia="等线"/>
                      <w:szCs w:val="22"/>
                    </w:rPr>
                    <w:t>3</w:t>
                  </w:r>
                  <w:r>
                    <w:rPr>
                      <w:rFonts w:eastAsia="等线"/>
                      <w:szCs w:val="22"/>
                    </w:rPr>
                    <w:t>0</w:t>
                  </w:r>
                </w:p>
              </w:tc>
              <w:tc>
                <w:tcPr>
                  <w:tcW w:w="178" w:type="pct"/>
                  <w:shd w:val="clear" w:color="auto" w:fill="auto"/>
                  <w:vAlign w:val="center"/>
                </w:tcPr>
                <w:p w14:paraId="7A24B213">
                  <w:pPr>
                    <w:pStyle w:val="69"/>
                    <w:spacing w:line="260" w:lineRule="exact"/>
                    <w:rPr>
                      <w:rFonts w:ascii="Times New Roman" w:hAnsi="Times New Roman"/>
                    </w:rPr>
                  </w:pPr>
                  <w:r>
                    <w:rPr>
                      <w:rFonts w:ascii="Times New Roman" w:hAnsi="Times New Roman"/>
                    </w:rPr>
                    <w:t>/</w:t>
                  </w:r>
                </w:p>
              </w:tc>
              <w:tc>
                <w:tcPr>
                  <w:tcW w:w="239" w:type="pct"/>
                  <w:vMerge w:val="continue"/>
                  <w:shd w:val="clear" w:color="auto" w:fill="auto"/>
                  <w:vAlign w:val="center"/>
                </w:tcPr>
                <w:p w14:paraId="0558C282">
                  <w:pPr>
                    <w:pStyle w:val="69"/>
                    <w:spacing w:line="260" w:lineRule="exact"/>
                    <w:rPr>
                      <w:rFonts w:ascii="Times New Roman" w:hAnsi="Times New Roman"/>
                    </w:rPr>
                  </w:pPr>
                </w:p>
              </w:tc>
              <w:tc>
                <w:tcPr>
                  <w:tcW w:w="300" w:type="pct"/>
                  <w:vMerge w:val="continue"/>
                  <w:shd w:val="clear" w:color="auto" w:fill="auto"/>
                  <w:vAlign w:val="center"/>
                </w:tcPr>
                <w:p w14:paraId="028DF98C">
                  <w:pPr>
                    <w:pStyle w:val="69"/>
                    <w:spacing w:line="260" w:lineRule="exact"/>
                    <w:rPr>
                      <w:rFonts w:ascii="Times New Roman" w:hAnsi="Times New Roman"/>
                    </w:rPr>
                  </w:pPr>
                </w:p>
              </w:tc>
            </w:tr>
            <w:tr w14:paraId="35BB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continue"/>
                  <w:shd w:val="clear" w:color="auto" w:fill="auto"/>
                  <w:vAlign w:val="center"/>
                </w:tcPr>
                <w:p w14:paraId="45CA8418">
                  <w:pPr>
                    <w:pStyle w:val="69"/>
                    <w:spacing w:line="260" w:lineRule="exact"/>
                    <w:rPr>
                      <w:rFonts w:ascii="Times New Roman" w:hAnsi="Times New Roman"/>
                    </w:rPr>
                  </w:pPr>
                </w:p>
              </w:tc>
              <w:tc>
                <w:tcPr>
                  <w:tcW w:w="229" w:type="pct"/>
                  <w:gridSpan w:val="2"/>
                  <w:vMerge w:val="continue"/>
                  <w:shd w:val="clear" w:color="auto" w:fill="auto"/>
                  <w:vAlign w:val="center"/>
                </w:tcPr>
                <w:p w14:paraId="200008D1">
                  <w:pPr>
                    <w:pStyle w:val="69"/>
                    <w:spacing w:line="260" w:lineRule="exact"/>
                    <w:rPr>
                      <w:rFonts w:ascii="Times New Roman" w:hAnsi="Times New Roman"/>
                    </w:rPr>
                  </w:pPr>
                </w:p>
              </w:tc>
              <w:tc>
                <w:tcPr>
                  <w:tcW w:w="309" w:type="pct"/>
                  <w:shd w:val="clear" w:color="auto" w:fill="auto"/>
                  <w:vAlign w:val="center"/>
                </w:tcPr>
                <w:p w14:paraId="0590CADD">
                  <w:pPr>
                    <w:pStyle w:val="69"/>
                    <w:spacing w:line="260" w:lineRule="exact"/>
                    <w:rPr>
                      <w:rFonts w:ascii="Times New Roman" w:hAnsi="Times New Roman"/>
                    </w:rPr>
                  </w:pPr>
                  <w:r>
                    <w:rPr>
                      <w:rFonts w:ascii="Times New Roman" w:hAnsi="Times New Roman"/>
                    </w:rPr>
                    <w:t>氯化氢</w:t>
                  </w:r>
                </w:p>
              </w:tc>
              <w:tc>
                <w:tcPr>
                  <w:tcW w:w="302" w:type="pct"/>
                  <w:shd w:val="clear" w:color="auto" w:fill="auto"/>
                  <w:vAlign w:val="center"/>
                </w:tcPr>
                <w:p w14:paraId="1E7F8E6B">
                  <w:pPr>
                    <w:jc w:val="center"/>
                    <w:rPr>
                      <w:rFonts w:eastAsia="等线"/>
                      <w:szCs w:val="22"/>
                    </w:rPr>
                  </w:pPr>
                  <w:r>
                    <w:rPr>
                      <w:rFonts w:eastAsia="等线"/>
                      <w:szCs w:val="22"/>
                    </w:rPr>
                    <w:t xml:space="preserve">16.50 </w:t>
                  </w:r>
                </w:p>
              </w:tc>
              <w:tc>
                <w:tcPr>
                  <w:tcW w:w="283" w:type="pct"/>
                  <w:shd w:val="clear" w:color="auto" w:fill="auto"/>
                  <w:vAlign w:val="center"/>
                </w:tcPr>
                <w:p w14:paraId="01C95BEA">
                  <w:pPr>
                    <w:jc w:val="center"/>
                    <w:rPr>
                      <w:rFonts w:eastAsia="等线"/>
                      <w:szCs w:val="22"/>
                    </w:rPr>
                  </w:pPr>
                  <w:r>
                    <w:rPr>
                      <w:rFonts w:eastAsia="等线"/>
                      <w:szCs w:val="22"/>
                    </w:rPr>
                    <w:t xml:space="preserve">0.132 </w:t>
                  </w:r>
                </w:p>
              </w:tc>
              <w:tc>
                <w:tcPr>
                  <w:tcW w:w="288" w:type="pct"/>
                  <w:shd w:val="clear" w:color="auto" w:fill="auto"/>
                  <w:vAlign w:val="center"/>
                </w:tcPr>
                <w:p w14:paraId="0A958A70">
                  <w:pPr>
                    <w:jc w:val="center"/>
                    <w:rPr>
                      <w:rFonts w:eastAsia="等线"/>
                      <w:szCs w:val="22"/>
                    </w:rPr>
                  </w:pPr>
                  <w:r>
                    <w:rPr>
                      <w:rFonts w:eastAsia="等线"/>
                      <w:szCs w:val="22"/>
                    </w:rPr>
                    <w:t xml:space="preserve">0.088 </w:t>
                  </w:r>
                </w:p>
              </w:tc>
              <w:tc>
                <w:tcPr>
                  <w:tcW w:w="217" w:type="pct"/>
                  <w:vMerge w:val="continue"/>
                  <w:shd w:val="clear" w:color="auto" w:fill="auto"/>
                  <w:vAlign w:val="center"/>
                </w:tcPr>
                <w:p w14:paraId="096C91A5">
                  <w:pPr>
                    <w:pStyle w:val="69"/>
                    <w:spacing w:line="260" w:lineRule="exact"/>
                    <w:rPr>
                      <w:rFonts w:ascii="Times New Roman" w:hAnsi="Times New Roman"/>
                    </w:rPr>
                  </w:pPr>
                </w:p>
              </w:tc>
              <w:tc>
                <w:tcPr>
                  <w:tcW w:w="240" w:type="pct"/>
                  <w:vMerge w:val="continue"/>
                  <w:shd w:val="clear" w:color="auto" w:fill="auto"/>
                  <w:vAlign w:val="center"/>
                </w:tcPr>
                <w:p w14:paraId="4231F24F">
                  <w:pPr>
                    <w:pStyle w:val="69"/>
                    <w:spacing w:line="260" w:lineRule="exact"/>
                    <w:rPr>
                      <w:rFonts w:ascii="Times New Roman" w:hAnsi="Times New Roman"/>
                    </w:rPr>
                  </w:pPr>
                </w:p>
              </w:tc>
              <w:tc>
                <w:tcPr>
                  <w:tcW w:w="229" w:type="pct"/>
                  <w:vMerge w:val="continue"/>
                  <w:shd w:val="clear" w:color="auto" w:fill="auto"/>
                  <w:vAlign w:val="center"/>
                </w:tcPr>
                <w:p w14:paraId="61C5F648">
                  <w:pPr>
                    <w:pStyle w:val="69"/>
                    <w:spacing w:line="260" w:lineRule="exact"/>
                    <w:rPr>
                      <w:rFonts w:ascii="Times New Roman" w:hAnsi="Times New Roman"/>
                    </w:rPr>
                  </w:pPr>
                </w:p>
              </w:tc>
              <w:tc>
                <w:tcPr>
                  <w:tcW w:w="305" w:type="pct"/>
                  <w:shd w:val="clear" w:color="auto" w:fill="auto"/>
                  <w:vAlign w:val="center"/>
                </w:tcPr>
                <w:p w14:paraId="39DCF896">
                  <w:pPr>
                    <w:pStyle w:val="69"/>
                    <w:spacing w:line="260" w:lineRule="exact"/>
                    <w:rPr>
                      <w:rFonts w:ascii="Times New Roman" w:hAnsi="Times New Roman"/>
                    </w:rPr>
                  </w:pPr>
                  <w:r>
                    <w:rPr>
                      <w:rFonts w:hint="eastAsia" w:ascii="Times New Roman" w:hAnsi="Times New Roman"/>
                    </w:rPr>
                    <w:t>/</w:t>
                  </w:r>
                </w:p>
              </w:tc>
              <w:tc>
                <w:tcPr>
                  <w:tcW w:w="241" w:type="pct"/>
                  <w:shd w:val="clear" w:color="auto" w:fill="auto"/>
                  <w:vAlign w:val="center"/>
                </w:tcPr>
                <w:p w14:paraId="7DE440B9">
                  <w:pPr>
                    <w:pStyle w:val="69"/>
                    <w:spacing w:line="260" w:lineRule="exact"/>
                    <w:rPr>
                      <w:rFonts w:ascii="Times New Roman" w:hAnsi="Times New Roman"/>
                    </w:rPr>
                  </w:pPr>
                  <w:r>
                    <w:rPr>
                      <w:rFonts w:hint="eastAsia" w:ascii="Times New Roman" w:hAnsi="Times New Roman"/>
                    </w:rPr>
                    <w:t>0</w:t>
                  </w:r>
                </w:p>
              </w:tc>
              <w:tc>
                <w:tcPr>
                  <w:tcW w:w="334" w:type="pct"/>
                  <w:shd w:val="clear" w:color="auto" w:fill="auto"/>
                  <w:vAlign w:val="center"/>
                </w:tcPr>
                <w:p w14:paraId="3F199968">
                  <w:pPr>
                    <w:pStyle w:val="69"/>
                    <w:spacing w:line="260" w:lineRule="exact"/>
                    <w:rPr>
                      <w:rFonts w:ascii="Times New Roman" w:hAnsi="Times New Roman"/>
                    </w:rPr>
                  </w:pPr>
                  <w:r>
                    <w:rPr>
                      <w:rFonts w:hint="eastAsia" w:ascii="Times New Roman" w:hAnsi="Times New Roman"/>
                    </w:rPr>
                    <w:t>/</w:t>
                  </w:r>
                </w:p>
              </w:tc>
              <w:tc>
                <w:tcPr>
                  <w:tcW w:w="262" w:type="pct"/>
                  <w:shd w:val="clear" w:color="auto" w:fill="auto"/>
                  <w:vAlign w:val="center"/>
                </w:tcPr>
                <w:p w14:paraId="2CAFCC41">
                  <w:pPr>
                    <w:jc w:val="center"/>
                    <w:rPr>
                      <w:rFonts w:eastAsia="等线"/>
                      <w:szCs w:val="22"/>
                    </w:rPr>
                  </w:pPr>
                  <w:r>
                    <w:rPr>
                      <w:rFonts w:eastAsia="等线"/>
                      <w:szCs w:val="22"/>
                    </w:rPr>
                    <w:t xml:space="preserve">16.50 </w:t>
                  </w:r>
                </w:p>
              </w:tc>
              <w:tc>
                <w:tcPr>
                  <w:tcW w:w="245" w:type="pct"/>
                  <w:shd w:val="clear" w:color="auto" w:fill="auto"/>
                  <w:vAlign w:val="center"/>
                </w:tcPr>
                <w:p w14:paraId="136F270E">
                  <w:pPr>
                    <w:jc w:val="center"/>
                    <w:rPr>
                      <w:rFonts w:eastAsia="等线"/>
                      <w:szCs w:val="22"/>
                    </w:rPr>
                  </w:pPr>
                  <w:r>
                    <w:rPr>
                      <w:rFonts w:eastAsia="等线"/>
                      <w:szCs w:val="22"/>
                    </w:rPr>
                    <w:t xml:space="preserve">0.132 </w:t>
                  </w:r>
                </w:p>
              </w:tc>
              <w:tc>
                <w:tcPr>
                  <w:tcW w:w="335" w:type="pct"/>
                  <w:shd w:val="clear" w:color="auto" w:fill="auto"/>
                  <w:vAlign w:val="center"/>
                </w:tcPr>
                <w:p w14:paraId="4D988677">
                  <w:pPr>
                    <w:jc w:val="center"/>
                    <w:rPr>
                      <w:rFonts w:eastAsia="等线"/>
                      <w:szCs w:val="22"/>
                    </w:rPr>
                  </w:pPr>
                  <w:r>
                    <w:rPr>
                      <w:rFonts w:eastAsia="等线"/>
                      <w:szCs w:val="22"/>
                    </w:rPr>
                    <w:t xml:space="preserve">0.088 </w:t>
                  </w:r>
                </w:p>
              </w:tc>
              <w:tc>
                <w:tcPr>
                  <w:tcW w:w="262" w:type="pct"/>
                  <w:shd w:val="clear" w:color="auto" w:fill="auto"/>
                  <w:vAlign w:val="center"/>
                </w:tcPr>
                <w:p w14:paraId="558FE39D">
                  <w:pPr>
                    <w:jc w:val="center"/>
                    <w:rPr>
                      <w:kern w:val="0"/>
                    </w:rPr>
                  </w:pPr>
                  <w:r>
                    <w:rPr>
                      <w:kern w:val="0"/>
                    </w:rPr>
                    <w:t>100</w:t>
                  </w:r>
                </w:p>
              </w:tc>
              <w:tc>
                <w:tcPr>
                  <w:tcW w:w="178" w:type="pct"/>
                  <w:shd w:val="clear" w:color="auto" w:fill="auto"/>
                  <w:vAlign w:val="center"/>
                </w:tcPr>
                <w:p w14:paraId="4E4C2B12">
                  <w:pPr>
                    <w:jc w:val="center"/>
                    <w:rPr>
                      <w:kern w:val="0"/>
                    </w:rPr>
                  </w:pPr>
                  <w:r>
                    <w:rPr>
                      <w:kern w:val="0"/>
                    </w:rPr>
                    <w:t>0.43</w:t>
                  </w:r>
                </w:p>
              </w:tc>
              <w:tc>
                <w:tcPr>
                  <w:tcW w:w="239" w:type="pct"/>
                  <w:vMerge w:val="continue"/>
                  <w:shd w:val="clear" w:color="auto" w:fill="auto"/>
                  <w:vAlign w:val="center"/>
                </w:tcPr>
                <w:p w14:paraId="6E7B6699">
                  <w:pPr>
                    <w:pStyle w:val="69"/>
                    <w:spacing w:line="260" w:lineRule="exact"/>
                    <w:rPr>
                      <w:rFonts w:ascii="Times New Roman" w:hAnsi="Times New Roman"/>
                    </w:rPr>
                  </w:pPr>
                </w:p>
              </w:tc>
              <w:tc>
                <w:tcPr>
                  <w:tcW w:w="300" w:type="pct"/>
                  <w:vMerge w:val="continue"/>
                  <w:shd w:val="clear" w:color="auto" w:fill="auto"/>
                  <w:vAlign w:val="center"/>
                </w:tcPr>
                <w:p w14:paraId="70AD3A8A">
                  <w:pPr>
                    <w:pStyle w:val="69"/>
                    <w:spacing w:line="260" w:lineRule="exact"/>
                    <w:rPr>
                      <w:rFonts w:ascii="Times New Roman" w:hAnsi="Times New Roman"/>
                    </w:rPr>
                  </w:pPr>
                </w:p>
              </w:tc>
            </w:tr>
            <w:tr w14:paraId="3DCE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restart"/>
                  <w:shd w:val="clear" w:color="auto" w:fill="auto"/>
                  <w:vAlign w:val="center"/>
                </w:tcPr>
                <w:p w14:paraId="6B962DE2">
                  <w:pPr>
                    <w:pStyle w:val="69"/>
                    <w:spacing w:line="260" w:lineRule="exact"/>
                    <w:rPr>
                      <w:rFonts w:ascii="Times New Roman" w:hAnsi="Times New Roman"/>
                    </w:rPr>
                  </w:pPr>
                  <w:r>
                    <w:rPr>
                      <w:rFonts w:hint="eastAsia" w:ascii="Times New Roman" w:hAnsi="Times New Roman"/>
                    </w:rPr>
                    <w:t>熔化工序、压铸工序</w:t>
                  </w:r>
                </w:p>
              </w:tc>
              <w:tc>
                <w:tcPr>
                  <w:tcW w:w="229" w:type="pct"/>
                  <w:gridSpan w:val="2"/>
                  <w:vMerge w:val="restart"/>
                  <w:shd w:val="clear" w:color="auto" w:fill="auto"/>
                  <w:vAlign w:val="center"/>
                </w:tcPr>
                <w:p w14:paraId="41DE95E4">
                  <w:pPr>
                    <w:pStyle w:val="69"/>
                    <w:spacing w:line="260" w:lineRule="exact"/>
                    <w:rPr>
                      <w:rFonts w:ascii="Times New Roman" w:hAnsi="Times New Roman"/>
                    </w:rPr>
                  </w:pPr>
                  <w:r>
                    <w:rPr>
                      <w:rFonts w:ascii="Times New Roman" w:hAnsi="Times New Roman"/>
                    </w:rPr>
                    <w:t>保温炉废气</w:t>
                  </w:r>
                </w:p>
              </w:tc>
              <w:tc>
                <w:tcPr>
                  <w:tcW w:w="309" w:type="pct"/>
                  <w:shd w:val="clear" w:color="auto" w:fill="auto"/>
                  <w:vAlign w:val="center"/>
                </w:tcPr>
                <w:p w14:paraId="0A9D4297">
                  <w:pPr>
                    <w:pStyle w:val="69"/>
                    <w:spacing w:line="260" w:lineRule="exact"/>
                    <w:rPr>
                      <w:rFonts w:ascii="Times New Roman" w:hAnsi="Times New Roman"/>
                    </w:rPr>
                  </w:pPr>
                  <w:r>
                    <w:rPr>
                      <w:rFonts w:ascii="Times New Roman" w:hAnsi="Times New Roman"/>
                    </w:rPr>
                    <w:t>二氧化硫</w:t>
                  </w:r>
                </w:p>
              </w:tc>
              <w:tc>
                <w:tcPr>
                  <w:tcW w:w="302" w:type="pct"/>
                  <w:shd w:val="clear" w:color="auto" w:fill="auto"/>
                  <w:vAlign w:val="center"/>
                </w:tcPr>
                <w:p w14:paraId="16B66037">
                  <w:pPr>
                    <w:jc w:val="center"/>
                    <w:rPr>
                      <w:rFonts w:eastAsia="等线"/>
                      <w:szCs w:val="22"/>
                    </w:rPr>
                  </w:pPr>
                  <w:r>
                    <w:rPr>
                      <w:rFonts w:hint="eastAsia" w:eastAsia="等线"/>
                      <w:szCs w:val="22"/>
                    </w:rPr>
                    <w:t xml:space="preserve">18.56 </w:t>
                  </w:r>
                </w:p>
              </w:tc>
              <w:tc>
                <w:tcPr>
                  <w:tcW w:w="283" w:type="pct"/>
                  <w:shd w:val="clear" w:color="auto" w:fill="auto"/>
                  <w:vAlign w:val="center"/>
                </w:tcPr>
                <w:p w14:paraId="6694AABB">
                  <w:pPr>
                    <w:jc w:val="center"/>
                    <w:rPr>
                      <w:rFonts w:eastAsia="等线"/>
                      <w:szCs w:val="22"/>
                    </w:rPr>
                  </w:pPr>
                  <w:r>
                    <w:rPr>
                      <w:rFonts w:hint="eastAsia" w:eastAsia="等线"/>
                      <w:szCs w:val="22"/>
                    </w:rPr>
                    <w:t xml:space="preserve">0.078 </w:t>
                  </w:r>
                </w:p>
              </w:tc>
              <w:tc>
                <w:tcPr>
                  <w:tcW w:w="288" w:type="pct"/>
                  <w:shd w:val="clear" w:color="auto" w:fill="auto"/>
                  <w:vAlign w:val="center"/>
                </w:tcPr>
                <w:p w14:paraId="5313162B">
                  <w:pPr>
                    <w:jc w:val="center"/>
                    <w:rPr>
                      <w:rFonts w:eastAsia="等线"/>
                      <w:szCs w:val="22"/>
                    </w:rPr>
                  </w:pPr>
                  <w:r>
                    <w:rPr>
                      <w:rFonts w:hint="eastAsia" w:eastAsia="等线"/>
                      <w:szCs w:val="22"/>
                    </w:rPr>
                    <w:t xml:space="preserve">0.574 </w:t>
                  </w:r>
                </w:p>
              </w:tc>
              <w:tc>
                <w:tcPr>
                  <w:tcW w:w="217" w:type="pct"/>
                  <w:vMerge w:val="restart"/>
                  <w:shd w:val="clear" w:color="auto" w:fill="auto"/>
                  <w:vAlign w:val="center"/>
                </w:tcPr>
                <w:p w14:paraId="30DDB868">
                  <w:pPr>
                    <w:pStyle w:val="69"/>
                    <w:spacing w:line="260" w:lineRule="exact"/>
                    <w:rPr>
                      <w:rFonts w:ascii="Times New Roman" w:hAnsi="Times New Roman"/>
                    </w:rPr>
                  </w:pPr>
                  <w:r>
                    <w:rPr>
                      <w:rFonts w:ascii="Times New Roman" w:hAnsi="Times New Roman"/>
                    </w:rPr>
                    <w:t>有组织</w:t>
                  </w:r>
                </w:p>
              </w:tc>
              <w:tc>
                <w:tcPr>
                  <w:tcW w:w="240" w:type="pct"/>
                  <w:vMerge w:val="restart"/>
                  <w:shd w:val="clear" w:color="auto" w:fill="auto"/>
                  <w:vAlign w:val="center"/>
                </w:tcPr>
                <w:p w14:paraId="645FA50F">
                  <w:pPr>
                    <w:pStyle w:val="69"/>
                    <w:spacing w:line="260" w:lineRule="exact"/>
                    <w:rPr>
                      <w:rFonts w:ascii="Times New Roman" w:hAnsi="Times New Roman"/>
                    </w:rPr>
                  </w:pPr>
                  <w:r>
                    <w:rPr>
                      <w:rFonts w:ascii="Times New Roman" w:hAnsi="Times New Roman"/>
                    </w:rPr>
                    <w:t xml:space="preserve">4202  </w:t>
                  </w:r>
                </w:p>
              </w:tc>
              <w:tc>
                <w:tcPr>
                  <w:tcW w:w="229" w:type="pct"/>
                  <w:vMerge w:val="restart"/>
                  <w:shd w:val="clear" w:color="auto" w:fill="auto"/>
                  <w:vAlign w:val="center"/>
                </w:tcPr>
                <w:p w14:paraId="6C3000D8">
                  <w:pPr>
                    <w:pStyle w:val="69"/>
                    <w:spacing w:line="260" w:lineRule="exact"/>
                    <w:rPr>
                      <w:rFonts w:ascii="Times New Roman" w:hAnsi="Times New Roman"/>
                    </w:rPr>
                  </w:pPr>
                  <w:r>
                    <w:rPr>
                      <w:rFonts w:ascii="Times New Roman" w:hAnsi="Times New Roman"/>
                    </w:rPr>
                    <w:t>100</w:t>
                  </w:r>
                </w:p>
              </w:tc>
              <w:tc>
                <w:tcPr>
                  <w:tcW w:w="305" w:type="pct"/>
                  <w:shd w:val="clear" w:color="auto" w:fill="auto"/>
                  <w:vAlign w:val="center"/>
                </w:tcPr>
                <w:p w14:paraId="1EDFBF59">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4772A979">
                  <w:pPr>
                    <w:pStyle w:val="69"/>
                    <w:spacing w:line="260" w:lineRule="exact"/>
                    <w:rPr>
                      <w:rFonts w:ascii="Times New Roman" w:hAnsi="Times New Roman"/>
                    </w:rPr>
                  </w:pPr>
                  <w:r>
                    <w:rPr>
                      <w:rFonts w:ascii="Times New Roman" w:hAnsi="Times New Roman"/>
                    </w:rPr>
                    <w:t>0</w:t>
                  </w:r>
                </w:p>
              </w:tc>
              <w:tc>
                <w:tcPr>
                  <w:tcW w:w="334" w:type="pct"/>
                  <w:shd w:val="clear" w:color="auto" w:fill="auto"/>
                  <w:vAlign w:val="center"/>
                </w:tcPr>
                <w:p w14:paraId="52AC48CB">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13FF0302">
                  <w:pPr>
                    <w:jc w:val="center"/>
                    <w:rPr>
                      <w:rFonts w:eastAsia="等线"/>
                      <w:szCs w:val="22"/>
                    </w:rPr>
                  </w:pPr>
                  <w:r>
                    <w:rPr>
                      <w:rFonts w:hint="eastAsia" w:eastAsia="等线"/>
                      <w:szCs w:val="22"/>
                    </w:rPr>
                    <w:t xml:space="preserve">18.56 </w:t>
                  </w:r>
                </w:p>
              </w:tc>
              <w:tc>
                <w:tcPr>
                  <w:tcW w:w="245" w:type="pct"/>
                  <w:shd w:val="clear" w:color="auto" w:fill="auto"/>
                  <w:vAlign w:val="center"/>
                </w:tcPr>
                <w:p w14:paraId="2614D825">
                  <w:pPr>
                    <w:jc w:val="center"/>
                    <w:rPr>
                      <w:rFonts w:eastAsia="等线"/>
                      <w:szCs w:val="22"/>
                    </w:rPr>
                  </w:pPr>
                  <w:r>
                    <w:rPr>
                      <w:rFonts w:hint="eastAsia" w:eastAsia="等线"/>
                      <w:szCs w:val="22"/>
                    </w:rPr>
                    <w:t xml:space="preserve">0.078 </w:t>
                  </w:r>
                </w:p>
              </w:tc>
              <w:tc>
                <w:tcPr>
                  <w:tcW w:w="335" w:type="pct"/>
                  <w:shd w:val="clear" w:color="auto" w:fill="auto"/>
                  <w:vAlign w:val="center"/>
                </w:tcPr>
                <w:p w14:paraId="1F6CFDAD">
                  <w:pPr>
                    <w:jc w:val="center"/>
                    <w:rPr>
                      <w:rFonts w:eastAsia="等线"/>
                      <w:szCs w:val="22"/>
                    </w:rPr>
                  </w:pPr>
                  <w:r>
                    <w:rPr>
                      <w:rFonts w:hint="eastAsia" w:eastAsia="等线"/>
                      <w:szCs w:val="22"/>
                    </w:rPr>
                    <w:t xml:space="preserve">0.574 </w:t>
                  </w:r>
                </w:p>
              </w:tc>
              <w:tc>
                <w:tcPr>
                  <w:tcW w:w="262" w:type="pct"/>
                  <w:shd w:val="clear" w:color="auto" w:fill="auto"/>
                  <w:vAlign w:val="center"/>
                </w:tcPr>
                <w:p w14:paraId="095B16AD">
                  <w:pPr>
                    <w:widowControl/>
                    <w:jc w:val="center"/>
                    <w:rPr>
                      <w:rFonts w:eastAsia="等线"/>
                      <w:kern w:val="0"/>
                      <w:szCs w:val="21"/>
                    </w:rPr>
                  </w:pPr>
                  <w:r>
                    <w:rPr>
                      <w:rFonts w:eastAsia="等线"/>
                      <w:szCs w:val="21"/>
                    </w:rPr>
                    <w:t>400</w:t>
                  </w:r>
                </w:p>
              </w:tc>
              <w:tc>
                <w:tcPr>
                  <w:tcW w:w="178" w:type="pct"/>
                  <w:shd w:val="clear" w:color="auto" w:fill="auto"/>
                  <w:vAlign w:val="center"/>
                </w:tcPr>
                <w:p w14:paraId="4E548E13">
                  <w:pPr>
                    <w:pStyle w:val="69"/>
                    <w:spacing w:line="260" w:lineRule="exact"/>
                    <w:rPr>
                      <w:rFonts w:ascii="Times New Roman" w:hAnsi="Times New Roman"/>
                    </w:rPr>
                  </w:pPr>
                  <w:r>
                    <w:rPr>
                      <w:rFonts w:ascii="Times New Roman" w:hAnsi="Times New Roman"/>
                    </w:rPr>
                    <w:t>/</w:t>
                  </w:r>
                </w:p>
              </w:tc>
              <w:tc>
                <w:tcPr>
                  <w:tcW w:w="239" w:type="pct"/>
                  <w:vMerge w:val="restart"/>
                  <w:shd w:val="clear" w:color="auto" w:fill="auto"/>
                  <w:vAlign w:val="center"/>
                </w:tcPr>
                <w:p w14:paraId="45644F13">
                  <w:pPr>
                    <w:pStyle w:val="69"/>
                    <w:spacing w:line="260" w:lineRule="exact"/>
                    <w:rPr>
                      <w:rFonts w:ascii="Times New Roman" w:hAnsi="Times New Roman"/>
                    </w:rPr>
                  </w:pPr>
                  <w:r>
                    <w:rPr>
                      <w:rFonts w:ascii="Times New Roman" w:hAnsi="Times New Roman"/>
                    </w:rPr>
                    <w:t>7920</w:t>
                  </w:r>
                </w:p>
              </w:tc>
              <w:tc>
                <w:tcPr>
                  <w:tcW w:w="300" w:type="pct"/>
                  <w:vMerge w:val="restart"/>
                  <w:shd w:val="clear" w:color="auto" w:fill="auto"/>
                  <w:vAlign w:val="center"/>
                </w:tcPr>
                <w:p w14:paraId="623FECD1">
                  <w:pPr>
                    <w:pStyle w:val="69"/>
                    <w:spacing w:line="260" w:lineRule="exact"/>
                    <w:rPr>
                      <w:rFonts w:ascii="Times New Roman" w:hAnsi="Times New Roman"/>
                    </w:rPr>
                  </w:pPr>
                  <w:r>
                    <w:rPr>
                      <w:rFonts w:hint="eastAsia" w:ascii="Times New Roman" w:hAnsi="Times New Roman"/>
                    </w:rPr>
                    <w:t>新建</w:t>
                  </w:r>
                  <w:r>
                    <w:rPr>
                      <w:rFonts w:ascii="Times New Roman" w:hAnsi="Times New Roman"/>
                    </w:rPr>
                    <w:t>2</w:t>
                  </w:r>
                  <w:r>
                    <w:rPr>
                      <w:rFonts w:hint="eastAsia" w:ascii="Times New Roman" w:hAnsi="Times New Roman"/>
                    </w:rPr>
                    <w:t>#</w:t>
                  </w:r>
                  <w:r>
                    <w:rPr>
                      <w:rFonts w:ascii="Times New Roman" w:hAnsi="Times New Roman"/>
                    </w:rPr>
                    <w:t>排气筒</w:t>
                  </w:r>
                </w:p>
              </w:tc>
            </w:tr>
            <w:tr w14:paraId="5E57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continue"/>
                  <w:shd w:val="clear" w:color="auto" w:fill="auto"/>
                  <w:vAlign w:val="center"/>
                </w:tcPr>
                <w:p w14:paraId="4ED5EF70">
                  <w:pPr>
                    <w:pStyle w:val="69"/>
                    <w:spacing w:line="260" w:lineRule="exact"/>
                    <w:rPr>
                      <w:rFonts w:ascii="Times New Roman" w:hAnsi="Times New Roman"/>
                    </w:rPr>
                  </w:pPr>
                </w:p>
              </w:tc>
              <w:tc>
                <w:tcPr>
                  <w:tcW w:w="229" w:type="pct"/>
                  <w:gridSpan w:val="2"/>
                  <w:vMerge w:val="continue"/>
                  <w:shd w:val="clear" w:color="auto" w:fill="auto"/>
                  <w:vAlign w:val="center"/>
                </w:tcPr>
                <w:p w14:paraId="4730DA20">
                  <w:pPr>
                    <w:pStyle w:val="69"/>
                    <w:spacing w:line="260" w:lineRule="exact"/>
                    <w:rPr>
                      <w:rFonts w:ascii="Times New Roman" w:hAnsi="Times New Roman"/>
                    </w:rPr>
                  </w:pPr>
                </w:p>
              </w:tc>
              <w:tc>
                <w:tcPr>
                  <w:tcW w:w="309" w:type="pct"/>
                  <w:shd w:val="clear" w:color="auto" w:fill="auto"/>
                  <w:vAlign w:val="center"/>
                </w:tcPr>
                <w:p w14:paraId="18AE4A7D">
                  <w:pPr>
                    <w:pStyle w:val="69"/>
                    <w:spacing w:line="260" w:lineRule="exact"/>
                    <w:rPr>
                      <w:rFonts w:ascii="Times New Roman" w:hAnsi="Times New Roman"/>
                    </w:rPr>
                  </w:pPr>
                  <w:r>
                    <w:rPr>
                      <w:rFonts w:ascii="Times New Roman" w:hAnsi="Times New Roman"/>
                    </w:rPr>
                    <w:t>氮氧化物</w:t>
                  </w:r>
                </w:p>
              </w:tc>
              <w:tc>
                <w:tcPr>
                  <w:tcW w:w="302" w:type="pct"/>
                  <w:shd w:val="clear" w:color="auto" w:fill="auto"/>
                  <w:vAlign w:val="center"/>
                </w:tcPr>
                <w:p w14:paraId="70CF2355">
                  <w:pPr>
                    <w:jc w:val="center"/>
                    <w:rPr>
                      <w:rFonts w:eastAsia="等线"/>
                      <w:szCs w:val="22"/>
                    </w:rPr>
                  </w:pPr>
                  <w:r>
                    <w:rPr>
                      <w:rFonts w:hint="eastAsia" w:eastAsia="等线"/>
                      <w:szCs w:val="22"/>
                    </w:rPr>
                    <w:t xml:space="preserve">173.49 </w:t>
                  </w:r>
                </w:p>
              </w:tc>
              <w:tc>
                <w:tcPr>
                  <w:tcW w:w="283" w:type="pct"/>
                  <w:shd w:val="clear" w:color="auto" w:fill="auto"/>
                  <w:vAlign w:val="center"/>
                </w:tcPr>
                <w:p w14:paraId="23CA1CCB">
                  <w:pPr>
                    <w:jc w:val="center"/>
                    <w:rPr>
                      <w:rFonts w:eastAsia="等线"/>
                      <w:szCs w:val="22"/>
                    </w:rPr>
                  </w:pPr>
                  <w:r>
                    <w:rPr>
                      <w:rFonts w:hint="eastAsia" w:eastAsia="等线"/>
                      <w:szCs w:val="22"/>
                    </w:rPr>
                    <w:t xml:space="preserve">0.729 </w:t>
                  </w:r>
                </w:p>
              </w:tc>
              <w:tc>
                <w:tcPr>
                  <w:tcW w:w="288" w:type="pct"/>
                  <w:shd w:val="clear" w:color="auto" w:fill="auto"/>
                  <w:vAlign w:val="center"/>
                </w:tcPr>
                <w:p w14:paraId="48A9FB38">
                  <w:pPr>
                    <w:jc w:val="center"/>
                    <w:rPr>
                      <w:rFonts w:eastAsia="等线"/>
                      <w:szCs w:val="22"/>
                    </w:rPr>
                  </w:pPr>
                  <w:r>
                    <w:rPr>
                      <w:rFonts w:hint="eastAsia" w:eastAsia="等线"/>
                      <w:szCs w:val="22"/>
                    </w:rPr>
                    <w:t xml:space="preserve">5.375 </w:t>
                  </w:r>
                </w:p>
              </w:tc>
              <w:tc>
                <w:tcPr>
                  <w:tcW w:w="217" w:type="pct"/>
                  <w:vMerge w:val="continue"/>
                  <w:shd w:val="clear" w:color="auto" w:fill="auto"/>
                  <w:vAlign w:val="center"/>
                </w:tcPr>
                <w:p w14:paraId="2B8789FC">
                  <w:pPr>
                    <w:pStyle w:val="69"/>
                    <w:spacing w:line="260" w:lineRule="exact"/>
                    <w:rPr>
                      <w:rFonts w:ascii="Times New Roman" w:hAnsi="Times New Roman"/>
                    </w:rPr>
                  </w:pPr>
                </w:p>
              </w:tc>
              <w:tc>
                <w:tcPr>
                  <w:tcW w:w="240" w:type="pct"/>
                  <w:vMerge w:val="continue"/>
                  <w:shd w:val="clear" w:color="auto" w:fill="auto"/>
                  <w:vAlign w:val="center"/>
                </w:tcPr>
                <w:p w14:paraId="30188117">
                  <w:pPr>
                    <w:pStyle w:val="69"/>
                    <w:spacing w:line="260" w:lineRule="exact"/>
                    <w:rPr>
                      <w:rFonts w:ascii="Times New Roman" w:hAnsi="Times New Roman"/>
                    </w:rPr>
                  </w:pPr>
                </w:p>
              </w:tc>
              <w:tc>
                <w:tcPr>
                  <w:tcW w:w="229" w:type="pct"/>
                  <w:vMerge w:val="continue"/>
                  <w:shd w:val="clear" w:color="auto" w:fill="auto"/>
                  <w:vAlign w:val="center"/>
                </w:tcPr>
                <w:p w14:paraId="4B2C8B84">
                  <w:pPr>
                    <w:pStyle w:val="69"/>
                    <w:spacing w:line="260" w:lineRule="exact"/>
                    <w:rPr>
                      <w:rFonts w:ascii="Times New Roman" w:hAnsi="Times New Roman"/>
                    </w:rPr>
                  </w:pPr>
                </w:p>
              </w:tc>
              <w:tc>
                <w:tcPr>
                  <w:tcW w:w="305" w:type="pct"/>
                  <w:shd w:val="clear" w:color="auto" w:fill="auto"/>
                  <w:vAlign w:val="center"/>
                </w:tcPr>
                <w:p w14:paraId="560CD5E4">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67962F06">
                  <w:pPr>
                    <w:pStyle w:val="69"/>
                    <w:spacing w:line="260" w:lineRule="exact"/>
                    <w:rPr>
                      <w:rFonts w:ascii="Times New Roman" w:hAnsi="Times New Roman"/>
                    </w:rPr>
                  </w:pPr>
                  <w:r>
                    <w:rPr>
                      <w:rFonts w:ascii="Times New Roman" w:hAnsi="Times New Roman"/>
                    </w:rPr>
                    <w:t>0</w:t>
                  </w:r>
                </w:p>
              </w:tc>
              <w:tc>
                <w:tcPr>
                  <w:tcW w:w="334" w:type="pct"/>
                  <w:shd w:val="clear" w:color="auto" w:fill="auto"/>
                  <w:vAlign w:val="center"/>
                </w:tcPr>
                <w:p w14:paraId="3A8E18F5">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47FCBA2C">
                  <w:pPr>
                    <w:jc w:val="center"/>
                    <w:rPr>
                      <w:rFonts w:eastAsia="等线"/>
                      <w:szCs w:val="22"/>
                    </w:rPr>
                  </w:pPr>
                  <w:r>
                    <w:rPr>
                      <w:rFonts w:hint="eastAsia" w:eastAsia="等线"/>
                      <w:szCs w:val="22"/>
                    </w:rPr>
                    <w:t xml:space="preserve">173.49 </w:t>
                  </w:r>
                </w:p>
              </w:tc>
              <w:tc>
                <w:tcPr>
                  <w:tcW w:w="245" w:type="pct"/>
                  <w:shd w:val="clear" w:color="auto" w:fill="auto"/>
                  <w:vAlign w:val="center"/>
                </w:tcPr>
                <w:p w14:paraId="580E5AF4">
                  <w:pPr>
                    <w:jc w:val="center"/>
                    <w:rPr>
                      <w:rFonts w:eastAsia="等线"/>
                      <w:szCs w:val="22"/>
                    </w:rPr>
                  </w:pPr>
                  <w:r>
                    <w:rPr>
                      <w:rFonts w:hint="eastAsia" w:eastAsia="等线"/>
                      <w:szCs w:val="22"/>
                    </w:rPr>
                    <w:t xml:space="preserve">0.729 </w:t>
                  </w:r>
                </w:p>
              </w:tc>
              <w:tc>
                <w:tcPr>
                  <w:tcW w:w="335" w:type="pct"/>
                  <w:shd w:val="clear" w:color="auto" w:fill="auto"/>
                  <w:vAlign w:val="center"/>
                </w:tcPr>
                <w:p w14:paraId="6389728E">
                  <w:pPr>
                    <w:jc w:val="center"/>
                    <w:rPr>
                      <w:rFonts w:eastAsia="等线"/>
                      <w:szCs w:val="22"/>
                    </w:rPr>
                  </w:pPr>
                  <w:r>
                    <w:rPr>
                      <w:rFonts w:hint="eastAsia" w:eastAsia="等线"/>
                      <w:szCs w:val="22"/>
                    </w:rPr>
                    <w:t xml:space="preserve">5.375 </w:t>
                  </w:r>
                </w:p>
              </w:tc>
              <w:tc>
                <w:tcPr>
                  <w:tcW w:w="262" w:type="pct"/>
                  <w:shd w:val="clear" w:color="auto" w:fill="auto"/>
                  <w:vAlign w:val="center"/>
                </w:tcPr>
                <w:p w14:paraId="14E4B135">
                  <w:pPr>
                    <w:jc w:val="center"/>
                    <w:rPr>
                      <w:rFonts w:eastAsia="等线"/>
                      <w:szCs w:val="21"/>
                    </w:rPr>
                  </w:pPr>
                  <w:r>
                    <w:rPr>
                      <w:rFonts w:eastAsia="等线"/>
                      <w:szCs w:val="21"/>
                    </w:rPr>
                    <w:t>700</w:t>
                  </w:r>
                </w:p>
              </w:tc>
              <w:tc>
                <w:tcPr>
                  <w:tcW w:w="178" w:type="pct"/>
                  <w:shd w:val="clear" w:color="auto" w:fill="auto"/>
                  <w:vAlign w:val="center"/>
                </w:tcPr>
                <w:p w14:paraId="3F51063F">
                  <w:pPr>
                    <w:pStyle w:val="69"/>
                    <w:spacing w:line="260" w:lineRule="exact"/>
                    <w:rPr>
                      <w:rFonts w:ascii="Times New Roman" w:hAnsi="Times New Roman"/>
                    </w:rPr>
                  </w:pPr>
                  <w:r>
                    <w:rPr>
                      <w:rFonts w:ascii="Times New Roman" w:hAnsi="Times New Roman"/>
                    </w:rPr>
                    <w:t>/</w:t>
                  </w:r>
                </w:p>
              </w:tc>
              <w:tc>
                <w:tcPr>
                  <w:tcW w:w="239" w:type="pct"/>
                  <w:vMerge w:val="continue"/>
                  <w:shd w:val="clear" w:color="auto" w:fill="auto"/>
                  <w:vAlign w:val="center"/>
                </w:tcPr>
                <w:p w14:paraId="3C5E0164">
                  <w:pPr>
                    <w:pStyle w:val="69"/>
                    <w:spacing w:line="260" w:lineRule="exact"/>
                    <w:rPr>
                      <w:rFonts w:ascii="Times New Roman" w:hAnsi="Times New Roman"/>
                    </w:rPr>
                  </w:pPr>
                </w:p>
              </w:tc>
              <w:tc>
                <w:tcPr>
                  <w:tcW w:w="300" w:type="pct"/>
                  <w:vMerge w:val="continue"/>
                  <w:shd w:val="clear" w:color="auto" w:fill="auto"/>
                  <w:vAlign w:val="center"/>
                </w:tcPr>
                <w:p w14:paraId="4D270EA8">
                  <w:pPr>
                    <w:pStyle w:val="69"/>
                    <w:spacing w:line="260" w:lineRule="exact"/>
                    <w:rPr>
                      <w:rFonts w:ascii="Times New Roman" w:hAnsi="Times New Roman"/>
                    </w:rPr>
                  </w:pPr>
                </w:p>
              </w:tc>
            </w:tr>
            <w:tr w14:paraId="02AA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vMerge w:val="continue"/>
                  <w:shd w:val="clear" w:color="auto" w:fill="auto"/>
                  <w:vAlign w:val="center"/>
                </w:tcPr>
                <w:p w14:paraId="140330CD">
                  <w:pPr>
                    <w:pStyle w:val="69"/>
                    <w:spacing w:line="260" w:lineRule="exact"/>
                    <w:rPr>
                      <w:rFonts w:ascii="Times New Roman" w:hAnsi="Times New Roman"/>
                    </w:rPr>
                  </w:pPr>
                </w:p>
              </w:tc>
              <w:tc>
                <w:tcPr>
                  <w:tcW w:w="229" w:type="pct"/>
                  <w:gridSpan w:val="2"/>
                  <w:vMerge w:val="continue"/>
                  <w:shd w:val="clear" w:color="auto" w:fill="auto"/>
                  <w:vAlign w:val="center"/>
                </w:tcPr>
                <w:p w14:paraId="28078E83">
                  <w:pPr>
                    <w:pStyle w:val="69"/>
                    <w:spacing w:line="260" w:lineRule="exact"/>
                    <w:rPr>
                      <w:rFonts w:ascii="Times New Roman" w:hAnsi="Times New Roman"/>
                    </w:rPr>
                  </w:pPr>
                </w:p>
              </w:tc>
              <w:tc>
                <w:tcPr>
                  <w:tcW w:w="309" w:type="pct"/>
                  <w:shd w:val="clear" w:color="auto" w:fill="auto"/>
                  <w:vAlign w:val="center"/>
                </w:tcPr>
                <w:p w14:paraId="2D606B1E">
                  <w:pPr>
                    <w:pStyle w:val="69"/>
                    <w:spacing w:line="260" w:lineRule="exact"/>
                    <w:rPr>
                      <w:rFonts w:ascii="Times New Roman" w:hAnsi="Times New Roman"/>
                    </w:rPr>
                  </w:pPr>
                  <w:r>
                    <w:rPr>
                      <w:rFonts w:ascii="Times New Roman" w:hAnsi="Times New Roman"/>
                    </w:rPr>
                    <w:t>颗粒物</w:t>
                  </w:r>
                </w:p>
              </w:tc>
              <w:tc>
                <w:tcPr>
                  <w:tcW w:w="302" w:type="pct"/>
                  <w:shd w:val="clear" w:color="auto" w:fill="auto"/>
                  <w:vAlign w:val="center"/>
                </w:tcPr>
                <w:p w14:paraId="074C14EE">
                  <w:pPr>
                    <w:jc w:val="center"/>
                    <w:rPr>
                      <w:rFonts w:eastAsia="等线"/>
                      <w:szCs w:val="22"/>
                    </w:rPr>
                  </w:pPr>
                  <w:r>
                    <w:rPr>
                      <w:rFonts w:hint="eastAsia" w:eastAsia="等线"/>
                      <w:szCs w:val="22"/>
                    </w:rPr>
                    <w:t xml:space="preserve">26.65 </w:t>
                  </w:r>
                </w:p>
              </w:tc>
              <w:tc>
                <w:tcPr>
                  <w:tcW w:w="283" w:type="pct"/>
                  <w:shd w:val="clear" w:color="auto" w:fill="auto"/>
                  <w:vAlign w:val="center"/>
                </w:tcPr>
                <w:p w14:paraId="5BA474BD">
                  <w:pPr>
                    <w:jc w:val="center"/>
                    <w:rPr>
                      <w:rFonts w:eastAsia="等线"/>
                      <w:szCs w:val="22"/>
                    </w:rPr>
                  </w:pPr>
                  <w:r>
                    <w:rPr>
                      <w:rFonts w:hint="eastAsia" w:eastAsia="等线"/>
                      <w:szCs w:val="22"/>
                    </w:rPr>
                    <w:t xml:space="preserve">0.112 </w:t>
                  </w:r>
                </w:p>
              </w:tc>
              <w:tc>
                <w:tcPr>
                  <w:tcW w:w="288" w:type="pct"/>
                  <w:shd w:val="clear" w:color="auto" w:fill="auto"/>
                  <w:vAlign w:val="center"/>
                </w:tcPr>
                <w:p w14:paraId="79EDBBA6">
                  <w:pPr>
                    <w:jc w:val="center"/>
                    <w:rPr>
                      <w:rFonts w:eastAsia="等线"/>
                      <w:szCs w:val="22"/>
                    </w:rPr>
                  </w:pPr>
                  <w:r>
                    <w:rPr>
                      <w:rFonts w:hint="eastAsia" w:eastAsia="等线"/>
                      <w:szCs w:val="22"/>
                    </w:rPr>
                    <w:t xml:space="preserve">0.822 </w:t>
                  </w:r>
                </w:p>
              </w:tc>
              <w:tc>
                <w:tcPr>
                  <w:tcW w:w="217" w:type="pct"/>
                  <w:vMerge w:val="continue"/>
                  <w:shd w:val="clear" w:color="auto" w:fill="auto"/>
                  <w:vAlign w:val="center"/>
                </w:tcPr>
                <w:p w14:paraId="33B81904">
                  <w:pPr>
                    <w:pStyle w:val="69"/>
                    <w:spacing w:line="260" w:lineRule="exact"/>
                    <w:rPr>
                      <w:rFonts w:ascii="Times New Roman" w:hAnsi="Times New Roman"/>
                    </w:rPr>
                  </w:pPr>
                </w:p>
              </w:tc>
              <w:tc>
                <w:tcPr>
                  <w:tcW w:w="240" w:type="pct"/>
                  <w:vMerge w:val="continue"/>
                  <w:shd w:val="clear" w:color="auto" w:fill="auto"/>
                  <w:vAlign w:val="center"/>
                </w:tcPr>
                <w:p w14:paraId="072F40C2">
                  <w:pPr>
                    <w:pStyle w:val="69"/>
                    <w:spacing w:line="260" w:lineRule="exact"/>
                    <w:rPr>
                      <w:rFonts w:ascii="Times New Roman" w:hAnsi="Times New Roman"/>
                    </w:rPr>
                  </w:pPr>
                </w:p>
              </w:tc>
              <w:tc>
                <w:tcPr>
                  <w:tcW w:w="229" w:type="pct"/>
                  <w:vMerge w:val="continue"/>
                  <w:shd w:val="clear" w:color="auto" w:fill="auto"/>
                  <w:vAlign w:val="center"/>
                </w:tcPr>
                <w:p w14:paraId="78D03E6E">
                  <w:pPr>
                    <w:pStyle w:val="69"/>
                    <w:spacing w:line="260" w:lineRule="exact"/>
                    <w:rPr>
                      <w:rFonts w:ascii="Times New Roman" w:hAnsi="Times New Roman"/>
                    </w:rPr>
                  </w:pPr>
                </w:p>
              </w:tc>
              <w:tc>
                <w:tcPr>
                  <w:tcW w:w="305" w:type="pct"/>
                  <w:shd w:val="clear" w:color="auto" w:fill="auto"/>
                  <w:vAlign w:val="center"/>
                </w:tcPr>
                <w:p w14:paraId="6122E196">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7D115ED0">
                  <w:pPr>
                    <w:pStyle w:val="69"/>
                    <w:spacing w:line="260" w:lineRule="exact"/>
                    <w:rPr>
                      <w:rFonts w:ascii="Times New Roman" w:hAnsi="Times New Roman"/>
                    </w:rPr>
                  </w:pPr>
                  <w:r>
                    <w:rPr>
                      <w:rFonts w:ascii="Times New Roman" w:hAnsi="Times New Roman"/>
                    </w:rPr>
                    <w:t>0</w:t>
                  </w:r>
                </w:p>
              </w:tc>
              <w:tc>
                <w:tcPr>
                  <w:tcW w:w="334" w:type="pct"/>
                  <w:shd w:val="clear" w:color="auto" w:fill="auto"/>
                  <w:vAlign w:val="center"/>
                </w:tcPr>
                <w:p w14:paraId="1D15D476">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2813E943">
                  <w:pPr>
                    <w:jc w:val="center"/>
                    <w:rPr>
                      <w:rFonts w:eastAsia="等线"/>
                      <w:szCs w:val="22"/>
                    </w:rPr>
                  </w:pPr>
                  <w:r>
                    <w:rPr>
                      <w:rFonts w:hint="eastAsia" w:eastAsia="等线"/>
                      <w:szCs w:val="22"/>
                    </w:rPr>
                    <w:t xml:space="preserve">26.65 </w:t>
                  </w:r>
                </w:p>
              </w:tc>
              <w:tc>
                <w:tcPr>
                  <w:tcW w:w="245" w:type="pct"/>
                  <w:shd w:val="clear" w:color="auto" w:fill="auto"/>
                  <w:vAlign w:val="center"/>
                </w:tcPr>
                <w:p w14:paraId="098BAADA">
                  <w:pPr>
                    <w:jc w:val="center"/>
                    <w:rPr>
                      <w:rFonts w:eastAsia="等线"/>
                      <w:szCs w:val="22"/>
                    </w:rPr>
                  </w:pPr>
                  <w:r>
                    <w:rPr>
                      <w:rFonts w:hint="eastAsia" w:eastAsia="等线"/>
                      <w:szCs w:val="22"/>
                    </w:rPr>
                    <w:t xml:space="preserve">0.112 </w:t>
                  </w:r>
                </w:p>
              </w:tc>
              <w:tc>
                <w:tcPr>
                  <w:tcW w:w="335" w:type="pct"/>
                  <w:shd w:val="clear" w:color="auto" w:fill="auto"/>
                  <w:vAlign w:val="center"/>
                </w:tcPr>
                <w:p w14:paraId="53AC6C0C">
                  <w:pPr>
                    <w:jc w:val="center"/>
                    <w:rPr>
                      <w:rFonts w:eastAsia="等线"/>
                      <w:szCs w:val="22"/>
                    </w:rPr>
                  </w:pPr>
                  <w:r>
                    <w:rPr>
                      <w:rFonts w:hint="eastAsia" w:eastAsia="等线"/>
                      <w:szCs w:val="22"/>
                    </w:rPr>
                    <w:t xml:space="preserve">0.822 </w:t>
                  </w:r>
                </w:p>
              </w:tc>
              <w:tc>
                <w:tcPr>
                  <w:tcW w:w="262" w:type="pct"/>
                  <w:shd w:val="clear" w:color="auto" w:fill="auto"/>
                  <w:vAlign w:val="center"/>
                </w:tcPr>
                <w:p w14:paraId="4FDE66EA">
                  <w:pPr>
                    <w:jc w:val="center"/>
                    <w:rPr>
                      <w:rFonts w:eastAsia="等线"/>
                      <w:szCs w:val="21"/>
                    </w:rPr>
                  </w:pPr>
                  <w:r>
                    <w:rPr>
                      <w:rFonts w:eastAsia="等线"/>
                      <w:szCs w:val="21"/>
                    </w:rPr>
                    <w:t>100</w:t>
                  </w:r>
                </w:p>
              </w:tc>
              <w:tc>
                <w:tcPr>
                  <w:tcW w:w="178" w:type="pct"/>
                  <w:shd w:val="clear" w:color="auto" w:fill="auto"/>
                  <w:vAlign w:val="center"/>
                </w:tcPr>
                <w:p w14:paraId="60349DFA">
                  <w:pPr>
                    <w:pStyle w:val="69"/>
                    <w:spacing w:line="260" w:lineRule="exact"/>
                    <w:rPr>
                      <w:rFonts w:ascii="Times New Roman" w:hAnsi="Times New Roman"/>
                    </w:rPr>
                  </w:pPr>
                  <w:r>
                    <w:rPr>
                      <w:rFonts w:ascii="Times New Roman" w:hAnsi="Times New Roman"/>
                    </w:rPr>
                    <w:t>/</w:t>
                  </w:r>
                </w:p>
              </w:tc>
              <w:tc>
                <w:tcPr>
                  <w:tcW w:w="239" w:type="pct"/>
                  <w:vMerge w:val="continue"/>
                  <w:shd w:val="clear" w:color="auto" w:fill="auto"/>
                  <w:vAlign w:val="center"/>
                </w:tcPr>
                <w:p w14:paraId="4FA43B6D">
                  <w:pPr>
                    <w:pStyle w:val="69"/>
                    <w:spacing w:line="260" w:lineRule="exact"/>
                    <w:rPr>
                      <w:rFonts w:ascii="Times New Roman" w:hAnsi="Times New Roman"/>
                    </w:rPr>
                  </w:pPr>
                </w:p>
              </w:tc>
              <w:tc>
                <w:tcPr>
                  <w:tcW w:w="300" w:type="pct"/>
                  <w:vMerge w:val="continue"/>
                  <w:shd w:val="clear" w:color="auto" w:fill="auto"/>
                  <w:vAlign w:val="center"/>
                </w:tcPr>
                <w:p w14:paraId="7D04CF5D">
                  <w:pPr>
                    <w:pStyle w:val="69"/>
                    <w:spacing w:line="260" w:lineRule="exact"/>
                    <w:rPr>
                      <w:rFonts w:ascii="Times New Roman" w:hAnsi="Times New Roman"/>
                    </w:rPr>
                  </w:pPr>
                </w:p>
              </w:tc>
            </w:tr>
            <w:tr w14:paraId="64FB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01" w:type="pct"/>
                  <w:shd w:val="clear" w:color="auto" w:fill="auto"/>
                  <w:vAlign w:val="center"/>
                </w:tcPr>
                <w:p w14:paraId="293E36F2">
                  <w:pPr>
                    <w:pStyle w:val="69"/>
                    <w:spacing w:line="260" w:lineRule="exact"/>
                    <w:rPr>
                      <w:rFonts w:ascii="Times New Roman" w:hAnsi="Times New Roman"/>
                    </w:rPr>
                  </w:pPr>
                  <w:r>
                    <w:rPr>
                      <w:rFonts w:ascii="Times New Roman" w:hAnsi="Times New Roman"/>
                    </w:rPr>
                    <w:t>压铸工序</w:t>
                  </w:r>
                </w:p>
              </w:tc>
              <w:tc>
                <w:tcPr>
                  <w:tcW w:w="229" w:type="pct"/>
                  <w:gridSpan w:val="2"/>
                  <w:shd w:val="clear" w:color="auto" w:fill="auto"/>
                  <w:vAlign w:val="center"/>
                </w:tcPr>
                <w:p w14:paraId="3F21B5EC">
                  <w:pPr>
                    <w:pStyle w:val="69"/>
                    <w:spacing w:line="260" w:lineRule="exact"/>
                    <w:rPr>
                      <w:rFonts w:ascii="Times New Roman" w:hAnsi="Times New Roman"/>
                    </w:rPr>
                  </w:pPr>
                  <w:r>
                    <w:rPr>
                      <w:rFonts w:hint="eastAsia"/>
                    </w:rPr>
                    <w:t>脱模废气</w:t>
                  </w:r>
                </w:p>
              </w:tc>
              <w:tc>
                <w:tcPr>
                  <w:tcW w:w="309" w:type="pct"/>
                  <w:shd w:val="clear" w:color="auto" w:fill="auto"/>
                  <w:vAlign w:val="center"/>
                </w:tcPr>
                <w:p w14:paraId="0BCF76E1">
                  <w:pPr>
                    <w:pStyle w:val="69"/>
                    <w:spacing w:line="260" w:lineRule="exact"/>
                    <w:rPr>
                      <w:rFonts w:ascii="Times New Roman" w:hAnsi="Times New Roman"/>
                    </w:rPr>
                  </w:pPr>
                  <w:r>
                    <w:rPr>
                      <w:rFonts w:ascii="Times New Roman" w:hAnsi="Times New Roman"/>
                    </w:rPr>
                    <w:t>非甲烷总烃</w:t>
                  </w:r>
                </w:p>
              </w:tc>
              <w:tc>
                <w:tcPr>
                  <w:tcW w:w="302" w:type="pct"/>
                  <w:shd w:val="clear" w:color="auto" w:fill="auto"/>
                  <w:vAlign w:val="center"/>
                </w:tcPr>
                <w:p w14:paraId="58A166F4">
                  <w:pPr>
                    <w:widowControl/>
                    <w:jc w:val="center"/>
                    <w:rPr>
                      <w:rFonts w:eastAsia="等线"/>
                      <w:kern w:val="0"/>
                      <w:szCs w:val="21"/>
                    </w:rPr>
                  </w:pPr>
                  <w:r>
                    <w:rPr>
                      <w:rFonts w:eastAsia="等线"/>
                      <w:szCs w:val="21"/>
                    </w:rPr>
                    <w:t xml:space="preserve">6.27 </w:t>
                  </w:r>
                </w:p>
              </w:tc>
              <w:tc>
                <w:tcPr>
                  <w:tcW w:w="283" w:type="pct"/>
                  <w:shd w:val="clear" w:color="auto" w:fill="auto"/>
                  <w:vAlign w:val="center"/>
                </w:tcPr>
                <w:p w14:paraId="4069003C">
                  <w:pPr>
                    <w:jc w:val="center"/>
                    <w:rPr>
                      <w:rFonts w:eastAsia="等线"/>
                      <w:szCs w:val="21"/>
                    </w:rPr>
                  </w:pPr>
                  <w:r>
                    <w:rPr>
                      <w:rFonts w:eastAsia="等线"/>
                      <w:szCs w:val="21"/>
                    </w:rPr>
                    <w:t xml:space="preserve">0.094 </w:t>
                  </w:r>
                </w:p>
              </w:tc>
              <w:tc>
                <w:tcPr>
                  <w:tcW w:w="288" w:type="pct"/>
                  <w:shd w:val="clear" w:color="auto" w:fill="auto"/>
                  <w:vAlign w:val="center"/>
                </w:tcPr>
                <w:p w14:paraId="693F026A">
                  <w:pPr>
                    <w:jc w:val="center"/>
                    <w:rPr>
                      <w:rFonts w:eastAsia="等线"/>
                      <w:szCs w:val="21"/>
                    </w:rPr>
                  </w:pPr>
                  <w:r>
                    <w:rPr>
                      <w:rFonts w:eastAsia="等线"/>
                      <w:szCs w:val="21"/>
                    </w:rPr>
                    <w:t xml:space="preserve">0.742 </w:t>
                  </w:r>
                </w:p>
              </w:tc>
              <w:tc>
                <w:tcPr>
                  <w:tcW w:w="217" w:type="pct"/>
                  <w:shd w:val="clear" w:color="auto" w:fill="auto"/>
                  <w:vAlign w:val="center"/>
                </w:tcPr>
                <w:p w14:paraId="48D269FE">
                  <w:pPr>
                    <w:pStyle w:val="69"/>
                    <w:spacing w:line="260" w:lineRule="exact"/>
                    <w:rPr>
                      <w:rFonts w:ascii="Times New Roman" w:hAnsi="Times New Roman"/>
                    </w:rPr>
                  </w:pPr>
                  <w:r>
                    <w:rPr>
                      <w:rFonts w:ascii="Times New Roman" w:hAnsi="Times New Roman"/>
                    </w:rPr>
                    <w:t>有组织</w:t>
                  </w:r>
                </w:p>
              </w:tc>
              <w:tc>
                <w:tcPr>
                  <w:tcW w:w="240" w:type="pct"/>
                  <w:shd w:val="clear" w:color="auto" w:fill="auto"/>
                  <w:vAlign w:val="center"/>
                </w:tcPr>
                <w:p w14:paraId="7C25D771">
                  <w:pPr>
                    <w:pStyle w:val="69"/>
                    <w:spacing w:line="260" w:lineRule="exact"/>
                    <w:rPr>
                      <w:rFonts w:ascii="Times New Roman" w:hAnsi="Times New Roman"/>
                    </w:rPr>
                  </w:pPr>
                  <w:r>
                    <w:rPr>
                      <w:rFonts w:ascii="Times New Roman" w:hAnsi="Times New Roman"/>
                    </w:rPr>
                    <w:t>15000</w:t>
                  </w:r>
                </w:p>
              </w:tc>
              <w:tc>
                <w:tcPr>
                  <w:tcW w:w="229" w:type="pct"/>
                  <w:shd w:val="clear" w:color="auto" w:fill="auto"/>
                  <w:vAlign w:val="center"/>
                </w:tcPr>
                <w:p w14:paraId="2B2A7D1D">
                  <w:pPr>
                    <w:pStyle w:val="69"/>
                    <w:spacing w:line="260" w:lineRule="exact"/>
                    <w:rPr>
                      <w:rFonts w:ascii="Times New Roman" w:hAnsi="Times New Roman"/>
                    </w:rPr>
                  </w:pPr>
                  <w:r>
                    <w:rPr>
                      <w:rFonts w:ascii="Times New Roman" w:hAnsi="Times New Roman"/>
                    </w:rPr>
                    <w:t>80</w:t>
                  </w:r>
                </w:p>
              </w:tc>
              <w:tc>
                <w:tcPr>
                  <w:tcW w:w="305" w:type="pct"/>
                  <w:shd w:val="clear" w:color="auto" w:fill="auto"/>
                  <w:vAlign w:val="center"/>
                </w:tcPr>
                <w:p w14:paraId="6799EEA8">
                  <w:pPr>
                    <w:pStyle w:val="69"/>
                    <w:spacing w:line="260" w:lineRule="exact"/>
                    <w:rPr>
                      <w:rFonts w:ascii="Times New Roman" w:hAnsi="Times New Roman"/>
                    </w:rPr>
                  </w:pPr>
                  <w:r>
                    <w:rPr>
                      <w:rFonts w:ascii="Times New Roman" w:hAnsi="Times New Roman"/>
                    </w:rPr>
                    <w:t>干燥+UV光解+活性炭吸附</w:t>
                  </w:r>
                </w:p>
              </w:tc>
              <w:tc>
                <w:tcPr>
                  <w:tcW w:w="241" w:type="pct"/>
                  <w:shd w:val="clear" w:color="auto" w:fill="auto"/>
                  <w:vAlign w:val="center"/>
                </w:tcPr>
                <w:p w14:paraId="202C73D2">
                  <w:pPr>
                    <w:pStyle w:val="69"/>
                    <w:spacing w:line="260" w:lineRule="exact"/>
                    <w:rPr>
                      <w:rFonts w:ascii="Times New Roman" w:hAnsi="Times New Roman"/>
                    </w:rPr>
                  </w:pPr>
                  <w:r>
                    <w:rPr>
                      <w:rFonts w:ascii="Times New Roman" w:hAnsi="Times New Roman"/>
                    </w:rPr>
                    <w:t>50</w:t>
                  </w:r>
                </w:p>
              </w:tc>
              <w:tc>
                <w:tcPr>
                  <w:tcW w:w="334" w:type="pct"/>
                  <w:shd w:val="clear" w:color="auto" w:fill="auto"/>
                  <w:vAlign w:val="center"/>
                </w:tcPr>
                <w:p w14:paraId="293BA29D">
                  <w:pPr>
                    <w:pStyle w:val="69"/>
                    <w:spacing w:line="260" w:lineRule="exact"/>
                    <w:rPr>
                      <w:rFonts w:ascii="Times New Roman" w:hAnsi="Times New Roman"/>
                    </w:rPr>
                  </w:pPr>
                  <w:r>
                    <w:rPr>
                      <w:rFonts w:ascii="Times New Roman" w:hAnsi="Times New Roman"/>
                    </w:rPr>
                    <w:t>是</w:t>
                  </w:r>
                </w:p>
              </w:tc>
              <w:tc>
                <w:tcPr>
                  <w:tcW w:w="262" w:type="pct"/>
                  <w:shd w:val="clear" w:color="auto" w:fill="auto"/>
                  <w:vAlign w:val="center"/>
                </w:tcPr>
                <w:p w14:paraId="2D25169E">
                  <w:pPr>
                    <w:widowControl/>
                    <w:jc w:val="center"/>
                    <w:rPr>
                      <w:rFonts w:eastAsia="等线"/>
                      <w:kern w:val="0"/>
                      <w:szCs w:val="21"/>
                    </w:rPr>
                  </w:pPr>
                  <w:r>
                    <w:rPr>
                      <w:rFonts w:eastAsia="等线"/>
                      <w:szCs w:val="21"/>
                    </w:rPr>
                    <w:t xml:space="preserve">3.13 </w:t>
                  </w:r>
                </w:p>
              </w:tc>
              <w:tc>
                <w:tcPr>
                  <w:tcW w:w="245" w:type="pct"/>
                  <w:shd w:val="clear" w:color="auto" w:fill="auto"/>
                  <w:vAlign w:val="center"/>
                </w:tcPr>
                <w:p w14:paraId="1CD692FE">
                  <w:pPr>
                    <w:jc w:val="center"/>
                    <w:rPr>
                      <w:rFonts w:eastAsia="等线"/>
                      <w:szCs w:val="21"/>
                    </w:rPr>
                  </w:pPr>
                  <w:r>
                    <w:rPr>
                      <w:rFonts w:eastAsia="等线"/>
                      <w:szCs w:val="21"/>
                    </w:rPr>
                    <w:t xml:space="preserve">0.047 </w:t>
                  </w:r>
                </w:p>
              </w:tc>
              <w:tc>
                <w:tcPr>
                  <w:tcW w:w="335" w:type="pct"/>
                  <w:shd w:val="clear" w:color="auto" w:fill="auto"/>
                  <w:vAlign w:val="center"/>
                </w:tcPr>
                <w:p w14:paraId="27867257">
                  <w:pPr>
                    <w:jc w:val="center"/>
                    <w:rPr>
                      <w:rFonts w:eastAsia="等线"/>
                      <w:szCs w:val="21"/>
                    </w:rPr>
                  </w:pPr>
                  <w:r>
                    <w:rPr>
                      <w:rFonts w:eastAsia="等线"/>
                      <w:szCs w:val="21"/>
                    </w:rPr>
                    <w:t xml:space="preserve">0.371 </w:t>
                  </w:r>
                </w:p>
              </w:tc>
              <w:tc>
                <w:tcPr>
                  <w:tcW w:w="262" w:type="pct"/>
                  <w:shd w:val="clear" w:color="auto" w:fill="auto"/>
                  <w:vAlign w:val="center"/>
                </w:tcPr>
                <w:p w14:paraId="6935968C">
                  <w:pPr>
                    <w:pStyle w:val="69"/>
                    <w:spacing w:line="260" w:lineRule="exact"/>
                    <w:rPr>
                      <w:rFonts w:ascii="Times New Roman" w:hAnsi="Times New Roman"/>
                    </w:rPr>
                  </w:pPr>
                  <w:r>
                    <w:rPr>
                      <w:rFonts w:ascii="Times New Roman" w:hAnsi="Times New Roman"/>
                    </w:rPr>
                    <w:t>120</w:t>
                  </w:r>
                </w:p>
              </w:tc>
              <w:tc>
                <w:tcPr>
                  <w:tcW w:w="178" w:type="pct"/>
                  <w:shd w:val="clear" w:color="auto" w:fill="auto"/>
                  <w:vAlign w:val="center"/>
                </w:tcPr>
                <w:p w14:paraId="2CD46251">
                  <w:pPr>
                    <w:jc w:val="center"/>
                    <w:rPr>
                      <w:rFonts w:eastAsia="等线"/>
                      <w:szCs w:val="21"/>
                    </w:rPr>
                  </w:pPr>
                  <w:r>
                    <w:rPr>
                      <w:rFonts w:eastAsia="等线"/>
                      <w:szCs w:val="21"/>
                    </w:rPr>
                    <w:t>17</w:t>
                  </w:r>
                </w:p>
              </w:tc>
              <w:tc>
                <w:tcPr>
                  <w:tcW w:w="239" w:type="pct"/>
                  <w:shd w:val="clear" w:color="auto" w:fill="auto"/>
                  <w:vAlign w:val="center"/>
                </w:tcPr>
                <w:p w14:paraId="4022AEF1">
                  <w:pPr>
                    <w:pStyle w:val="69"/>
                    <w:spacing w:line="260" w:lineRule="exact"/>
                    <w:rPr>
                      <w:rFonts w:ascii="Times New Roman" w:hAnsi="Times New Roman"/>
                    </w:rPr>
                  </w:pPr>
                  <w:r>
                    <w:rPr>
                      <w:rFonts w:ascii="Times New Roman" w:hAnsi="Times New Roman"/>
                    </w:rPr>
                    <w:t>7920</w:t>
                  </w:r>
                </w:p>
              </w:tc>
              <w:tc>
                <w:tcPr>
                  <w:tcW w:w="300" w:type="pct"/>
                  <w:shd w:val="clear" w:color="auto" w:fill="auto"/>
                  <w:vAlign w:val="center"/>
                </w:tcPr>
                <w:p w14:paraId="0A44C7E7">
                  <w:pPr>
                    <w:pStyle w:val="69"/>
                    <w:spacing w:line="260" w:lineRule="exact"/>
                    <w:rPr>
                      <w:rFonts w:ascii="Times New Roman" w:hAnsi="Times New Roman"/>
                    </w:rPr>
                  </w:pPr>
                  <w:r>
                    <w:rPr>
                      <w:rFonts w:hint="eastAsia" w:ascii="Times New Roman" w:hAnsi="Times New Roman"/>
                    </w:rPr>
                    <w:t>新建</w:t>
                  </w:r>
                  <w:r>
                    <w:rPr>
                      <w:rFonts w:ascii="Times New Roman" w:hAnsi="Times New Roman"/>
                    </w:rPr>
                    <w:t>3</w:t>
                  </w:r>
                  <w:r>
                    <w:rPr>
                      <w:rFonts w:hint="eastAsia" w:ascii="Times New Roman" w:hAnsi="Times New Roman"/>
                    </w:rPr>
                    <w:t>#排气筒</w:t>
                  </w:r>
                </w:p>
              </w:tc>
            </w:tr>
            <w:tr w14:paraId="06F8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430" w:type="pct"/>
                  <w:gridSpan w:val="3"/>
                  <w:shd w:val="clear" w:color="auto" w:fill="auto"/>
                  <w:vAlign w:val="center"/>
                </w:tcPr>
                <w:p w14:paraId="1F6C6E99">
                  <w:pPr>
                    <w:pStyle w:val="69"/>
                    <w:spacing w:line="260" w:lineRule="exact"/>
                    <w:rPr>
                      <w:rFonts w:ascii="Times New Roman" w:hAnsi="Times New Roman"/>
                    </w:rPr>
                  </w:pPr>
                  <w:r>
                    <w:rPr>
                      <w:rFonts w:hint="eastAsia" w:ascii="Times New Roman" w:hAnsi="Times New Roman"/>
                    </w:rPr>
                    <w:t>表面清理工序</w:t>
                  </w:r>
                </w:p>
              </w:tc>
              <w:tc>
                <w:tcPr>
                  <w:tcW w:w="309" w:type="pct"/>
                  <w:vMerge w:val="restart"/>
                  <w:shd w:val="clear" w:color="auto" w:fill="auto"/>
                  <w:vAlign w:val="center"/>
                </w:tcPr>
                <w:p w14:paraId="0AA4EC0F">
                  <w:pPr>
                    <w:pStyle w:val="69"/>
                    <w:spacing w:line="260" w:lineRule="exact"/>
                    <w:rPr>
                      <w:rFonts w:ascii="Times New Roman" w:hAnsi="Times New Roman"/>
                    </w:rPr>
                  </w:pPr>
                  <w:r>
                    <w:rPr>
                      <w:rFonts w:ascii="Times New Roman" w:hAnsi="Times New Roman"/>
                    </w:rPr>
                    <w:t>颗粒物</w:t>
                  </w:r>
                </w:p>
              </w:tc>
              <w:tc>
                <w:tcPr>
                  <w:tcW w:w="302" w:type="pct"/>
                  <w:vMerge w:val="restart"/>
                  <w:shd w:val="clear" w:color="auto" w:fill="auto"/>
                  <w:vAlign w:val="center"/>
                </w:tcPr>
                <w:p w14:paraId="2CB178DB">
                  <w:pPr>
                    <w:pStyle w:val="69"/>
                    <w:spacing w:line="260" w:lineRule="exact"/>
                    <w:rPr>
                      <w:rFonts w:ascii="Times New Roman" w:hAnsi="Times New Roman"/>
                    </w:rPr>
                  </w:pPr>
                  <w:r>
                    <w:rPr>
                      <w:rFonts w:hint="eastAsia" w:ascii="Times New Roman" w:hAnsi="Times New Roman"/>
                    </w:rPr>
                    <w:t xml:space="preserve">193.75 </w:t>
                  </w:r>
                </w:p>
              </w:tc>
              <w:tc>
                <w:tcPr>
                  <w:tcW w:w="283" w:type="pct"/>
                  <w:vMerge w:val="restart"/>
                  <w:shd w:val="clear" w:color="auto" w:fill="auto"/>
                  <w:vAlign w:val="center"/>
                </w:tcPr>
                <w:p w14:paraId="10C59412">
                  <w:pPr>
                    <w:pStyle w:val="69"/>
                    <w:spacing w:line="260" w:lineRule="exact"/>
                    <w:rPr>
                      <w:rFonts w:ascii="Times New Roman" w:hAnsi="Times New Roman"/>
                    </w:rPr>
                  </w:pPr>
                  <w:r>
                    <w:rPr>
                      <w:rFonts w:hint="eastAsia" w:ascii="Times New Roman" w:hAnsi="Times New Roman"/>
                    </w:rPr>
                    <w:t xml:space="preserve">3.875 </w:t>
                  </w:r>
                </w:p>
              </w:tc>
              <w:tc>
                <w:tcPr>
                  <w:tcW w:w="288" w:type="pct"/>
                  <w:vMerge w:val="restart"/>
                  <w:shd w:val="clear" w:color="auto" w:fill="auto"/>
                  <w:vAlign w:val="center"/>
                </w:tcPr>
                <w:p w14:paraId="34E2D64D">
                  <w:pPr>
                    <w:pStyle w:val="69"/>
                    <w:spacing w:line="260" w:lineRule="exact"/>
                    <w:rPr>
                      <w:rFonts w:ascii="Times New Roman" w:hAnsi="Times New Roman"/>
                    </w:rPr>
                  </w:pPr>
                  <w:r>
                    <w:rPr>
                      <w:rFonts w:hint="eastAsia" w:ascii="Times New Roman" w:hAnsi="Times New Roman"/>
                    </w:rPr>
                    <w:t xml:space="preserve">20.462 </w:t>
                  </w:r>
                </w:p>
              </w:tc>
              <w:tc>
                <w:tcPr>
                  <w:tcW w:w="217" w:type="pct"/>
                  <w:vMerge w:val="restart"/>
                  <w:shd w:val="clear" w:color="auto" w:fill="auto"/>
                  <w:vAlign w:val="center"/>
                </w:tcPr>
                <w:p w14:paraId="2A2D8D7E">
                  <w:pPr>
                    <w:pStyle w:val="69"/>
                    <w:spacing w:line="260" w:lineRule="exact"/>
                    <w:rPr>
                      <w:rFonts w:ascii="Times New Roman" w:hAnsi="Times New Roman"/>
                    </w:rPr>
                  </w:pPr>
                  <w:r>
                    <w:rPr>
                      <w:rFonts w:ascii="Times New Roman" w:hAnsi="Times New Roman"/>
                    </w:rPr>
                    <w:t>有组织</w:t>
                  </w:r>
                </w:p>
              </w:tc>
              <w:tc>
                <w:tcPr>
                  <w:tcW w:w="240" w:type="pct"/>
                  <w:vMerge w:val="restart"/>
                  <w:shd w:val="clear" w:color="auto" w:fill="auto"/>
                  <w:vAlign w:val="center"/>
                </w:tcPr>
                <w:p w14:paraId="5E97D82A">
                  <w:pPr>
                    <w:pStyle w:val="69"/>
                    <w:spacing w:line="260" w:lineRule="exact"/>
                    <w:rPr>
                      <w:rFonts w:ascii="Times New Roman" w:hAnsi="Times New Roman"/>
                    </w:rPr>
                  </w:pPr>
                  <w:r>
                    <w:rPr>
                      <w:rFonts w:ascii="Times New Roman" w:hAnsi="Times New Roman"/>
                    </w:rPr>
                    <w:t>20000</w:t>
                  </w:r>
                </w:p>
              </w:tc>
              <w:tc>
                <w:tcPr>
                  <w:tcW w:w="229" w:type="pct"/>
                  <w:shd w:val="clear" w:color="auto" w:fill="auto"/>
                  <w:vAlign w:val="center"/>
                </w:tcPr>
                <w:p w14:paraId="0F8A106B">
                  <w:pPr>
                    <w:pStyle w:val="69"/>
                    <w:spacing w:line="260" w:lineRule="exact"/>
                    <w:rPr>
                      <w:rFonts w:ascii="Times New Roman" w:hAnsi="Times New Roman"/>
                    </w:rPr>
                  </w:pPr>
                  <w:r>
                    <w:rPr>
                      <w:rFonts w:ascii="Times New Roman" w:hAnsi="Times New Roman"/>
                    </w:rPr>
                    <w:t>80</w:t>
                  </w:r>
                </w:p>
              </w:tc>
              <w:tc>
                <w:tcPr>
                  <w:tcW w:w="305" w:type="pct"/>
                  <w:shd w:val="clear" w:color="auto" w:fill="auto"/>
                  <w:vAlign w:val="center"/>
                </w:tcPr>
                <w:p w14:paraId="08A2B3BD">
                  <w:pPr>
                    <w:pStyle w:val="69"/>
                    <w:spacing w:line="260" w:lineRule="exact"/>
                    <w:rPr>
                      <w:rFonts w:ascii="Times New Roman" w:hAnsi="Times New Roman"/>
                      <w:bCs/>
                    </w:rPr>
                  </w:pPr>
                  <w:r>
                    <w:rPr>
                      <w:rFonts w:hint="eastAsia" w:ascii="Times New Roman" w:hAnsi="Times New Roman"/>
                      <w:bCs/>
                    </w:rPr>
                    <w:t>袋式除尘</w:t>
                  </w:r>
                </w:p>
              </w:tc>
              <w:tc>
                <w:tcPr>
                  <w:tcW w:w="241" w:type="pct"/>
                  <w:shd w:val="clear" w:color="auto" w:fill="auto"/>
                  <w:vAlign w:val="center"/>
                </w:tcPr>
                <w:p w14:paraId="6DBC9D72">
                  <w:pPr>
                    <w:pStyle w:val="69"/>
                    <w:spacing w:line="260" w:lineRule="exact"/>
                    <w:rPr>
                      <w:rFonts w:ascii="Times New Roman" w:hAnsi="Times New Roman"/>
                    </w:rPr>
                  </w:pPr>
                  <w:r>
                    <w:rPr>
                      <w:rFonts w:ascii="Times New Roman" w:hAnsi="Times New Roman"/>
                    </w:rPr>
                    <w:t>90</w:t>
                  </w:r>
                </w:p>
              </w:tc>
              <w:tc>
                <w:tcPr>
                  <w:tcW w:w="334" w:type="pct"/>
                  <w:vMerge w:val="restart"/>
                  <w:shd w:val="clear" w:color="auto" w:fill="auto"/>
                  <w:vAlign w:val="center"/>
                </w:tcPr>
                <w:p w14:paraId="14701B12">
                  <w:pPr>
                    <w:pStyle w:val="69"/>
                    <w:spacing w:line="260" w:lineRule="exact"/>
                    <w:rPr>
                      <w:rFonts w:ascii="Times New Roman" w:hAnsi="Times New Roman"/>
                    </w:rPr>
                  </w:pPr>
                  <w:r>
                    <w:rPr>
                      <w:rFonts w:ascii="Times New Roman" w:hAnsi="Times New Roman"/>
                    </w:rPr>
                    <w:t>是</w:t>
                  </w:r>
                </w:p>
              </w:tc>
              <w:tc>
                <w:tcPr>
                  <w:tcW w:w="262" w:type="pct"/>
                  <w:vMerge w:val="restart"/>
                  <w:shd w:val="clear" w:color="auto" w:fill="auto"/>
                  <w:vAlign w:val="center"/>
                </w:tcPr>
                <w:p w14:paraId="043352D2">
                  <w:pPr>
                    <w:pStyle w:val="69"/>
                    <w:spacing w:line="260" w:lineRule="exact"/>
                    <w:rPr>
                      <w:rFonts w:ascii="Times New Roman" w:hAnsi="Times New Roman"/>
                    </w:rPr>
                  </w:pPr>
                  <w:r>
                    <w:rPr>
                      <w:rFonts w:hint="eastAsia" w:ascii="Times New Roman" w:hAnsi="Times New Roman"/>
                    </w:rPr>
                    <w:t xml:space="preserve">10.05 </w:t>
                  </w:r>
                </w:p>
              </w:tc>
              <w:tc>
                <w:tcPr>
                  <w:tcW w:w="245" w:type="pct"/>
                  <w:vMerge w:val="restart"/>
                  <w:shd w:val="clear" w:color="auto" w:fill="auto"/>
                  <w:vAlign w:val="center"/>
                </w:tcPr>
                <w:p w14:paraId="2AA37A8A">
                  <w:pPr>
                    <w:pStyle w:val="69"/>
                    <w:spacing w:line="260" w:lineRule="exact"/>
                    <w:rPr>
                      <w:rFonts w:ascii="Times New Roman" w:hAnsi="Times New Roman"/>
                    </w:rPr>
                  </w:pPr>
                  <w:r>
                    <w:rPr>
                      <w:rFonts w:hint="eastAsia" w:ascii="Times New Roman" w:hAnsi="Times New Roman"/>
                    </w:rPr>
                    <w:t xml:space="preserve">0.201 </w:t>
                  </w:r>
                </w:p>
              </w:tc>
              <w:tc>
                <w:tcPr>
                  <w:tcW w:w="335" w:type="pct"/>
                  <w:vMerge w:val="restart"/>
                  <w:shd w:val="clear" w:color="auto" w:fill="auto"/>
                  <w:vAlign w:val="center"/>
                </w:tcPr>
                <w:p w14:paraId="24F08480">
                  <w:pPr>
                    <w:pStyle w:val="69"/>
                    <w:spacing w:line="260" w:lineRule="exact"/>
                    <w:rPr>
                      <w:rFonts w:ascii="Times New Roman" w:hAnsi="Times New Roman"/>
                    </w:rPr>
                  </w:pPr>
                  <w:r>
                    <w:rPr>
                      <w:rFonts w:hint="eastAsia" w:ascii="Times New Roman" w:hAnsi="Times New Roman"/>
                    </w:rPr>
                    <w:t xml:space="preserve">1.058 </w:t>
                  </w:r>
                </w:p>
              </w:tc>
              <w:tc>
                <w:tcPr>
                  <w:tcW w:w="262" w:type="pct"/>
                  <w:vMerge w:val="restart"/>
                  <w:shd w:val="clear" w:color="auto" w:fill="auto"/>
                  <w:vAlign w:val="center"/>
                </w:tcPr>
                <w:p w14:paraId="3DD7F762">
                  <w:pPr>
                    <w:pStyle w:val="69"/>
                    <w:spacing w:line="260" w:lineRule="exact"/>
                    <w:rPr>
                      <w:rFonts w:ascii="Times New Roman" w:hAnsi="Times New Roman"/>
                    </w:rPr>
                  </w:pPr>
                  <w:r>
                    <w:rPr>
                      <w:rFonts w:ascii="Times New Roman" w:hAnsi="Times New Roman"/>
                    </w:rPr>
                    <w:t>30</w:t>
                  </w:r>
                </w:p>
              </w:tc>
              <w:tc>
                <w:tcPr>
                  <w:tcW w:w="178" w:type="pct"/>
                  <w:vMerge w:val="restart"/>
                  <w:shd w:val="clear" w:color="auto" w:fill="auto"/>
                  <w:vAlign w:val="center"/>
                </w:tcPr>
                <w:p w14:paraId="10977EB1">
                  <w:pPr>
                    <w:pStyle w:val="69"/>
                    <w:spacing w:line="260" w:lineRule="exact"/>
                    <w:rPr>
                      <w:rFonts w:ascii="Times New Roman" w:hAnsi="Times New Roman"/>
                    </w:rPr>
                  </w:pPr>
                  <w:r>
                    <w:rPr>
                      <w:rFonts w:hint="eastAsia" w:ascii="Times New Roman" w:hAnsi="Times New Roman"/>
                    </w:rPr>
                    <w:t>/</w:t>
                  </w:r>
                </w:p>
              </w:tc>
              <w:tc>
                <w:tcPr>
                  <w:tcW w:w="239" w:type="pct"/>
                  <w:vMerge w:val="restart"/>
                  <w:shd w:val="clear" w:color="auto" w:fill="auto"/>
                  <w:vAlign w:val="center"/>
                </w:tcPr>
                <w:p w14:paraId="303CBF2B">
                  <w:pPr>
                    <w:pStyle w:val="69"/>
                    <w:spacing w:line="260" w:lineRule="exact"/>
                    <w:rPr>
                      <w:rFonts w:ascii="Times New Roman" w:hAnsi="Times New Roman"/>
                    </w:rPr>
                  </w:pPr>
                  <w:r>
                    <w:rPr>
                      <w:rFonts w:ascii="Times New Roman" w:hAnsi="Times New Roman"/>
                    </w:rPr>
                    <w:t>5280</w:t>
                  </w:r>
                </w:p>
              </w:tc>
              <w:tc>
                <w:tcPr>
                  <w:tcW w:w="300" w:type="pct"/>
                  <w:vMerge w:val="restart"/>
                  <w:shd w:val="clear" w:color="auto" w:fill="auto"/>
                  <w:vAlign w:val="center"/>
                </w:tcPr>
                <w:p w14:paraId="274308F3">
                  <w:pPr>
                    <w:pStyle w:val="69"/>
                    <w:spacing w:line="260" w:lineRule="exact"/>
                    <w:rPr>
                      <w:rFonts w:ascii="Times New Roman" w:hAnsi="Times New Roman"/>
                    </w:rPr>
                  </w:pPr>
                  <w:r>
                    <w:rPr>
                      <w:rFonts w:hint="eastAsia" w:ascii="Times New Roman" w:hAnsi="Times New Roman"/>
                    </w:rPr>
                    <w:t>新建</w:t>
                  </w:r>
                  <w:r>
                    <w:rPr>
                      <w:rFonts w:ascii="Times New Roman" w:hAnsi="Times New Roman"/>
                    </w:rPr>
                    <w:t>4</w:t>
                  </w:r>
                  <w:r>
                    <w:rPr>
                      <w:rFonts w:hint="eastAsia" w:ascii="Times New Roman" w:hAnsi="Times New Roman"/>
                    </w:rPr>
                    <w:t>#</w:t>
                  </w:r>
                  <w:r>
                    <w:rPr>
                      <w:rFonts w:ascii="Times New Roman" w:hAnsi="Times New Roman"/>
                    </w:rPr>
                    <w:t>排气筒</w:t>
                  </w:r>
                </w:p>
              </w:tc>
            </w:tr>
            <w:tr w14:paraId="7CE6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430" w:type="pct"/>
                  <w:gridSpan w:val="3"/>
                  <w:shd w:val="clear" w:color="auto" w:fill="auto"/>
                  <w:vAlign w:val="center"/>
                </w:tcPr>
                <w:p w14:paraId="588EFC7B">
                  <w:pPr>
                    <w:pStyle w:val="69"/>
                    <w:spacing w:line="260" w:lineRule="exact"/>
                    <w:jc w:val="both"/>
                    <w:rPr>
                      <w:rFonts w:ascii="Times New Roman" w:hAnsi="Times New Roman"/>
                    </w:rPr>
                  </w:pPr>
                  <w:r>
                    <w:rPr>
                      <w:rFonts w:hint="eastAsia" w:ascii="Times New Roman" w:hAnsi="Times New Roman"/>
                    </w:rPr>
                    <w:t>抛丸工序</w:t>
                  </w:r>
                </w:p>
              </w:tc>
              <w:tc>
                <w:tcPr>
                  <w:tcW w:w="309" w:type="pct"/>
                  <w:vMerge w:val="continue"/>
                  <w:shd w:val="clear" w:color="auto" w:fill="auto"/>
                  <w:vAlign w:val="center"/>
                </w:tcPr>
                <w:p w14:paraId="6DFF5DFC">
                  <w:pPr>
                    <w:pStyle w:val="69"/>
                    <w:spacing w:line="260" w:lineRule="exact"/>
                    <w:rPr>
                      <w:rFonts w:ascii="Times New Roman" w:hAnsi="Times New Roman"/>
                    </w:rPr>
                  </w:pPr>
                </w:p>
              </w:tc>
              <w:tc>
                <w:tcPr>
                  <w:tcW w:w="302" w:type="pct"/>
                  <w:vMerge w:val="continue"/>
                  <w:shd w:val="clear" w:color="auto" w:fill="auto"/>
                  <w:vAlign w:val="center"/>
                </w:tcPr>
                <w:p w14:paraId="49628022">
                  <w:pPr>
                    <w:pStyle w:val="69"/>
                    <w:spacing w:line="260" w:lineRule="exact"/>
                    <w:rPr>
                      <w:rFonts w:ascii="Times New Roman" w:hAnsi="Times New Roman"/>
                    </w:rPr>
                  </w:pPr>
                </w:p>
              </w:tc>
              <w:tc>
                <w:tcPr>
                  <w:tcW w:w="283" w:type="pct"/>
                  <w:vMerge w:val="continue"/>
                  <w:shd w:val="clear" w:color="auto" w:fill="auto"/>
                  <w:vAlign w:val="center"/>
                </w:tcPr>
                <w:p w14:paraId="0D41BF3D">
                  <w:pPr>
                    <w:pStyle w:val="69"/>
                    <w:spacing w:line="260" w:lineRule="exact"/>
                    <w:rPr>
                      <w:rFonts w:ascii="Times New Roman" w:hAnsi="Times New Roman"/>
                    </w:rPr>
                  </w:pPr>
                </w:p>
              </w:tc>
              <w:tc>
                <w:tcPr>
                  <w:tcW w:w="288" w:type="pct"/>
                  <w:vMerge w:val="continue"/>
                  <w:shd w:val="clear" w:color="auto" w:fill="auto"/>
                  <w:vAlign w:val="center"/>
                </w:tcPr>
                <w:p w14:paraId="6598E4AB">
                  <w:pPr>
                    <w:pStyle w:val="69"/>
                    <w:spacing w:line="260" w:lineRule="exact"/>
                    <w:rPr>
                      <w:rFonts w:ascii="Times New Roman" w:hAnsi="Times New Roman"/>
                    </w:rPr>
                  </w:pPr>
                </w:p>
              </w:tc>
              <w:tc>
                <w:tcPr>
                  <w:tcW w:w="217" w:type="pct"/>
                  <w:vMerge w:val="continue"/>
                  <w:shd w:val="clear" w:color="auto" w:fill="auto"/>
                  <w:vAlign w:val="center"/>
                </w:tcPr>
                <w:p w14:paraId="6279993E">
                  <w:pPr>
                    <w:pStyle w:val="69"/>
                    <w:spacing w:line="260" w:lineRule="exact"/>
                    <w:rPr>
                      <w:rFonts w:ascii="Times New Roman" w:hAnsi="Times New Roman"/>
                    </w:rPr>
                  </w:pPr>
                </w:p>
              </w:tc>
              <w:tc>
                <w:tcPr>
                  <w:tcW w:w="240" w:type="pct"/>
                  <w:vMerge w:val="continue"/>
                  <w:shd w:val="clear" w:color="auto" w:fill="auto"/>
                  <w:vAlign w:val="center"/>
                </w:tcPr>
                <w:p w14:paraId="76151FBF">
                  <w:pPr>
                    <w:pStyle w:val="69"/>
                    <w:spacing w:line="260" w:lineRule="exact"/>
                    <w:rPr>
                      <w:rFonts w:ascii="Times New Roman" w:hAnsi="Times New Roman"/>
                    </w:rPr>
                  </w:pPr>
                </w:p>
              </w:tc>
              <w:tc>
                <w:tcPr>
                  <w:tcW w:w="229" w:type="pct"/>
                  <w:shd w:val="clear" w:color="auto" w:fill="auto"/>
                  <w:vAlign w:val="center"/>
                </w:tcPr>
                <w:p w14:paraId="520D9D63">
                  <w:pPr>
                    <w:pStyle w:val="69"/>
                    <w:spacing w:line="260" w:lineRule="exact"/>
                    <w:rPr>
                      <w:rFonts w:ascii="Times New Roman" w:hAnsi="Times New Roman"/>
                    </w:rPr>
                  </w:pPr>
                  <w:r>
                    <w:rPr>
                      <w:rFonts w:ascii="Times New Roman" w:hAnsi="Times New Roman"/>
                    </w:rPr>
                    <w:t>100</w:t>
                  </w:r>
                </w:p>
              </w:tc>
              <w:tc>
                <w:tcPr>
                  <w:tcW w:w="305" w:type="pct"/>
                  <w:shd w:val="clear" w:color="auto" w:fill="auto"/>
                  <w:vAlign w:val="center"/>
                </w:tcPr>
                <w:p w14:paraId="6D65D3D7">
                  <w:pPr>
                    <w:pStyle w:val="69"/>
                    <w:spacing w:line="260" w:lineRule="exact"/>
                    <w:rPr>
                      <w:rFonts w:ascii="Times New Roman" w:hAnsi="Times New Roman"/>
                      <w:bCs/>
                    </w:rPr>
                  </w:pPr>
                  <w:r>
                    <w:rPr>
                      <w:rFonts w:hint="eastAsia" w:ascii="Times New Roman" w:hAnsi="Times New Roman"/>
                      <w:bCs/>
                    </w:rPr>
                    <w:t>滤筒除尘+袋式除尘</w:t>
                  </w:r>
                </w:p>
              </w:tc>
              <w:tc>
                <w:tcPr>
                  <w:tcW w:w="241" w:type="pct"/>
                  <w:shd w:val="clear" w:color="auto" w:fill="auto"/>
                  <w:vAlign w:val="center"/>
                </w:tcPr>
                <w:p w14:paraId="305809B1">
                  <w:pPr>
                    <w:pStyle w:val="69"/>
                    <w:spacing w:line="260" w:lineRule="exact"/>
                    <w:rPr>
                      <w:rFonts w:ascii="Times New Roman" w:hAnsi="Times New Roman"/>
                    </w:rPr>
                  </w:pPr>
                  <w:r>
                    <w:rPr>
                      <w:rFonts w:hint="eastAsia" w:ascii="Times New Roman" w:hAnsi="Times New Roman"/>
                    </w:rPr>
                    <w:t>96</w:t>
                  </w:r>
                </w:p>
              </w:tc>
              <w:tc>
                <w:tcPr>
                  <w:tcW w:w="334" w:type="pct"/>
                  <w:vMerge w:val="continue"/>
                  <w:shd w:val="clear" w:color="auto" w:fill="auto"/>
                  <w:vAlign w:val="center"/>
                </w:tcPr>
                <w:p w14:paraId="71650C79">
                  <w:pPr>
                    <w:pStyle w:val="69"/>
                    <w:spacing w:line="260" w:lineRule="exact"/>
                    <w:rPr>
                      <w:rFonts w:ascii="Times New Roman" w:hAnsi="Times New Roman"/>
                    </w:rPr>
                  </w:pPr>
                </w:p>
              </w:tc>
              <w:tc>
                <w:tcPr>
                  <w:tcW w:w="262" w:type="pct"/>
                  <w:vMerge w:val="continue"/>
                  <w:shd w:val="clear" w:color="auto" w:fill="auto"/>
                  <w:vAlign w:val="center"/>
                </w:tcPr>
                <w:p w14:paraId="032806EF">
                  <w:pPr>
                    <w:spacing w:line="260" w:lineRule="exact"/>
                    <w:jc w:val="center"/>
                    <w:rPr>
                      <w:szCs w:val="21"/>
                    </w:rPr>
                  </w:pPr>
                </w:p>
              </w:tc>
              <w:tc>
                <w:tcPr>
                  <w:tcW w:w="245" w:type="pct"/>
                  <w:vMerge w:val="continue"/>
                  <w:shd w:val="clear" w:color="auto" w:fill="auto"/>
                  <w:vAlign w:val="center"/>
                </w:tcPr>
                <w:p w14:paraId="62B922BD">
                  <w:pPr>
                    <w:spacing w:line="260" w:lineRule="exact"/>
                    <w:jc w:val="center"/>
                    <w:rPr>
                      <w:szCs w:val="21"/>
                    </w:rPr>
                  </w:pPr>
                </w:p>
              </w:tc>
              <w:tc>
                <w:tcPr>
                  <w:tcW w:w="335" w:type="pct"/>
                  <w:vMerge w:val="continue"/>
                  <w:shd w:val="clear" w:color="auto" w:fill="auto"/>
                  <w:vAlign w:val="center"/>
                </w:tcPr>
                <w:p w14:paraId="33816A71">
                  <w:pPr>
                    <w:pStyle w:val="69"/>
                    <w:spacing w:line="260" w:lineRule="exact"/>
                    <w:rPr>
                      <w:rFonts w:ascii="Times New Roman" w:hAnsi="Times New Roman"/>
                    </w:rPr>
                  </w:pPr>
                </w:p>
              </w:tc>
              <w:tc>
                <w:tcPr>
                  <w:tcW w:w="262" w:type="pct"/>
                  <w:vMerge w:val="continue"/>
                  <w:shd w:val="clear" w:color="auto" w:fill="auto"/>
                  <w:vAlign w:val="center"/>
                </w:tcPr>
                <w:p w14:paraId="282E390C">
                  <w:pPr>
                    <w:pStyle w:val="69"/>
                    <w:spacing w:line="260" w:lineRule="exact"/>
                    <w:rPr>
                      <w:rFonts w:ascii="Times New Roman" w:hAnsi="Times New Roman"/>
                    </w:rPr>
                  </w:pPr>
                </w:p>
              </w:tc>
              <w:tc>
                <w:tcPr>
                  <w:tcW w:w="178" w:type="pct"/>
                  <w:vMerge w:val="continue"/>
                  <w:shd w:val="clear" w:color="auto" w:fill="auto"/>
                  <w:vAlign w:val="center"/>
                </w:tcPr>
                <w:p w14:paraId="11BBECC1">
                  <w:pPr>
                    <w:pStyle w:val="69"/>
                    <w:spacing w:line="260" w:lineRule="exact"/>
                    <w:rPr>
                      <w:rFonts w:ascii="Times New Roman" w:hAnsi="Times New Roman"/>
                    </w:rPr>
                  </w:pPr>
                </w:p>
              </w:tc>
              <w:tc>
                <w:tcPr>
                  <w:tcW w:w="239" w:type="pct"/>
                  <w:vMerge w:val="continue"/>
                  <w:shd w:val="clear" w:color="auto" w:fill="auto"/>
                  <w:vAlign w:val="center"/>
                </w:tcPr>
                <w:p w14:paraId="590616A8">
                  <w:pPr>
                    <w:pStyle w:val="69"/>
                    <w:spacing w:line="260" w:lineRule="exact"/>
                    <w:rPr>
                      <w:rFonts w:ascii="Times New Roman" w:hAnsi="Times New Roman"/>
                    </w:rPr>
                  </w:pPr>
                </w:p>
              </w:tc>
              <w:tc>
                <w:tcPr>
                  <w:tcW w:w="300" w:type="pct"/>
                  <w:vMerge w:val="continue"/>
                  <w:shd w:val="clear" w:color="auto" w:fill="auto"/>
                  <w:vAlign w:val="center"/>
                </w:tcPr>
                <w:p w14:paraId="1040EC5A">
                  <w:pPr>
                    <w:pStyle w:val="69"/>
                    <w:spacing w:line="260" w:lineRule="exact"/>
                    <w:rPr>
                      <w:rFonts w:ascii="Times New Roman" w:hAnsi="Times New Roman"/>
                    </w:rPr>
                  </w:pPr>
                </w:p>
              </w:tc>
            </w:tr>
            <w:tr w14:paraId="3862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vMerge w:val="restart"/>
                  <w:shd w:val="clear" w:color="auto" w:fill="auto"/>
                  <w:vAlign w:val="center"/>
                </w:tcPr>
                <w:p w14:paraId="50E7FC43">
                  <w:pPr>
                    <w:pStyle w:val="69"/>
                    <w:spacing w:line="260" w:lineRule="exact"/>
                    <w:rPr>
                      <w:rFonts w:ascii="Times New Roman" w:hAnsi="Times New Roman"/>
                    </w:rPr>
                  </w:pPr>
                  <w:r>
                    <w:rPr>
                      <w:rFonts w:hint="eastAsia" w:ascii="Times New Roman" w:hAnsi="Times New Roman"/>
                    </w:rPr>
                    <w:t>熔化工序</w:t>
                  </w:r>
                </w:p>
              </w:tc>
              <w:tc>
                <w:tcPr>
                  <w:tcW w:w="219" w:type="pct"/>
                  <w:vMerge w:val="restart"/>
                  <w:shd w:val="clear" w:color="auto" w:fill="auto"/>
                  <w:vAlign w:val="center"/>
                </w:tcPr>
                <w:p w14:paraId="1011AF66">
                  <w:pPr>
                    <w:pStyle w:val="69"/>
                    <w:spacing w:line="260" w:lineRule="exact"/>
                    <w:rPr>
                      <w:rFonts w:ascii="Times New Roman" w:hAnsi="Times New Roman"/>
                    </w:rPr>
                  </w:pPr>
                  <w:r>
                    <w:rPr>
                      <w:rFonts w:ascii="Times New Roman" w:hAnsi="Times New Roman"/>
                    </w:rPr>
                    <w:t>熔化炉废气</w:t>
                  </w:r>
                </w:p>
              </w:tc>
              <w:tc>
                <w:tcPr>
                  <w:tcW w:w="309" w:type="pct"/>
                  <w:shd w:val="clear" w:color="auto" w:fill="auto"/>
                  <w:vAlign w:val="center"/>
                </w:tcPr>
                <w:p w14:paraId="308B0E11">
                  <w:pPr>
                    <w:pStyle w:val="69"/>
                    <w:spacing w:line="260" w:lineRule="exact"/>
                    <w:rPr>
                      <w:rFonts w:ascii="Times New Roman" w:hAnsi="Times New Roman"/>
                    </w:rPr>
                  </w:pPr>
                  <w:r>
                    <w:rPr>
                      <w:rFonts w:ascii="Times New Roman" w:hAnsi="Times New Roman"/>
                    </w:rPr>
                    <w:t>二氧化硫</w:t>
                  </w:r>
                </w:p>
              </w:tc>
              <w:tc>
                <w:tcPr>
                  <w:tcW w:w="302" w:type="pct"/>
                  <w:shd w:val="clear" w:color="auto" w:fill="auto"/>
                  <w:vAlign w:val="center"/>
                </w:tcPr>
                <w:p w14:paraId="2DE8F606">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0C8DCB31">
                  <w:pPr>
                    <w:widowControl/>
                    <w:jc w:val="center"/>
                    <w:rPr>
                      <w:rFonts w:eastAsia="等线"/>
                      <w:kern w:val="0"/>
                      <w:szCs w:val="22"/>
                    </w:rPr>
                  </w:pPr>
                  <w:r>
                    <w:rPr>
                      <w:rFonts w:eastAsia="等线"/>
                      <w:szCs w:val="22"/>
                    </w:rPr>
                    <w:t xml:space="preserve">0.012 </w:t>
                  </w:r>
                </w:p>
              </w:tc>
              <w:tc>
                <w:tcPr>
                  <w:tcW w:w="288" w:type="pct"/>
                  <w:shd w:val="clear" w:color="auto" w:fill="auto"/>
                  <w:vAlign w:val="center"/>
                </w:tcPr>
                <w:p w14:paraId="0C699789">
                  <w:pPr>
                    <w:jc w:val="center"/>
                    <w:rPr>
                      <w:rFonts w:eastAsia="等线"/>
                      <w:szCs w:val="22"/>
                    </w:rPr>
                  </w:pPr>
                  <w:r>
                    <w:rPr>
                      <w:rFonts w:eastAsia="等线"/>
                      <w:szCs w:val="22"/>
                    </w:rPr>
                    <w:t xml:space="preserve">0.008 </w:t>
                  </w:r>
                </w:p>
              </w:tc>
              <w:tc>
                <w:tcPr>
                  <w:tcW w:w="217" w:type="pct"/>
                  <w:vMerge w:val="restart"/>
                  <w:shd w:val="clear" w:color="auto" w:fill="auto"/>
                  <w:vAlign w:val="center"/>
                </w:tcPr>
                <w:p w14:paraId="0ABDE397">
                  <w:pPr>
                    <w:pStyle w:val="69"/>
                    <w:spacing w:line="260" w:lineRule="exact"/>
                  </w:pPr>
                  <w:r>
                    <w:t>无组织</w:t>
                  </w:r>
                </w:p>
              </w:tc>
              <w:tc>
                <w:tcPr>
                  <w:tcW w:w="240" w:type="pct"/>
                  <w:shd w:val="clear" w:color="auto" w:fill="auto"/>
                  <w:vAlign w:val="center"/>
                </w:tcPr>
                <w:p w14:paraId="04CF2A19">
                  <w:pPr>
                    <w:pStyle w:val="69"/>
                    <w:spacing w:line="260" w:lineRule="exact"/>
                    <w:rPr>
                      <w:rFonts w:ascii="Times New Roman" w:hAnsi="Times New Roman" w:eastAsia="等线"/>
                    </w:rPr>
                  </w:pPr>
                  <w:r>
                    <w:rPr>
                      <w:rFonts w:ascii="Times New Roman" w:hAnsi="Times New Roman" w:eastAsia="等线"/>
                    </w:rPr>
                    <w:t>/</w:t>
                  </w:r>
                </w:p>
              </w:tc>
              <w:tc>
                <w:tcPr>
                  <w:tcW w:w="229" w:type="pct"/>
                  <w:shd w:val="clear" w:color="auto" w:fill="auto"/>
                  <w:vAlign w:val="center"/>
                </w:tcPr>
                <w:p w14:paraId="67CF34BE">
                  <w:pPr>
                    <w:pStyle w:val="69"/>
                    <w:spacing w:line="260" w:lineRule="exact"/>
                    <w:rPr>
                      <w:rFonts w:ascii="Times New Roman" w:hAnsi="Times New Roman" w:eastAsia="等线"/>
                    </w:rPr>
                  </w:pPr>
                  <w:r>
                    <w:rPr>
                      <w:rFonts w:ascii="Times New Roman" w:hAnsi="Times New Roman" w:eastAsia="等线"/>
                    </w:rPr>
                    <w:t>/</w:t>
                  </w:r>
                </w:p>
              </w:tc>
              <w:tc>
                <w:tcPr>
                  <w:tcW w:w="305" w:type="pct"/>
                  <w:shd w:val="clear" w:color="auto" w:fill="auto"/>
                  <w:vAlign w:val="center"/>
                </w:tcPr>
                <w:p w14:paraId="07252022">
                  <w:pPr>
                    <w:pStyle w:val="69"/>
                    <w:spacing w:line="260" w:lineRule="exact"/>
                    <w:rPr>
                      <w:rFonts w:ascii="Times New Roman" w:hAnsi="Times New Roman" w:eastAsia="等线"/>
                    </w:rPr>
                  </w:pPr>
                  <w:r>
                    <w:rPr>
                      <w:rFonts w:ascii="Times New Roman" w:hAnsi="Times New Roman" w:eastAsia="等线"/>
                    </w:rPr>
                    <w:t>/</w:t>
                  </w:r>
                </w:p>
              </w:tc>
              <w:tc>
                <w:tcPr>
                  <w:tcW w:w="241" w:type="pct"/>
                  <w:shd w:val="clear" w:color="auto" w:fill="auto"/>
                  <w:vAlign w:val="center"/>
                </w:tcPr>
                <w:p w14:paraId="664B0AC4">
                  <w:pPr>
                    <w:pStyle w:val="69"/>
                    <w:spacing w:line="260" w:lineRule="exact"/>
                    <w:rPr>
                      <w:rFonts w:ascii="Times New Roman" w:hAnsi="Times New Roman" w:eastAsia="等线"/>
                    </w:rPr>
                  </w:pPr>
                  <w:r>
                    <w:rPr>
                      <w:rFonts w:ascii="Times New Roman" w:hAnsi="Times New Roman" w:eastAsia="等线"/>
                    </w:rPr>
                    <w:t>/</w:t>
                  </w:r>
                </w:p>
              </w:tc>
              <w:tc>
                <w:tcPr>
                  <w:tcW w:w="334" w:type="pct"/>
                  <w:shd w:val="clear" w:color="auto" w:fill="auto"/>
                  <w:vAlign w:val="center"/>
                </w:tcPr>
                <w:p w14:paraId="10866A17">
                  <w:pPr>
                    <w:pStyle w:val="69"/>
                    <w:spacing w:line="260" w:lineRule="exact"/>
                    <w:rPr>
                      <w:rFonts w:ascii="Times New Roman" w:hAnsi="Times New Roman" w:eastAsia="等线"/>
                    </w:rPr>
                  </w:pPr>
                  <w:r>
                    <w:rPr>
                      <w:rFonts w:ascii="Times New Roman" w:hAnsi="Times New Roman" w:eastAsia="等线"/>
                    </w:rPr>
                    <w:t>/</w:t>
                  </w:r>
                </w:p>
              </w:tc>
              <w:tc>
                <w:tcPr>
                  <w:tcW w:w="262" w:type="pct"/>
                  <w:shd w:val="clear" w:color="auto" w:fill="auto"/>
                  <w:vAlign w:val="center"/>
                </w:tcPr>
                <w:p w14:paraId="666B2F8B">
                  <w:pPr>
                    <w:pStyle w:val="69"/>
                    <w:spacing w:line="260" w:lineRule="exact"/>
                    <w:rPr>
                      <w:rFonts w:ascii="Times New Roman" w:hAnsi="Times New Roman" w:eastAsia="等线"/>
                    </w:rPr>
                  </w:pPr>
                  <w:r>
                    <w:rPr>
                      <w:rFonts w:ascii="Times New Roman" w:hAnsi="Times New Roman" w:eastAsia="等线"/>
                    </w:rPr>
                    <w:t>/</w:t>
                  </w:r>
                </w:p>
              </w:tc>
              <w:tc>
                <w:tcPr>
                  <w:tcW w:w="245" w:type="pct"/>
                  <w:shd w:val="clear" w:color="auto" w:fill="auto"/>
                  <w:vAlign w:val="center"/>
                </w:tcPr>
                <w:p w14:paraId="6FF6EA02">
                  <w:pPr>
                    <w:widowControl/>
                    <w:jc w:val="center"/>
                    <w:rPr>
                      <w:rFonts w:eastAsia="等线"/>
                      <w:kern w:val="0"/>
                      <w:szCs w:val="22"/>
                    </w:rPr>
                  </w:pPr>
                  <w:r>
                    <w:rPr>
                      <w:rFonts w:eastAsia="等线"/>
                      <w:szCs w:val="22"/>
                    </w:rPr>
                    <w:t xml:space="preserve">0.012 </w:t>
                  </w:r>
                </w:p>
              </w:tc>
              <w:tc>
                <w:tcPr>
                  <w:tcW w:w="335" w:type="pct"/>
                  <w:shd w:val="clear" w:color="auto" w:fill="auto"/>
                  <w:vAlign w:val="center"/>
                </w:tcPr>
                <w:p w14:paraId="784066B7">
                  <w:pPr>
                    <w:jc w:val="center"/>
                    <w:rPr>
                      <w:rFonts w:eastAsia="等线"/>
                      <w:szCs w:val="22"/>
                    </w:rPr>
                  </w:pPr>
                  <w:r>
                    <w:rPr>
                      <w:rFonts w:eastAsia="等线"/>
                      <w:szCs w:val="22"/>
                    </w:rPr>
                    <w:t xml:space="preserve">0.008 </w:t>
                  </w:r>
                </w:p>
              </w:tc>
              <w:tc>
                <w:tcPr>
                  <w:tcW w:w="262" w:type="pct"/>
                  <w:shd w:val="clear" w:color="auto" w:fill="auto"/>
                  <w:vAlign w:val="center"/>
                </w:tcPr>
                <w:p w14:paraId="3EA04EFA">
                  <w:pPr>
                    <w:pStyle w:val="69"/>
                    <w:spacing w:line="260" w:lineRule="exact"/>
                    <w:rPr>
                      <w:rFonts w:ascii="Times New Roman" w:hAnsi="Times New Roman" w:eastAsia="等线"/>
                    </w:rPr>
                  </w:pPr>
                  <w:r>
                    <w:rPr>
                      <w:rFonts w:ascii="Times New Roman" w:hAnsi="Times New Roman" w:eastAsia="等线"/>
                    </w:rPr>
                    <w:t>0.40</w:t>
                  </w:r>
                </w:p>
              </w:tc>
              <w:tc>
                <w:tcPr>
                  <w:tcW w:w="178" w:type="pct"/>
                  <w:shd w:val="clear" w:color="auto" w:fill="auto"/>
                  <w:vAlign w:val="center"/>
                </w:tcPr>
                <w:p w14:paraId="14DEE16F">
                  <w:pPr>
                    <w:pStyle w:val="69"/>
                    <w:spacing w:line="260" w:lineRule="exact"/>
                    <w:rPr>
                      <w:rFonts w:ascii="Times New Roman" w:hAnsi="Times New Roman"/>
                    </w:rPr>
                  </w:pPr>
                  <w:r>
                    <w:rPr>
                      <w:rFonts w:hint="eastAsia" w:ascii="Times New Roman" w:hAnsi="Times New Roman"/>
                    </w:rPr>
                    <w:t>/</w:t>
                  </w:r>
                </w:p>
              </w:tc>
              <w:tc>
                <w:tcPr>
                  <w:tcW w:w="239" w:type="pct"/>
                  <w:vMerge w:val="restart"/>
                  <w:shd w:val="clear" w:color="auto" w:fill="auto"/>
                  <w:vAlign w:val="center"/>
                </w:tcPr>
                <w:p w14:paraId="119AB41D">
                  <w:pPr>
                    <w:pStyle w:val="69"/>
                    <w:spacing w:line="260" w:lineRule="exact"/>
                    <w:rPr>
                      <w:rFonts w:ascii="Times New Roman" w:hAnsi="Times New Roman"/>
                    </w:rPr>
                  </w:pPr>
                  <w:r>
                    <w:rPr>
                      <w:rFonts w:ascii="Times New Roman" w:hAnsi="Times New Roman"/>
                    </w:rPr>
                    <w:t>667</w:t>
                  </w:r>
                </w:p>
              </w:tc>
              <w:tc>
                <w:tcPr>
                  <w:tcW w:w="300" w:type="pct"/>
                  <w:vMerge w:val="restart"/>
                  <w:shd w:val="clear" w:color="auto" w:fill="auto"/>
                  <w:vAlign w:val="center"/>
                </w:tcPr>
                <w:p w14:paraId="4162E716">
                  <w:pPr>
                    <w:pStyle w:val="69"/>
                    <w:spacing w:line="260" w:lineRule="exact"/>
                    <w:rPr>
                      <w:rFonts w:ascii="Times New Roman" w:hAnsi="Times New Roman"/>
                    </w:rPr>
                  </w:pPr>
                  <w:r>
                    <w:rPr>
                      <w:rFonts w:hint="eastAsia"/>
                    </w:rPr>
                    <w:t>/</w:t>
                  </w:r>
                </w:p>
              </w:tc>
            </w:tr>
            <w:tr w14:paraId="1771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vMerge w:val="continue"/>
                  <w:shd w:val="clear" w:color="auto" w:fill="auto"/>
                  <w:vAlign w:val="center"/>
                </w:tcPr>
                <w:p w14:paraId="327EE710">
                  <w:pPr>
                    <w:pStyle w:val="69"/>
                    <w:spacing w:line="260" w:lineRule="exact"/>
                    <w:rPr>
                      <w:rFonts w:ascii="Times New Roman" w:hAnsi="Times New Roman"/>
                    </w:rPr>
                  </w:pPr>
                </w:p>
              </w:tc>
              <w:tc>
                <w:tcPr>
                  <w:tcW w:w="219" w:type="pct"/>
                  <w:vMerge w:val="continue"/>
                  <w:shd w:val="clear" w:color="auto" w:fill="auto"/>
                  <w:vAlign w:val="center"/>
                </w:tcPr>
                <w:p w14:paraId="0DF46839">
                  <w:pPr>
                    <w:pStyle w:val="69"/>
                    <w:spacing w:line="260" w:lineRule="exact"/>
                    <w:rPr>
                      <w:rFonts w:ascii="Times New Roman" w:hAnsi="Times New Roman"/>
                    </w:rPr>
                  </w:pPr>
                </w:p>
              </w:tc>
              <w:tc>
                <w:tcPr>
                  <w:tcW w:w="309" w:type="pct"/>
                  <w:shd w:val="clear" w:color="auto" w:fill="auto"/>
                  <w:vAlign w:val="center"/>
                </w:tcPr>
                <w:p w14:paraId="538C4437">
                  <w:pPr>
                    <w:pStyle w:val="69"/>
                    <w:spacing w:line="260" w:lineRule="exact"/>
                    <w:rPr>
                      <w:rFonts w:ascii="Times New Roman" w:hAnsi="Times New Roman"/>
                    </w:rPr>
                  </w:pPr>
                  <w:r>
                    <w:rPr>
                      <w:rFonts w:ascii="Times New Roman" w:hAnsi="Times New Roman"/>
                    </w:rPr>
                    <w:t>氮氧化物</w:t>
                  </w:r>
                </w:p>
              </w:tc>
              <w:tc>
                <w:tcPr>
                  <w:tcW w:w="302" w:type="pct"/>
                  <w:shd w:val="clear" w:color="auto" w:fill="auto"/>
                  <w:vAlign w:val="center"/>
                </w:tcPr>
                <w:p w14:paraId="77D08C2D">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17CA939A">
                  <w:pPr>
                    <w:jc w:val="center"/>
                    <w:rPr>
                      <w:rFonts w:eastAsia="等线"/>
                      <w:szCs w:val="22"/>
                    </w:rPr>
                  </w:pPr>
                  <w:r>
                    <w:rPr>
                      <w:rFonts w:eastAsia="等线"/>
                      <w:szCs w:val="22"/>
                    </w:rPr>
                    <w:t xml:space="preserve">0.112 </w:t>
                  </w:r>
                </w:p>
              </w:tc>
              <w:tc>
                <w:tcPr>
                  <w:tcW w:w="288" w:type="pct"/>
                  <w:shd w:val="clear" w:color="auto" w:fill="auto"/>
                  <w:vAlign w:val="center"/>
                </w:tcPr>
                <w:p w14:paraId="45705D55">
                  <w:pPr>
                    <w:jc w:val="center"/>
                    <w:rPr>
                      <w:rFonts w:eastAsia="等线"/>
                      <w:szCs w:val="22"/>
                    </w:rPr>
                  </w:pPr>
                  <w:r>
                    <w:rPr>
                      <w:rFonts w:eastAsia="等线"/>
                      <w:szCs w:val="22"/>
                    </w:rPr>
                    <w:t xml:space="preserve">0.075 </w:t>
                  </w:r>
                </w:p>
              </w:tc>
              <w:tc>
                <w:tcPr>
                  <w:tcW w:w="217" w:type="pct"/>
                  <w:vMerge w:val="continue"/>
                  <w:shd w:val="clear" w:color="auto" w:fill="auto"/>
                  <w:vAlign w:val="center"/>
                </w:tcPr>
                <w:p w14:paraId="41F1984F">
                  <w:pPr>
                    <w:pStyle w:val="69"/>
                    <w:widowControl/>
                    <w:spacing w:line="260" w:lineRule="exact"/>
                    <w:rPr>
                      <w:rFonts w:ascii="Times New Roman" w:hAnsi="Times New Roman" w:eastAsia="等线"/>
                    </w:rPr>
                  </w:pPr>
                </w:p>
              </w:tc>
              <w:tc>
                <w:tcPr>
                  <w:tcW w:w="240" w:type="pct"/>
                  <w:shd w:val="clear" w:color="auto" w:fill="auto"/>
                  <w:vAlign w:val="center"/>
                </w:tcPr>
                <w:p w14:paraId="59A397CB">
                  <w:pPr>
                    <w:pStyle w:val="69"/>
                    <w:widowControl/>
                    <w:spacing w:line="260" w:lineRule="exact"/>
                    <w:rPr>
                      <w:rFonts w:ascii="Times New Roman" w:hAnsi="Times New Roman" w:eastAsia="等线"/>
                    </w:rPr>
                  </w:pPr>
                  <w:r>
                    <w:rPr>
                      <w:rFonts w:ascii="Times New Roman" w:hAnsi="Times New Roman" w:eastAsia="等线"/>
                    </w:rPr>
                    <w:t>/</w:t>
                  </w:r>
                </w:p>
              </w:tc>
              <w:tc>
                <w:tcPr>
                  <w:tcW w:w="229" w:type="pct"/>
                  <w:shd w:val="clear" w:color="auto" w:fill="auto"/>
                  <w:vAlign w:val="center"/>
                </w:tcPr>
                <w:p w14:paraId="35A5A5E5">
                  <w:pPr>
                    <w:pStyle w:val="69"/>
                    <w:widowControl/>
                    <w:spacing w:line="260" w:lineRule="exact"/>
                    <w:rPr>
                      <w:rFonts w:ascii="Times New Roman" w:hAnsi="Times New Roman" w:eastAsia="等线"/>
                    </w:rPr>
                  </w:pPr>
                  <w:r>
                    <w:rPr>
                      <w:rFonts w:ascii="Times New Roman" w:hAnsi="Times New Roman" w:eastAsia="等线"/>
                    </w:rPr>
                    <w:t>/</w:t>
                  </w:r>
                </w:p>
              </w:tc>
              <w:tc>
                <w:tcPr>
                  <w:tcW w:w="305" w:type="pct"/>
                  <w:shd w:val="clear" w:color="auto" w:fill="auto"/>
                  <w:vAlign w:val="center"/>
                </w:tcPr>
                <w:p w14:paraId="5E879BBF">
                  <w:pPr>
                    <w:pStyle w:val="69"/>
                    <w:widowControl/>
                    <w:spacing w:line="260" w:lineRule="exact"/>
                    <w:rPr>
                      <w:rFonts w:ascii="Times New Roman" w:hAnsi="Times New Roman" w:eastAsia="等线"/>
                    </w:rPr>
                  </w:pPr>
                  <w:r>
                    <w:rPr>
                      <w:rFonts w:ascii="Times New Roman" w:hAnsi="Times New Roman" w:eastAsia="等线"/>
                    </w:rPr>
                    <w:t>/</w:t>
                  </w:r>
                </w:p>
              </w:tc>
              <w:tc>
                <w:tcPr>
                  <w:tcW w:w="241" w:type="pct"/>
                  <w:shd w:val="clear" w:color="auto" w:fill="auto"/>
                  <w:vAlign w:val="center"/>
                </w:tcPr>
                <w:p w14:paraId="29AA9744">
                  <w:pPr>
                    <w:pStyle w:val="69"/>
                    <w:widowControl/>
                    <w:spacing w:line="260" w:lineRule="exact"/>
                    <w:rPr>
                      <w:rFonts w:ascii="Times New Roman" w:hAnsi="Times New Roman" w:eastAsia="等线"/>
                    </w:rPr>
                  </w:pPr>
                  <w:r>
                    <w:rPr>
                      <w:rFonts w:ascii="Times New Roman" w:hAnsi="Times New Roman" w:eastAsia="等线"/>
                    </w:rPr>
                    <w:t>/</w:t>
                  </w:r>
                </w:p>
              </w:tc>
              <w:tc>
                <w:tcPr>
                  <w:tcW w:w="334" w:type="pct"/>
                  <w:shd w:val="clear" w:color="auto" w:fill="auto"/>
                  <w:vAlign w:val="center"/>
                </w:tcPr>
                <w:p w14:paraId="246517AA">
                  <w:pPr>
                    <w:pStyle w:val="69"/>
                    <w:widowControl/>
                    <w:spacing w:line="260" w:lineRule="exact"/>
                    <w:rPr>
                      <w:rFonts w:ascii="Times New Roman" w:hAnsi="Times New Roman" w:eastAsia="等线"/>
                    </w:rPr>
                  </w:pPr>
                  <w:r>
                    <w:rPr>
                      <w:rFonts w:ascii="Times New Roman" w:hAnsi="Times New Roman" w:eastAsia="等线"/>
                    </w:rPr>
                    <w:t>/</w:t>
                  </w:r>
                </w:p>
              </w:tc>
              <w:tc>
                <w:tcPr>
                  <w:tcW w:w="262" w:type="pct"/>
                  <w:shd w:val="clear" w:color="auto" w:fill="auto"/>
                  <w:vAlign w:val="center"/>
                </w:tcPr>
                <w:p w14:paraId="5F6F0088">
                  <w:pPr>
                    <w:pStyle w:val="69"/>
                    <w:widowControl/>
                    <w:spacing w:line="260" w:lineRule="exact"/>
                    <w:rPr>
                      <w:rFonts w:ascii="Times New Roman" w:hAnsi="Times New Roman" w:eastAsia="等线"/>
                    </w:rPr>
                  </w:pPr>
                  <w:r>
                    <w:rPr>
                      <w:rFonts w:ascii="Times New Roman" w:hAnsi="Times New Roman" w:eastAsia="等线"/>
                    </w:rPr>
                    <w:t>/</w:t>
                  </w:r>
                </w:p>
              </w:tc>
              <w:tc>
                <w:tcPr>
                  <w:tcW w:w="245" w:type="pct"/>
                  <w:shd w:val="clear" w:color="auto" w:fill="auto"/>
                  <w:vAlign w:val="center"/>
                </w:tcPr>
                <w:p w14:paraId="50186445">
                  <w:pPr>
                    <w:jc w:val="center"/>
                    <w:rPr>
                      <w:rFonts w:eastAsia="等线"/>
                      <w:szCs w:val="22"/>
                    </w:rPr>
                  </w:pPr>
                  <w:r>
                    <w:rPr>
                      <w:rFonts w:eastAsia="等线"/>
                      <w:szCs w:val="22"/>
                    </w:rPr>
                    <w:t xml:space="preserve">0.112 </w:t>
                  </w:r>
                </w:p>
              </w:tc>
              <w:tc>
                <w:tcPr>
                  <w:tcW w:w="335" w:type="pct"/>
                  <w:shd w:val="clear" w:color="auto" w:fill="auto"/>
                  <w:vAlign w:val="center"/>
                </w:tcPr>
                <w:p w14:paraId="68E68EF4">
                  <w:pPr>
                    <w:jc w:val="center"/>
                    <w:rPr>
                      <w:rFonts w:eastAsia="等线"/>
                      <w:szCs w:val="22"/>
                    </w:rPr>
                  </w:pPr>
                  <w:r>
                    <w:rPr>
                      <w:rFonts w:eastAsia="等线"/>
                      <w:szCs w:val="22"/>
                    </w:rPr>
                    <w:t xml:space="preserve">0.075 </w:t>
                  </w:r>
                </w:p>
              </w:tc>
              <w:tc>
                <w:tcPr>
                  <w:tcW w:w="262" w:type="pct"/>
                  <w:shd w:val="clear" w:color="auto" w:fill="auto"/>
                  <w:vAlign w:val="center"/>
                </w:tcPr>
                <w:p w14:paraId="16C6AC23">
                  <w:pPr>
                    <w:pStyle w:val="69"/>
                    <w:widowControl/>
                    <w:spacing w:line="260" w:lineRule="exact"/>
                    <w:rPr>
                      <w:rFonts w:ascii="Times New Roman" w:hAnsi="Times New Roman" w:eastAsia="等线"/>
                    </w:rPr>
                  </w:pPr>
                  <w:r>
                    <w:rPr>
                      <w:rFonts w:hint="eastAsia" w:ascii="Times New Roman" w:hAnsi="Times New Roman" w:eastAsia="等线"/>
                    </w:rPr>
                    <w:t>0</w:t>
                  </w:r>
                  <w:r>
                    <w:rPr>
                      <w:rFonts w:ascii="Times New Roman" w:hAnsi="Times New Roman" w:eastAsia="等线"/>
                    </w:rPr>
                    <w:t>.12</w:t>
                  </w:r>
                </w:p>
              </w:tc>
              <w:tc>
                <w:tcPr>
                  <w:tcW w:w="178" w:type="pct"/>
                  <w:shd w:val="clear" w:color="auto" w:fill="auto"/>
                  <w:vAlign w:val="center"/>
                </w:tcPr>
                <w:p w14:paraId="1876503D">
                  <w:pPr>
                    <w:pStyle w:val="69"/>
                    <w:spacing w:line="260" w:lineRule="exact"/>
                    <w:rPr>
                      <w:rFonts w:ascii="Times New Roman" w:hAnsi="Times New Roman"/>
                    </w:rPr>
                  </w:pPr>
                  <w:r>
                    <w:rPr>
                      <w:rFonts w:hint="eastAsia" w:ascii="Times New Roman" w:hAnsi="Times New Roman"/>
                    </w:rPr>
                    <w:t>/</w:t>
                  </w:r>
                </w:p>
              </w:tc>
              <w:tc>
                <w:tcPr>
                  <w:tcW w:w="239" w:type="pct"/>
                  <w:vMerge w:val="continue"/>
                  <w:shd w:val="clear" w:color="auto" w:fill="auto"/>
                  <w:vAlign w:val="center"/>
                </w:tcPr>
                <w:p w14:paraId="68980767">
                  <w:pPr>
                    <w:pStyle w:val="69"/>
                    <w:spacing w:line="260" w:lineRule="exact"/>
                    <w:rPr>
                      <w:rFonts w:ascii="Times New Roman" w:hAnsi="Times New Roman"/>
                    </w:rPr>
                  </w:pPr>
                </w:p>
              </w:tc>
              <w:tc>
                <w:tcPr>
                  <w:tcW w:w="300" w:type="pct"/>
                  <w:vMerge w:val="continue"/>
                  <w:shd w:val="clear" w:color="auto" w:fill="auto"/>
                  <w:vAlign w:val="center"/>
                </w:tcPr>
                <w:p w14:paraId="56F84FD2">
                  <w:pPr>
                    <w:pStyle w:val="69"/>
                    <w:spacing w:line="260" w:lineRule="exact"/>
                    <w:rPr>
                      <w:rFonts w:ascii="Times New Roman" w:hAnsi="Times New Roman"/>
                    </w:rPr>
                  </w:pPr>
                </w:p>
              </w:tc>
            </w:tr>
            <w:tr w14:paraId="116C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vMerge w:val="continue"/>
                  <w:shd w:val="clear" w:color="auto" w:fill="auto"/>
                  <w:vAlign w:val="center"/>
                </w:tcPr>
                <w:p w14:paraId="5DE9B9BA">
                  <w:pPr>
                    <w:pStyle w:val="69"/>
                    <w:spacing w:line="260" w:lineRule="exact"/>
                    <w:rPr>
                      <w:rFonts w:ascii="Times New Roman" w:hAnsi="Times New Roman"/>
                    </w:rPr>
                  </w:pPr>
                </w:p>
              </w:tc>
              <w:tc>
                <w:tcPr>
                  <w:tcW w:w="219" w:type="pct"/>
                  <w:vMerge w:val="continue"/>
                  <w:shd w:val="clear" w:color="auto" w:fill="auto"/>
                  <w:vAlign w:val="center"/>
                </w:tcPr>
                <w:p w14:paraId="7C61C871">
                  <w:pPr>
                    <w:pStyle w:val="69"/>
                    <w:spacing w:line="260" w:lineRule="exact"/>
                    <w:rPr>
                      <w:rFonts w:ascii="Times New Roman" w:hAnsi="Times New Roman"/>
                    </w:rPr>
                  </w:pPr>
                </w:p>
              </w:tc>
              <w:tc>
                <w:tcPr>
                  <w:tcW w:w="309" w:type="pct"/>
                  <w:shd w:val="clear" w:color="auto" w:fill="auto"/>
                  <w:vAlign w:val="center"/>
                </w:tcPr>
                <w:p w14:paraId="3446C761">
                  <w:pPr>
                    <w:pStyle w:val="69"/>
                    <w:spacing w:line="260" w:lineRule="exact"/>
                    <w:rPr>
                      <w:rFonts w:ascii="Times New Roman" w:hAnsi="Times New Roman"/>
                    </w:rPr>
                  </w:pPr>
                  <w:r>
                    <w:rPr>
                      <w:rFonts w:ascii="Times New Roman" w:hAnsi="Times New Roman"/>
                    </w:rPr>
                    <w:t>颗粒物</w:t>
                  </w:r>
                </w:p>
              </w:tc>
              <w:tc>
                <w:tcPr>
                  <w:tcW w:w="302" w:type="pct"/>
                  <w:shd w:val="clear" w:color="auto" w:fill="auto"/>
                  <w:vAlign w:val="center"/>
                </w:tcPr>
                <w:p w14:paraId="386147E9">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2894C4EE">
                  <w:pPr>
                    <w:jc w:val="center"/>
                    <w:rPr>
                      <w:rFonts w:eastAsia="等线"/>
                      <w:szCs w:val="22"/>
                    </w:rPr>
                  </w:pPr>
                  <w:r>
                    <w:rPr>
                      <w:rFonts w:eastAsia="等线"/>
                      <w:szCs w:val="22"/>
                    </w:rPr>
                    <w:t xml:space="preserve">0.441 </w:t>
                  </w:r>
                </w:p>
              </w:tc>
              <w:tc>
                <w:tcPr>
                  <w:tcW w:w="288" w:type="pct"/>
                  <w:shd w:val="clear" w:color="auto" w:fill="auto"/>
                  <w:vAlign w:val="center"/>
                </w:tcPr>
                <w:p w14:paraId="048C67FA">
                  <w:pPr>
                    <w:jc w:val="center"/>
                    <w:rPr>
                      <w:rFonts w:eastAsia="等线"/>
                      <w:szCs w:val="22"/>
                    </w:rPr>
                  </w:pPr>
                  <w:r>
                    <w:rPr>
                      <w:rFonts w:eastAsia="等线"/>
                      <w:szCs w:val="22"/>
                    </w:rPr>
                    <w:t xml:space="preserve">0.294 </w:t>
                  </w:r>
                </w:p>
              </w:tc>
              <w:tc>
                <w:tcPr>
                  <w:tcW w:w="217" w:type="pct"/>
                  <w:vMerge w:val="continue"/>
                  <w:shd w:val="clear" w:color="auto" w:fill="auto"/>
                  <w:vAlign w:val="center"/>
                </w:tcPr>
                <w:p w14:paraId="6880D048">
                  <w:pPr>
                    <w:pStyle w:val="69"/>
                    <w:widowControl/>
                    <w:spacing w:line="260" w:lineRule="exact"/>
                    <w:rPr>
                      <w:rFonts w:ascii="Times New Roman" w:hAnsi="Times New Roman" w:eastAsia="等线"/>
                    </w:rPr>
                  </w:pPr>
                </w:p>
              </w:tc>
              <w:tc>
                <w:tcPr>
                  <w:tcW w:w="240" w:type="pct"/>
                  <w:shd w:val="clear" w:color="auto" w:fill="auto"/>
                  <w:vAlign w:val="center"/>
                </w:tcPr>
                <w:p w14:paraId="32499D76">
                  <w:pPr>
                    <w:pStyle w:val="69"/>
                    <w:widowControl/>
                    <w:spacing w:line="260" w:lineRule="exact"/>
                    <w:rPr>
                      <w:rFonts w:ascii="Times New Roman" w:hAnsi="Times New Roman" w:eastAsia="等线"/>
                    </w:rPr>
                  </w:pPr>
                  <w:r>
                    <w:rPr>
                      <w:rFonts w:ascii="Times New Roman" w:hAnsi="Times New Roman" w:eastAsia="等线"/>
                    </w:rPr>
                    <w:t>/</w:t>
                  </w:r>
                </w:p>
              </w:tc>
              <w:tc>
                <w:tcPr>
                  <w:tcW w:w="229" w:type="pct"/>
                  <w:shd w:val="clear" w:color="auto" w:fill="auto"/>
                  <w:vAlign w:val="center"/>
                </w:tcPr>
                <w:p w14:paraId="6F51D2D5">
                  <w:pPr>
                    <w:pStyle w:val="69"/>
                    <w:widowControl/>
                    <w:spacing w:line="260" w:lineRule="exact"/>
                    <w:rPr>
                      <w:rFonts w:ascii="Times New Roman" w:hAnsi="Times New Roman" w:eastAsia="等线"/>
                    </w:rPr>
                  </w:pPr>
                  <w:r>
                    <w:rPr>
                      <w:rFonts w:ascii="Times New Roman" w:hAnsi="Times New Roman" w:eastAsia="等线"/>
                    </w:rPr>
                    <w:t>/</w:t>
                  </w:r>
                </w:p>
              </w:tc>
              <w:tc>
                <w:tcPr>
                  <w:tcW w:w="305" w:type="pct"/>
                  <w:shd w:val="clear" w:color="auto" w:fill="auto"/>
                  <w:vAlign w:val="center"/>
                </w:tcPr>
                <w:p w14:paraId="4E1D5B65">
                  <w:pPr>
                    <w:pStyle w:val="69"/>
                    <w:widowControl/>
                    <w:spacing w:line="260" w:lineRule="exact"/>
                    <w:rPr>
                      <w:rFonts w:ascii="Times New Roman" w:hAnsi="Times New Roman" w:eastAsia="等线"/>
                    </w:rPr>
                  </w:pPr>
                  <w:r>
                    <w:rPr>
                      <w:rFonts w:ascii="Times New Roman" w:hAnsi="Times New Roman" w:eastAsia="等线"/>
                    </w:rPr>
                    <w:t>/</w:t>
                  </w:r>
                </w:p>
              </w:tc>
              <w:tc>
                <w:tcPr>
                  <w:tcW w:w="241" w:type="pct"/>
                  <w:shd w:val="clear" w:color="auto" w:fill="auto"/>
                  <w:vAlign w:val="center"/>
                </w:tcPr>
                <w:p w14:paraId="54497AF0">
                  <w:pPr>
                    <w:pStyle w:val="69"/>
                    <w:widowControl/>
                    <w:spacing w:line="260" w:lineRule="exact"/>
                    <w:rPr>
                      <w:rFonts w:ascii="Times New Roman" w:hAnsi="Times New Roman" w:eastAsia="等线"/>
                    </w:rPr>
                  </w:pPr>
                  <w:r>
                    <w:rPr>
                      <w:rFonts w:ascii="Times New Roman" w:hAnsi="Times New Roman" w:eastAsia="等线"/>
                    </w:rPr>
                    <w:t>/</w:t>
                  </w:r>
                </w:p>
              </w:tc>
              <w:tc>
                <w:tcPr>
                  <w:tcW w:w="334" w:type="pct"/>
                  <w:shd w:val="clear" w:color="auto" w:fill="auto"/>
                  <w:vAlign w:val="center"/>
                </w:tcPr>
                <w:p w14:paraId="2FDC2419">
                  <w:pPr>
                    <w:pStyle w:val="69"/>
                    <w:widowControl/>
                    <w:spacing w:line="260" w:lineRule="exact"/>
                    <w:rPr>
                      <w:rFonts w:ascii="Times New Roman" w:hAnsi="Times New Roman" w:eastAsia="等线"/>
                    </w:rPr>
                  </w:pPr>
                  <w:r>
                    <w:rPr>
                      <w:rFonts w:ascii="Times New Roman" w:hAnsi="Times New Roman" w:eastAsia="等线"/>
                    </w:rPr>
                    <w:t>/</w:t>
                  </w:r>
                </w:p>
              </w:tc>
              <w:tc>
                <w:tcPr>
                  <w:tcW w:w="262" w:type="pct"/>
                  <w:shd w:val="clear" w:color="auto" w:fill="auto"/>
                  <w:vAlign w:val="center"/>
                </w:tcPr>
                <w:p w14:paraId="4F96285F">
                  <w:pPr>
                    <w:pStyle w:val="69"/>
                    <w:widowControl/>
                    <w:spacing w:line="260" w:lineRule="exact"/>
                    <w:rPr>
                      <w:rFonts w:ascii="Times New Roman" w:hAnsi="Times New Roman" w:eastAsia="等线"/>
                    </w:rPr>
                  </w:pPr>
                  <w:r>
                    <w:rPr>
                      <w:rFonts w:ascii="Times New Roman" w:hAnsi="Times New Roman" w:eastAsia="等线"/>
                    </w:rPr>
                    <w:t>/</w:t>
                  </w:r>
                </w:p>
              </w:tc>
              <w:tc>
                <w:tcPr>
                  <w:tcW w:w="245" w:type="pct"/>
                  <w:shd w:val="clear" w:color="auto" w:fill="auto"/>
                  <w:vAlign w:val="center"/>
                </w:tcPr>
                <w:p w14:paraId="53BE4670">
                  <w:pPr>
                    <w:jc w:val="center"/>
                    <w:rPr>
                      <w:rFonts w:eastAsia="等线"/>
                      <w:szCs w:val="22"/>
                    </w:rPr>
                  </w:pPr>
                  <w:r>
                    <w:rPr>
                      <w:rFonts w:eastAsia="等线"/>
                      <w:szCs w:val="22"/>
                    </w:rPr>
                    <w:t xml:space="preserve">0.441 </w:t>
                  </w:r>
                </w:p>
              </w:tc>
              <w:tc>
                <w:tcPr>
                  <w:tcW w:w="335" w:type="pct"/>
                  <w:shd w:val="clear" w:color="auto" w:fill="auto"/>
                  <w:vAlign w:val="center"/>
                </w:tcPr>
                <w:p w14:paraId="1901C37A">
                  <w:pPr>
                    <w:jc w:val="center"/>
                    <w:rPr>
                      <w:rFonts w:eastAsia="等线"/>
                      <w:szCs w:val="22"/>
                    </w:rPr>
                  </w:pPr>
                  <w:r>
                    <w:rPr>
                      <w:rFonts w:eastAsia="等线"/>
                      <w:szCs w:val="22"/>
                    </w:rPr>
                    <w:t xml:space="preserve">0.294 </w:t>
                  </w:r>
                </w:p>
              </w:tc>
              <w:tc>
                <w:tcPr>
                  <w:tcW w:w="262" w:type="pct"/>
                  <w:shd w:val="clear" w:color="auto" w:fill="auto"/>
                  <w:vAlign w:val="center"/>
                </w:tcPr>
                <w:p w14:paraId="49BB59B4">
                  <w:pPr>
                    <w:pStyle w:val="69"/>
                    <w:widowControl/>
                    <w:spacing w:line="260" w:lineRule="exact"/>
                    <w:rPr>
                      <w:rFonts w:ascii="Times New Roman" w:hAnsi="Times New Roman" w:eastAsia="等线"/>
                    </w:rPr>
                  </w:pPr>
                  <w:r>
                    <w:rPr>
                      <w:rFonts w:hint="eastAsia" w:ascii="Times New Roman" w:hAnsi="Times New Roman" w:eastAsia="等线"/>
                    </w:rPr>
                    <w:t>1.0</w:t>
                  </w:r>
                </w:p>
              </w:tc>
              <w:tc>
                <w:tcPr>
                  <w:tcW w:w="178" w:type="pct"/>
                  <w:shd w:val="clear" w:color="auto" w:fill="auto"/>
                  <w:vAlign w:val="center"/>
                </w:tcPr>
                <w:p w14:paraId="78F932C2">
                  <w:pPr>
                    <w:pStyle w:val="69"/>
                    <w:spacing w:line="260" w:lineRule="exact"/>
                    <w:rPr>
                      <w:rFonts w:ascii="Times New Roman" w:hAnsi="Times New Roman"/>
                    </w:rPr>
                  </w:pPr>
                  <w:r>
                    <w:rPr>
                      <w:rFonts w:hint="eastAsia" w:ascii="Times New Roman" w:hAnsi="Times New Roman"/>
                    </w:rPr>
                    <w:t>/</w:t>
                  </w:r>
                </w:p>
              </w:tc>
              <w:tc>
                <w:tcPr>
                  <w:tcW w:w="239" w:type="pct"/>
                  <w:vMerge w:val="continue"/>
                  <w:shd w:val="clear" w:color="auto" w:fill="auto"/>
                  <w:vAlign w:val="center"/>
                </w:tcPr>
                <w:p w14:paraId="6196C909">
                  <w:pPr>
                    <w:pStyle w:val="69"/>
                    <w:spacing w:line="260" w:lineRule="exact"/>
                    <w:rPr>
                      <w:rFonts w:ascii="Times New Roman" w:hAnsi="Times New Roman"/>
                    </w:rPr>
                  </w:pPr>
                </w:p>
              </w:tc>
              <w:tc>
                <w:tcPr>
                  <w:tcW w:w="300" w:type="pct"/>
                  <w:vMerge w:val="continue"/>
                  <w:shd w:val="clear" w:color="auto" w:fill="auto"/>
                  <w:vAlign w:val="center"/>
                </w:tcPr>
                <w:p w14:paraId="28B53843">
                  <w:pPr>
                    <w:pStyle w:val="69"/>
                    <w:spacing w:line="260" w:lineRule="exact"/>
                    <w:rPr>
                      <w:rFonts w:ascii="Times New Roman" w:hAnsi="Times New Roman"/>
                    </w:rPr>
                  </w:pPr>
                </w:p>
              </w:tc>
            </w:tr>
            <w:tr w14:paraId="231A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vMerge w:val="continue"/>
                  <w:shd w:val="clear" w:color="auto" w:fill="auto"/>
                  <w:vAlign w:val="center"/>
                </w:tcPr>
                <w:p w14:paraId="35F39FEA">
                  <w:pPr>
                    <w:pStyle w:val="69"/>
                    <w:spacing w:line="260" w:lineRule="exact"/>
                    <w:rPr>
                      <w:rFonts w:ascii="Times New Roman" w:hAnsi="Times New Roman"/>
                    </w:rPr>
                  </w:pPr>
                </w:p>
              </w:tc>
              <w:tc>
                <w:tcPr>
                  <w:tcW w:w="219" w:type="pct"/>
                  <w:vMerge w:val="continue"/>
                  <w:shd w:val="clear" w:color="auto" w:fill="auto"/>
                  <w:vAlign w:val="center"/>
                </w:tcPr>
                <w:p w14:paraId="22F67D83">
                  <w:pPr>
                    <w:pStyle w:val="69"/>
                    <w:spacing w:line="260" w:lineRule="exact"/>
                    <w:rPr>
                      <w:rFonts w:ascii="Times New Roman" w:hAnsi="Times New Roman"/>
                    </w:rPr>
                  </w:pPr>
                </w:p>
              </w:tc>
              <w:tc>
                <w:tcPr>
                  <w:tcW w:w="309" w:type="pct"/>
                  <w:shd w:val="clear" w:color="auto" w:fill="auto"/>
                  <w:vAlign w:val="center"/>
                </w:tcPr>
                <w:p w14:paraId="0CA9BDEB">
                  <w:pPr>
                    <w:pStyle w:val="69"/>
                    <w:spacing w:line="260" w:lineRule="exact"/>
                    <w:rPr>
                      <w:rFonts w:ascii="Times New Roman" w:hAnsi="Times New Roman"/>
                    </w:rPr>
                  </w:pPr>
                  <w:r>
                    <w:rPr>
                      <w:rFonts w:ascii="Times New Roman" w:hAnsi="Times New Roman"/>
                    </w:rPr>
                    <w:t>氯化氢</w:t>
                  </w:r>
                </w:p>
              </w:tc>
              <w:tc>
                <w:tcPr>
                  <w:tcW w:w="302" w:type="pct"/>
                  <w:shd w:val="clear" w:color="auto" w:fill="auto"/>
                  <w:vAlign w:val="center"/>
                </w:tcPr>
                <w:p w14:paraId="34404F09">
                  <w:pPr>
                    <w:pStyle w:val="69"/>
                    <w:spacing w:line="260" w:lineRule="exact"/>
                    <w:rPr>
                      <w:rFonts w:ascii="Times New Roman" w:hAnsi="Times New Roman"/>
                    </w:rPr>
                  </w:pPr>
                  <w:r>
                    <w:rPr>
                      <w:rFonts w:hint="eastAsia" w:ascii="Times New Roman" w:hAnsi="Times New Roman"/>
                    </w:rPr>
                    <w:t>/</w:t>
                  </w:r>
                </w:p>
              </w:tc>
              <w:tc>
                <w:tcPr>
                  <w:tcW w:w="283" w:type="pct"/>
                  <w:shd w:val="clear" w:color="auto" w:fill="auto"/>
                  <w:vAlign w:val="center"/>
                </w:tcPr>
                <w:p w14:paraId="72B8CC33">
                  <w:pPr>
                    <w:jc w:val="center"/>
                    <w:rPr>
                      <w:rFonts w:eastAsia="等线"/>
                      <w:szCs w:val="22"/>
                    </w:rPr>
                  </w:pPr>
                  <w:r>
                    <w:rPr>
                      <w:rFonts w:eastAsia="等线"/>
                      <w:szCs w:val="22"/>
                    </w:rPr>
                    <w:t xml:space="preserve">0.033 </w:t>
                  </w:r>
                </w:p>
              </w:tc>
              <w:tc>
                <w:tcPr>
                  <w:tcW w:w="288" w:type="pct"/>
                  <w:shd w:val="clear" w:color="auto" w:fill="auto"/>
                  <w:vAlign w:val="center"/>
                </w:tcPr>
                <w:p w14:paraId="1CB2B229">
                  <w:pPr>
                    <w:jc w:val="center"/>
                    <w:rPr>
                      <w:rFonts w:eastAsia="等线"/>
                      <w:szCs w:val="22"/>
                    </w:rPr>
                  </w:pPr>
                  <w:r>
                    <w:rPr>
                      <w:rFonts w:eastAsia="等线"/>
                      <w:szCs w:val="22"/>
                    </w:rPr>
                    <w:t xml:space="preserve">0.022 </w:t>
                  </w:r>
                </w:p>
              </w:tc>
              <w:tc>
                <w:tcPr>
                  <w:tcW w:w="217" w:type="pct"/>
                  <w:shd w:val="clear" w:color="auto" w:fill="auto"/>
                  <w:vAlign w:val="center"/>
                </w:tcPr>
                <w:p w14:paraId="24B45B18">
                  <w:pPr>
                    <w:pStyle w:val="69"/>
                    <w:widowControl/>
                    <w:spacing w:line="260" w:lineRule="exact"/>
                    <w:rPr>
                      <w:rFonts w:ascii="Times New Roman" w:hAnsi="Times New Roman" w:eastAsia="等线"/>
                    </w:rPr>
                  </w:pPr>
                </w:p>
              </w:tc>
              <w:tc>
                <w:tcPr>
                  <w:tcW w:w="240" w:type="pct"/>
                  <w:shd w:val="clear" w:color="auto" w:fill="auto"/>
                  <w:vAlign w:val="center"/>
                </w:tcPr>
                <w:p w14:paraId="47F3F0C9">
                  <w:pPr>
                    <w:pStyle w:val="69"/>
                    <w:widowControl/>
                    <w:spacing w:line="260" w:lineRule="exact"/>
                    <w:rPr>
                      <w:rFonts w:ascii="Times New Roman" w:hAnsi="Times New Roman" w:eastAsia="等线"/>
                    </w:rPr>
                  </w:pPr>
                </w:p>
              </w:tc>
              <w:tc>
                <w:tcPr>
                  <w:tcW w:w="229" w:type="pct"/>
                  <w:shd w:val="clear" w:color="auto" w:fill="auto"/>
                  <w:vAlign w:val="center"/>
                </w:tcPr>
                <w:p w14:paraId="6022A6F1">
                  <w:pPr>
                    <w:pStyle w:val="69"/>
                    <w:widowControl/>
                    <w:spacing w:line="260" w:lineRule="exact"/>
                    <w:rPr>
                      <w:rFonts w:ascii="Times New Roman" w:hAnsi="Times New Roman" w:eastAsia="等线"/>
                    </w:rPr>
                  </w:pPr>
                </w:p>
              </w:tc>
              <w:tc>
                <w:tcPr>
                  <w:tcW w:w="305" w:type="pct"/>
                  <w:shd w:val="clear" w:color="auto" w:fill="auto"/>
                  <w:vAlign w:val="center"/>
                </w:tcPr>
                <w:p w14:paraId="3D47503B">
                  <w:pPr>
                    <w:pStyle w:val="69"/>
                    <w:widowControl/>
                    <w:spacing w:line="260" w:lineRule="exact"/>
                    <w:rPr>
                      <w:rFonts w:ascii="Times New Roman" w:hAnsi="Times New Roman" w:eastAsia="等线"/>
                    </w:rPr>
                  </w:pPr>
                </w:p>
              </w:tc>
              <w:tc>
                <w:tcPr>
                  <w:tcW w:w="241" w:type="pct"/>
                  <w:shd w:val="clear" w:color="auto" w:fill="auto"/>
                  <w:vAlign w:val="center"/>
                </w:tcPr>
                <w:p w14:paraId="1EF34F68">
                  <w:pPr>
                    <w:pStyle w:val="69"/>
                    <w:widowControl/>
                    <w:spacing w:line="260" w:lineRule="exact"/>
                    <w:rPr>
                      <w:rFonts w:ascii="Times New Roman" w:hAnsi="Times New Roman" w:eastAsia="等线"/>
                    </w:rPr>
                  </w:pPr>
                </w:p>
              </w:tc>
              <w:tc>
                <w:tcPr>
                  <w:tcW w:w="334" w:type="pct"/>
                  <w:shd w:val="clear" w:color="auto" w:fill="auto"/>
                  <w:vAlign w:val="center"/>
                </w:tcPr>
                <w:p w14:paraId="42FFDB98">
                  <w:pPr>
                    <w:pStyle w:val="69"/>
                    <w:widowControl/>
                    <w:spacing w:line="260" w:lineRule="exact"/>
                    <w:rPr>
                      <w:rFonts w:ascii="Times New Roman" w:hAnsi="Times New Roman" w:eastAsia="等线"/>
                    </w:rPr>
                  </w:pPr>
                </w:p>
              </w:tc>
              <w:tc>
                <w:tcPr>
                  <w:tcW w:w="262" w:type="pct"/>
                  <w:shd w:val="clear" w:color="auto" w:fill="auto"/>
                  <w:vAlign w:val="center"/>
                </w:tcPr>
                <w:p w14:paraId="2D9241BE">
                  <w:pPr>
                    <w:pStyle w:val="69"/>
                    <w:widowControl/>
                    <w:spacing w:line="260" w:lineRule="exact"/>
                    <w:rPr>
                      <w:rFonts w:ascii="Times New Roman" w:hAnsi="Times New Roman" w:eastAsia="等线"/>
                    </w:rPr>
                  </w:pPr>
                </w:p>
              </w:tc>
              <w:tc>
                <w:tcPr>
                  <w:tcW w:w="245" w:type="pct"/>
                  <w:shd w:val="clear" w:color="auto" w:fill="auto"/>
                  <w:vAlign w:val="center"/>
                </w:tcPr>
                <w:p w14:paraId="1C2EB036">
                  <w:pPr>
                    <w:jc w:val="center"/>
                    <w:rPr>
                      <w:rFonts w:eastAsia="等线"/>
                      <w:szCs w:val="22"/>
                    </w:rPr>
                  </w:pPr>
                  <w:r>
                    <w:rPr>
                      <w:rFonts w:eastAsia="等线"/>
                      <w:szCs w:val="22"/>
                    </w:rPr>
                    <w:t xml:space="preserve">0.033 </w:t>
                  </w:r>
                </w:p>
              </w:tc>
              <w:tc>
                <w:tcPr>
                  <w:tcW w:w="335" w:type="pct"/>
                  <w:shd w:val="clear" w:color="auto" w:fill="auto"/>
                  <w:vAlign w:val="center"/>
                </w:tcPr>
                <w:p w14:paraId="6CAC60F2">
                  <w:pPr>
                    <w:jc w:val="center"/>
                    <w:rPr>
                      <w:rFonts w:eastAsia="等线"/>
                      <w:szCs w:val="22"/>
                    </w:rPr>
                  </w:pPr>
                  <w:r>
                    <w:rPr>
                      <w:rFonts w:eastAsia="等线"/>
                      <w:szCs w:val="22"/>
                    </w:rPr>
                    <w:t xml:space="preserve">0.022 </w:t>
                  </w:r>
                </w:p>
              </w:tc>
              <w:tc>
                <w:tcPr>
                  <w:tcW w:w="262" w:type="pct"/>
                  <w:shd w:val="clear" w:color="auto" w:fill="auto"/>
                  <w:vAlign w:val="center"/>
                </w:tcPr>
                <w:p w14:paraId="7A03A351">
                  <w:pPr>
                    <w:pStyle w:val="69"/>
                    <w:widowControl/>
                    <w:spacing w:line="260" w:lineRule="exact"/>
                    <w:rPr>
                      <w:rFonts w:ascii="Times New Roman" w:hAnsi="Times New Roman" w:eastAsia="等线"/>
                    </w:rPr>
                  </w:pPr>
                  <w:r>
                    <w:rPr>
                      <w:rFonts w:ascii="Times New Roman" w:hAnsi="Times New Roman" w:eastAsia="等线"/>
                    </w:rPr>
                    <w:t>0.2</w:t>
                  </w:r>
                </w:p>
              </w:tc>
              <w:tc>
                <w:tcPr>
                  <w:tcW w:w="178" w:type="pct"/>
                  <w:shd w:val="clear" w:color="auto" w:fill="auto"/>
                  <w:vAlign w:val="center"/>
                </w:tcPr>
                <w:p w14:paraId="02CFD81E">
                  <w:pPr>
                    <w:pStyle w:val="69"/>
                    <w:spacing w:line="260" w:lineRule="exact"/>
                    <w:rPr>
                      <w:rFonts w:ascii="Times New Roman" w:hAnsi="Times New Roman"/>
                    </w:rPr>
                  </w:pPr>
                  <w:r>
                    <w:rPr>
                      <w:rFonts w:hint="eastAsia" w:ascii="Times New Roman" w:hAnsi="Times New Roman"/>
                    </w:rPr>
                    <w:t>/</w:t>
                  </w:r>
                </w:p>
              </w:tc>
              <w:tc>
                <w:tcPr>
                  <w:tcW w:w="239" w:type="pct"/>
                  <w:vMerge w:val="continue"/>
                  <w:shd w:val="clear" w:color="auto" w:fill="auto"/>
                  <w:vAlign w:val="center"/>
                </w:tcPr>
                <w:p w14:paraId="3CEBF505">
                  <w:pPr>
                    <w:pStyle w:val="69"/>
                    <w:spacing w:line="260" w:lineRule="exact"/>
                    <w:rPr>
                      <w:rFonts w:ascii="Times New Roman" w:hAnsi="Times New Roman"/>
                    </w:rPr>
                  </w:pPr>
                </w:p>
              </w:tc>
              <w:tc>
                <w:tcPr>
                  <w:tcW w:w="300" w:type="pct"/>
                  <w:vMerge w:val="continue"/>
                  <w:shd w:val="clear" w:color="auto" w:fill="auto"/>
                  <w:vAlign w:val="center"/>
                </w:tcPr>
                <w:p w14:paraId="3D79FEC9">
                  <w:pPr>
                    <w:pStyle w:val="69"/>
                    <w:spacing w:line="260" w:lineRule="exact"/>
                    <w:rPr>
                      <w:rFonts w:ascii="Times New Roman" w:hAnsi="Times New Roman"/>
                    </w:rPr>
                  </w:pPr>
                </w:p>
              </w:tc>
            </w:tr>
            <w:tr w14:paraId="360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shd w:val="clear" w:color="auto" w:fill="auto"/>
                  <w:vAlign w:val="center"/>
                </w:tcPr>
                <w:p w14:paraId="0458D626">
                  <w:pPr>
                    <w:pStyle w:val="69"/>
                    <w:spacing w:line="260" w:lineRule="exact"/>
                    <w:rPr>
                      <w:rFonts w:ascii="Times New Roman" w:hAnsi="Times New Roman"/>
                    </w:rPr>
                  </w:pPr>
                  <w:r>
                    <w:rPr>
                      <w:rFonts w:ascii="Times New Roman" w:hAnsi="Times New Roman"/>
                    </w:rPr>
                    <w:t>压铸工序</w:t>
                  </w:r>
                </w:p>
              </w:tc>
              <w:tc>
                <w:tcPr>
                  <w:tcW w:w="219" w:type="pct"/>
                  <w:shd w:val="clear" w:color="auto" w:fill="auto"/>
                  <w:vAlign w:val="center"/>
                </w:tcPr>
                <w:p w14:paraId="41639E01">
                  <w:pPr>
                    <w:pStyle w:val="69"/>
                    <w:spacing w:line="260" w:lineRule="exact"/>
                    <w:rPr>
                      <w:rFonts w:ascii="Times New Roman" w:hAnsi="Times New Roman"/>
                    </w:rPr>
                  </w:pPr>
                  <w:r>
                    <w:rPr>
                      <w:rFonts w:hint="eastAsia"/>
                    </w:rPr>
                    <w:t>脱模废气</w:t>
                  </w:r>
                </w:p>
              </w:tc>
              <w:tc>
                <w:tcPr>
                  <w:tcW w:w="309" w:type="pct"/>
                  <w:shd w:val="clear" w:color="auto" w:fill="auto"/>
                  <w:vAlign w:val="center"/>
                </w:tcPr>
                <w:p w14:paraId="5D000EFB">
                  <w:pPr>
                    <w:pStyle w:val="69"/>
                    <w:spacing w:line="260" w:lineRule="exact"/>
                    <w:rPr>
                      <w:rFonts w:ascii="Times New Roman" w:hAnsi="Times New Roman"/>
                    </w:rPr>
                  </w:pPr>
                  <w:r>
                    <w:rPr>
                      <w:rFonts w:ascii="Times New Roman" w:hAnsi="Times New Roman"/>
                    </w:rPr>
                    <w:t>非甲烷总烃</w:t>
                  </w:r>
                </w:p>
              </w:tc>
              <w:tc>
                <w:tcPr>
                  <w:tcW w:w="302" w:type="pct"/>
                  <w:shd w:val="clear" w:color="auto" w:fill="auto"/>
                  <w:vAlign w:val="center"/>
                </w:tcPr>
                <w:p w14:paraId="1BF46B55">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0D7DC80D">
                  <w:pPr>
                    <w:widowControl/>
                    <w:jc w:val="center"/>
                    <w:rPr>
                      <w:rFonts w:eastAsia="等线"/>
                      <w:szCs w:val="21"/>
                    </w:rPr>
                  </w:pPr>
                  <w:r>
                    <w:rPr>
                      <w:rFonts w:hint="eastAsia" w:eastAsia="等线"/>
                      <w:szCs w:val="21"/>
                    </w:rPr>
                    <w:t xml:space="preserve">0.023 </w:t>
                  </w:r>
                </w:p>
              </w:tc>
              <w:tc>
                <w:tcPr>
                  <w:tcW w:w="288" w:type="pct"/>
                  <w:shd w:val="clear" w:color="auto" w:fill="auto"/>
                  <w:vAlign w:val="center"/>
                </w:tcPr>
                <w:p w14:paraId="21A7A9E2">
                  <w:pPr>
                    <w:jc w:val="center"/>
                    <w:rPr>
                      <w:rFonts w:eastAsia="等线"/>
                      <w:szCs w:val="21"/>
                    </w:rPr>
                  </w:pPr>
                  <w:r>
                    <w:rPr>
                      <w:rFonts w:hint="eastAsia" w:eastAsia="等线"/>
                      <w:szCs w:val="21"/>
                    </w:rPr>
                    <w:t xml:space="preserve">0.185 </w:t>
                  </w:r>
                </w:p>
              </w:tc>
              <w:tc>
                <w:tcPr>
                  <w:tcW w:w="217" w:type="pct"/>
                  <w:shd w:val="clear" w:color="auto" w:fill="auto"/>
                  <w:vAlign w:val="center"/>
                </w:tcPr>
                <w:p w14:paraId="3F554B07">
                  <w:pPr>
                    <w:pStyle w:val="69"/>
                    <w:spacing w:line="260" w:lineRule="exact"/>
                    <w:rPr>
                      <w:rFonts w:ascii="Times New Roman" w:hAnsi="Times New Roman"/>
                    </w:rPr>
                  </w:pPr>
                  <w:r>
                    <w:rPr>
                      <w:rFonts w:ascii="Times New Roman" w:hAnsi="Times New Roman"/>
                    </w:rPr>
                    <w:t>无组织</w:t>
                  </w:r>
                </w:p>
              </w:tc>
              <w:tc>
                <w:tcPr>
                  <w:tcW w:w="240" w:type="pct"/>
                  <w:shd w:val="clear" w:color="auto" w:fill="auto"/>
                  <w:vAlign w:val="center"/>
                </w:tcPr>
                <w:p w14:paraId="28271175">
                  <w:pPr>
                    <w:pStyle w:val="69"/>
                    <w:spacing w:line="260" w:lineRule="exact"/>
                    <w:rPr>
                      <w:rFonts w:ascii="Times New Roman" w:hAnsi="Times New Roman"/>
                    </w:rPr>
                  </w:pPr>
                  <w:r>
                    <w:rPr>
                      <w:rFonts w:ascii="Times New Roman" w:hAnsi="Times New Roman"/>
                    </w:rPr>
                    <w:t>/</w:t>
                  </w:r>
                </w:p>
              </w:tc>
              <w:tc>
                <w:tcPr>
                  <w:tcW w:w="229" w:type="pct"/>
                  <w:shd w:val="clear" w:color="auto" w:fill="auto"/>
                  <w:vAlign w:val="center"/>
                </w:tcPr>
                <w:p w14:paraId="213775E9">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0CB29591">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1155EB79">
                  <w:pPr>
                    <w:pStyle w:val="69"/>
                    <w:spacing w:line="260" w:lineRule="exact"/>
                    <w:rPr>
                      <w:rFonts w:ascii="Times New Roman" w:hAnsi="Times New Roman"/>
                    </w:rPr>
                  </w:pPr>
                  <w:r>
                    <w:rPr>
                      <w:rFonts w:ascii="Times New Roman" w:hAnsi="Times New Roman"/>
                    </w:rPr>
                    <w:t>/</w:t>
                  </w:r>
                </w:p>
              </w:tc>
              <w:tc>
                <w:tcPr>
                  <w:tcW w:w="334" w:type="pct"/>
                  <w:shd w:val="clear" w:color="auto" w:fill="auto"/>
                  <w:vAlign w:val="center"/>
                </w:tcPr>
                <w:p w14:paraId="25E21CDA">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159CDE9B">
                  <w:pPr>
                    <w:pStyle w:val="69"/>
                    <w:spacing w:line="260" w:lineRule="exact"/>
                    <w:rPr>
                      <w:rFonts w:ascii="Times New Roman" w:hAnsi="Times New Roman"/>
                    </w:rPr>
                  </w:pPr>
                  <w:r>
                    <w:rPr>
                      <w:rFonts w:ascii="Times New Roman" w:hAnsi="Times New Roman"/>
                    </w:rPr>
                    <w:t>/</w:t>
                  </w:r>
                </w:p>
              </w:tc>
              <w:tc>
                <w:tcPr>
                  <w:tcW w:w="245" w:type="pct"/>
                  <w:shd w:val="clear" w:color="auto" w:fill="auto"/>
                  <w:vAlign w:val="center"/>
                </w:tcPr>
                <w:p w14:paraId="66195ECA">
                  <w:pPr>
                    <w:widowControl/>
                    <w:jc w:val="center"/>
                    <w:rPr>
                      <w:rFonts w:eastAsia="等线"/>
                      <w:szCs w:val="21"/>
                    </w:rPr>
                  </w:pPr>
                  <w:r>
                    <w:rPr>
                      <w:rFonts w:hint="eastAsia" w:eastAsia="等线"/>
                      <w:szCs w:val="21"/>
                    </w:rPr>
                    <w:t xml:space="preserve">0.023 </w:t>
                  </w:r>
                </w:p>
              </w:tc>
              <w:tc>
                <w:tcPr>
                  <w:tcW w:w="335" w:type="pct"/>
                  <w:shd w:val="clear" w:color="auto" w:fill="auto"/>
                  <w:vAlign w:val="center"/>
                </w:tcPr>
                <w:p w14:paraId="0E3A7C7E">
                  <w:pPr>
                    <w:jc w:val="center"/>
                    <w:rPr>
                      <w:rFonts w:eastAsia="等线"/>
                      <w:szCs w:val="21"/>
                    </w:rPr>
                  </w:pPr>
                  <w:r>
                    <w:rPr>
                      <w:rFonts w:hint="eastAsia" w:eastAsia="等线"/>
                      <w:szCs w:val="21"/>
                    </w:rPr>
                    <w:t xml:space="preserve">0.185 </w:t>
                  </w:r>
                </w:p>
              </w:tc>
              <w:tc>
                <w:tcPr>
                  <w:tcW w:w="262" w:type="pct"/>
                  <w:shd w:val="clear" w:color="auto" w:fill="auto"/>
                  <w:vAlign w:val="center"/>
                </w:tcPr>
                <w:p w14:paraId="463F0D9C">
                  <w:pPr>
                    <w:pStyle w:val="69"/>
                    <w:spacing w:line="260" w:lineRule="exact"/>
                    <w:rPr>
                      <w:rFonts w:ascii="Times New Roman" w:hAnsi="Times New Roman"/>
                    </w:rPr>
                  </w:pPr>
                  <w:r>
                    <w:rPr>
                      <w:rFonts w:ascii="Times New Roman" w:hAnsi="Times New Roman"/>
                    </w:rPr>
                    <w:t>4.0</w:t>
                  </w:r>
                </w:p>
              </w:tc>
              <w:tc>
                <w:tcPr>
                  <w:tcW w:w="178" w:type="pct"/>
                  <w:shd w:val="clear" w:color="auto" w:fill="auto"/>
                  <w:vAlign w:val="center"/>
                </w:tcPr>
                <w:p w14:paraId="53066B00">
                  <w:pPr>
                    <w:pStyle w:val="69"/>
                    <w:spacing w:line="260" w:lineRule="exact"/>
                    <w:rPr>
                      <w:rFonts w:ascii="Times New Roman" w:hAnsi="Times New Roman"/>
                    </w:rPr>
                  </w:pPr>
                  <w:r>
                    <w:rPr>
                      <w:rFonts w:hint="eastAsia" w:ascii="Times New Roman" w:hAnsi="Times New Roman"/>
                    </w:rPr>
                    <w:t>/</w:t>
                  </w:r>
                </w:p>
              </w:tc>
              <w:tc>
                <w:tcPr>
                  <w:tcW w:w="239" w:type="pct"/>
                  <w:shd w:val="clear" w:color="auto" w:fill="auto"/>
                  <w:vAlign w:val="center"/>
                </w:tcPr>
                <w:p w14:paraId="7E3FDEDB">
                  <w:pPr>
                    <w:pStyle w:val="69"/>
                    <w:spacing w:line="260" w:lineRule="exact"/>
                    <w:rPr>
                      <w:rFonts w:ascii="Times New Roman" w:hAnsi="Times New Roman"/>
                    </w:rPr>
                  </w:pPr>
                  <w:r>
                    <w:rPr>
                      <w:rFonts w:ascii="Times New Roman" w:hAnsi="Times New Roman"/>
                    </w:rPr>
                    <w:t>7920</w:t>
                  </w:r>
                </w:p>
              </w:tc>
              <w:tc>
                <w:tcPr>
                  <w:tcW w:w="300" w:type="pct"/>
                  <w:shd w:val="clear" w:color="auto" w:fill="auto"/>
                  <w:vAlign w:val="center"/>
                </w:tcPr>
                <w:p w14:paraId="0C4A7216">
                  <w:pPr>
                    <w:pStyle w:val="69"/>
                    <w:spacing w:line="260" w:lineRule="exact"/>
                    <w:rPr>
                      <w:rFonts w:ascii="Times New Roman" w:hAnsi="Times New Roman"/>
                    </w:rPr>
                  </w:pPr>
                  <w:r>
                    <w:rPr>
                      <w:rFonts w:hint="eastAsia"/>
                    </w:rPr>
                    <w:t>/</w:t>
                  </w:r>
                </w:p>
              </w:tc>
            </w:tr>
            <w:tr w14:paraId="47A6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shd w:val="clear" w:color="auto" w:fill="auto"/>
                  <w:vAlign w:val="center"/>
                </w:tcPr>
                <w:p w14:paraId="5045ABB6">
                  <w:pPr>
                    <w:pStyle w:val="69"/>
                    <w:spacing w:line="260" w:lineRule="exact"/>
                    <w:rPr>
                      <w:rFonts w:ascii="Times New Roman" w:hAnsi="Times New Roman"/>
                    </w:rPr>
                  </w:pPr>
                  <w:r>
                    <w:rPr>
                      <w:rFonts w:hint="eastAsia" w:ascii="Times New Roman" w:hAnsi="Times New Roman"/>
                    </w:rPr>
                    <w:t>表面清理工序、抛丸工序</w:t>
                  </w:r>
                </w:p>
              </w:tc>
              <w:tc>
                <w:tcPr>
                  <w:tcW w:w="309" w:type="pct"/>
                  <w:shd w:val="clear" w:color="auto" w:fill="auto"/>
                  <w:vAlign w:val="center"/>
                </w:tcPr>
                <w:p w14:paraId="67853EAD">
                  <w:pPr>
                    <w:pStyle w:val="69"/>
                    <w:spacing w:line="260" w:lineRule="exact"/>
                    <w:rPr>
                      <w:rFonts w:ascii="Times New Roman" w:hAnsi="Times New Roman"/>
                    </w:rPr>
                  </w:pPr>
                  <w:r>
                    <w:rPr>
                      <w:rFonts w:ascii="Times New Roman" w:hAnsi="Times New Roman"/>
                    </w:rPr>
                    <w:t>颗粒物</w:t>
                  </w:r>
                </w:p>
              </w:tc>
              <w:tc>
                <w:tcPr>
                  <w:tcW w:w="302" w:type="pct"/>
                  <w:shd w:val="clear" w:color="auto" w:fill="auto"/>
                  <w:vAlign w:val="center"/>
                </w:tcPr>
                <w:p w14:paraId="6343AB64">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3FFB9B3F">
                  <w:pPr>
                    <w:pStyle w:val="69"/>
                    <w:spacing w:line="260" w:lineRule="exact"/>
                    <w:rPr>
                      <w:rFonts w:ascii="Times New Roman" w:hAnsi="Times New Roman"/>
                    </w:rPr>
                  </w:pPr>
                  <w:r>
                    <w:rPr>
                      <w:rFonts w:hint="eastAsia" w:ascii="Times New Roman" w:hAnsi="Times New Roman"/>
                    </w:rPr>
                    <w:t xml:space="preserve">0.189 </w:t>
                  </w:r>
                </w:p>
              </w:tc>
              <w:tc>
                <w:tcPr>
                  <w:tcW w:w="288" w:type="pct"/>
                  <w:shd w:val="clear" w:color="auto" w:fill="auto"/>
                  <w:vAlign w:val="center"/>
                </w:tcPr>
                <w:p w14:paraId="711620BD">
                  <w:pPr>
                    <w:pStyle w:val="69"/>
                    <w:spacing w:line="260" w:lineRule="exact"/>
                    <w:rPr>
                      <w:rFonts w:ascii="Times New Roman" w:hAnsi="Times New Roman"/>
                    </w:rPr>
                  </w:pPr>
                  <w:r>
                    <w:rPr>
                      <w:rFonts w:hint="eastAsia" w:ascii="Times New Roman" w:hAnsi="Times New Roman"/>
                    </w:rPr>
                    <w:t xml:space="preserve">0.998 </w:t>
                  </w:r>
                </w:p>
              </w:tc>
              <w:tc>
                <w:tcPr>
                  <w:tcW w:w="217" w:type="pct"/>
                  <w:shd w:val="clear" w:color="auto" w:fill="auto"/>
                  <w:vAlign w:val="center"/>
                </w:tcPr>
                <w:p w14:paraId="4CEC4A7F">
                  <w:pPr>
                    <w:adjustRightInd w:val="0"/>
                    <w:snapToGrid w:val="0"/>
                    <w:spacing w:line="260" w:lineRule="exact"/>
                    <w:jc w:val="center"/>
                    <w:rPr>
                      <w:szCs w:val="21"/>
                    </w:rPr>
                  </w:pPr>
                  <w:r>
                    <w:rPr>
                      <w:szCs w:val="21"/>
                    </w:rPr>
                    <w:t>无组织</w:t>
                  </w:r>
                </w:p>
              </w:tc>
              <w:tc>
                <w:tcPr>
                  <w:tcW w:w="240" w:type="pct"/>
                  <w:shd w:val="clear" w:color="auto" w:fill="auto"/>
                  <w:vAlign w:val="center"/>
                </w:tcPr>
                <w:p w14:paraId="6368A262">
                  <w:pPr>
                    <w:pStyle w:val="69"/>
                    <w:spacing w:line="260" w:lineRule="exact"/>
                    <w:rPr>
                      <w:rFonts w:ascii="Times New Roman" w:hAnsi="Times New Roman"/>
                    </w:rPr>
                  </w:pPr>
                  <w:r>
                    <w:rPr>
                      <w:rFonts w:ascii="Times New Roman" w:hAnsi="Times New Roman"/>
                    </w:rPr>
                    <w:t>/</w:t>
                  </w:r>
                </w:p>
              </w:tc>
              <w:tc>
                <w:tcPr>
                  <w:tcW w:w="229" w:type="pct"/>
                  <w:shd w:val="clear" w:color="auto" w:fill="auto"/>
                  <w:vAlign w:val="center"/>
                </w:tcPr>
                <w:p w14:paraId="5BE6A64C">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6CCBF5B1">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3FB73DBE">
                  <w:pPr>
                    <w:pStyle w:val="69"/>
                    <w:spacing w:line="260" w:lineRule="exact"/>
                    <w:rPr>
                      <w:rFonts w:ascii="Times New Roman" w:hAnsi="Times New Roman"/>
                    </w:rPr>
                  </w:pPr>
                  <w:r>
                    <w:rPr>
                      <w:rFonts w:ascii="Times New Roman" w:hAnsi="Times New Roman"/>
                    </w:rPr>
                    <w:t>/</w:t>
                  </w:r>
                </w:p>
              </w:tc>
              <w:tc>
                <w:tcPr>
                  <w:tcW w:w="334" w:type="pct"/>
                  <w:shd w:val="clear" w:color="auto" w:fill="auto"/>
                  <w:vAlign w:val="center"/>
                </w:tcPr>
                <w:p w14:paraId="1A527A35">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50D2217D">
                  <w:pPr>
                    <w:pStyle w:val="69"/>
                    <w:spacing w:line="260" w:lineRule="exact"/>
                    <w:rPr>
                      <w:rFonts w:ascii="Times New Roman" w:hAnsi="Times New Roman"/>
                    </w:rPr>
                  </w:pPr>
                  <w:r>
                    <w:rPr>
                      <w:rFonts w:ascii="Times New Roman" w:hAnsi="Times New Roman"/>
                    </w:rPr>
                    <w:t>/</w:t>
                  </w:r>
                </w:p>
              </w:tc>
              <w:tc>
                <w:tcPr>
                  <w:tcW w:w="245" w:type="pct"/>
                  <w:shd w:val="clear" w:color="auto" w:fill="auto"/>
                  <w:vAlign w:val="center"/>
                </w:tcPr>
                <w:p w14:paraId="7CD5A54E">
                  <w:pPr>
                    <w:pStyle w:val="69"/>
                    <w:spacing w:line="260" w:lineRule="exact"/>
                    <w:rPr>
                      <w:rFonts w:ascii="Times New Roman" w:hAnsi="Times New Roman"/>
                    </w:rPr>
                  </w:pPr>
                  <w:r>
                    <w:rPr>
                      <w:rFonts w:hint="eastAsia" w:ascii="Times New Roman" w:hAnsi="Times New Roman"/>
                    </w:rPr>
                    <w:t xml:space="preserve">0.189 </w:t>
                  </w:r>
                </w:p>
              </w:tc>
              <w:tc>
                <w:tcPr>
                  <w:tcW w:w="335" w:type="pct"/>
                  <w:shd w:val="clear" w:color="auto" w:fill="auto"/>
                  <w:vAlign w:val="center"/>
                </w:tcPr>
                <w:p w14:paraId="07C480C6">
                  <w:pPr>
                    <w:pStyle w:val="69"/>
                    <w:spacing w:line="260" w:lineRule="exact"/>
                    <w:rPr>
                      <w:rFonts w:ascii="Times New Roman" w:hAnsi="Times New Roman"/>
                    </w:rPr>
                  </w:pPr>
                  <w:r>
                    <w:rPr>
                      <w:rFonts w:hint="eastAsia" w:ascii="Times New Roman" w:hAnsi="Times New Roman"/>
                    </w:rPr>
                    <w:t xml:space="preserve">0.998 </w:t>
                  </w:r>
                </w:p>
              </w:tc>
              <w:tc>
                <w:tcPr>
                  <w:tcW w:w="262" w:type="pct"/>
                  <w:shd w:val="clear" w:color="auto" w:fill="auto"/>
                  <w:vAlign w:val="center"/>
                </w:tcPr>
                <w:p w14:paraId="0B79D9DD">
                  <w:pPr>
                    <w:pStyle w:val="69"/>
                    <w:spacing w:line="260" w:lineRule="exact"/>
                    <w:rPr>
                      <w:rFonts w:ascii="Times New Roman" w:hAnsi="Times New Roman"/>
                    </w:rPr>
                  </w:pPr>
                  <w:r>
                    <w:rPr>
                      <w:rFonts w:ascii="Times New Roman" w:hAnsi="Times New Roman"/>
                    </w:rPr>
                    <w:t>1.0</w:t>
                  </w:r>
                </w:p>
              </w:tc>
              <w:tc>
                <w:tcPr>
                  <w:tcW w:w="178" w:type="pct"/>
                  <w:shd w:val="clear" w:color="auto" w:fill="auto"/>
                  <w:vAlign w:val="center"/>
                </w:tcPr>
                <w:p w14:paraId="4B7B01FA">
                  <w:pPr>
                    <w:adjustRightInd w:val="0"/>
                    <w:snapToGrid w:val="0"/>
                    <w:spacing w:line="260" w:lineRule="exact"/>
                    <w:jc w:val="center"/>
                    <w:rPr>
                      <w:szCs w:val="21"/>
                    </w:rPr>
                  </w:pPr>
                  <w:r>
                    <w:rPr>
                      <w:szCs w:val="21"/>
                    </w:rPr>
                    <w:t>/</w:t>
                  </w:r>
                </w:p>
              </w:tc>
              <w:tc>
                <w:tcPr>
                  <w:tcW w:w="239" w:type="pct"/>
                  <w:shd w:val="clear" w:color="auto" w:fill="auto"/>
                  <w:vAlign w:val="center"/>
                </w:tcPr>
                <w:p w14:paraId="0DDE0E60">
                  <w:pPr>
                    <w:pStyle w:val="69"/>
                    <w:spacing w:line="260" w:lineRule="exact"/>
                    <w:rPr>
                      <w:rFonts w:ascii="Times New Roman" w:hAnsi="Times New Roman"/>
                    </w:rPr>
                  </w:pPr>
                  <w:r>
                    <w:rPr>
                      <w:rFonts w:ascii="Times New Roman" w:hAnsi="Times New Roman"/>
                    </w:rPr>
                    <w:t>5280</w:t>
                  </w:r>
                </w:p>
              </w:tc>
              <w:tc>
                <w:tcPr>
                  <w:tcW w:w="300" w:type="pct"/>
                  <w:shd w:val="clear" w:color="auto" w:fill="auto"/>
                  <w:vAlign w:val="center"/>
                </w:tcPr>
                <w:p w14:paraId="752BFEC8">
                  <w:pPr>
                    <w:spacing w:line="260" w:lineRule="exact"/>
                    <w:jc w:val="center"/>
                    <w:rPr>
                      <w:szCs w:val="21"/>
                    </w:rPr>
                  </w:pPr>
                  <w:r>
                    <w:rPr>
                      <w:rFonts w:hint="eastAsia"/>
                      <w:szCs w:val="21"/>
                    </w:rPr>
                    <w:t>/</w:t>
                  </w:r>
                </w:p>
              </w:tc>
            </w:tr>
            <w:tr w14:paraId="1A0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vMerge w:val="restart"/>
                  <w:shd w:val="clear" w:color="auto" w:fill="auto"/>
                  <w:vAlign w:val="center"/>
                </w:tcPr>
                <w:p w14:paraId="62CD5A1D">
                  <w:pPr>
                    <w:pStyle w:val="69"/>
                    <w:spacing w:line="260" w:lineRule="exact"/>
                    <w:rPr>
                      <w:rFonts w:ascii="Times New Roman" w:hAnsi="Times New Roman"/>
                    </w:rPr>
                  </w:pPr>
                  <w:r>
                    <w:rPr>
                      <w:rFonts w:hint="eastAsia" w:ascii="Times New Roman" w:hAnsi="Times New Roman"/>
                    </w:rPr>
                    <w:t>模具维修废气</w:t>
                  </w:r>
                </w:p>
              </w:tc>
              <w:tc>
                <w:tcPr>
                  <w:tcW w:w="219" w:type="pct"/>
                  <w:shd w:val="clear" w:color="auto" w:fill="auto"/>
                  <w:vAlign w:val="center"/>
                </w:tcPr>
                <w:p w14:paraId="03E0AF01">
                  <w:pPr>
                    <w:pStyle w:val="69"/>
                    <w:spacing w:line="260" w:lineRule="exact"/>
                    <w:rPr>
                      <w:rFonts w:ascii="Times New Roman" w:hAnsi="Times New Roman"/>
                    </w:rPr>
                  </w:pPr>
                  <w:r>
                    <w:rPr>
                      <w:rFonts w:hint="eastAsia" w:ascii="Times New Roman" w:hAnsi="Times New Roman"/>
                    </w:rPr>
                    <w:t>焊接</w:t>
                  </w:r>
                </w:p>
              </w:tc>
              <w:tc>
                <w:tcPr>
                  <w:tcW w:w="309" w:type="pct"/>
                  <w:shd w:val="clear" w:color="auto" w:fill="auto"/>
                  <w:vAlign w:val="center"/>
                </w:tcPr>
                <w:p w14:paraId="6F693152">
                  <w:pPr>
                    <w:adjustRightInd w:val="0"/>
                    <w:snapToGrid w:val="0"/>
                    <w:jc w:val="center"/>
                    <w:rPr>
                      <w:szCs w:val="21"/>
                    </w:rPr>
                  </w:pPr>
                  <w:r>
                    <w:rPr>
                      <w:rFonts w:hint="eastAsia"/>
                      <w:szCs w:val="21"/>
                    </w:rPr>
                    <w:t>颗粒物</w:t>
                  </w:r>
                </w:p>
              </w:tc>
              <w:tc>
                <w:tcPr>
                  <w:tcW w:w="302" w:type="pct"/>
                  <w:shd w:val="clear" w:color="auto" w:fill="auto"/>
                  <w:vAlign w:val="center"/>
                </w:tcPr>
                <w:p w14:paraId="0E762892">
                  <w:pPr>
                    <w:pStyle w:val="69"/>
                    <w:spacing w:line="260" w:lineRule="exact"/>
                    <w:rPr>
                      <w:rFonts w:ascii="Times New Roman" w:hAnsi="Times New Roman"/>
                    </w:rPr>
                  </w:pPr>
                  <w:r>
                    <w:rPr>
                      <w:rFonts w:hint="eastAsia" w:ascii="Times New Roman" w:hAnsi="Times New Roman"/>
                    </w:rPr>
                    <w:t>/</w:t>
                  </w:r>
                </w:p>
              </w:tc>
              <w:tc>
                <w:tcPr>
                  <w:tcW w:w="283" w:type="pct"/>
                  <w:shd w:val="clear" w:color="auto" w:fill="auto"/>
                  <w:vAlign w:val="center"/>
                </w:tcPr>
                <w:p w14:paraId="01F9E0EF">
                  <w:pPr>
                    <w:pStyle w:val="69"/>
                    <w:spacing w:line="260" w:lineRule="exact"/>
                    <w:rPr>
                      <w:rFonts w:ascii="Times New Roman" w:hAnsi="Times New Roman"/>
                    </w:rPr>
                  </w:pPr>
                  <w:r>
                    <w:rPr>
                      <w:rFonts w:ascii="Times New Roman" w:hAnsi="Times New Roman"/>
                    </w:rPr>
                    <w:t>0.013</w:t>
                  </w:r>
                </w:p>
              </w:tc>
              <w:tc>
                <w:tcPr>
                  <w:tcW w:w="288" w:type="pct"/>
                  <w:shd w:val="clear" w:color="auto" w:fill="auto"/>
                  <w:vAlign w:val="center"/>
                </w:tcPr>
                <w:p w14:paraId="62B12E45">
                  <w:pPr>
                    <w:adjustRightInd w:val="0"/>
                    <w:snapToGrid w:val="0"/>
                    <w:spacing w:line="260" w:lineRule="exact"/>
                    <w:jc w:val="center"/>
                    <w:rPr>
                      <w:szCs w:val="21"/>
                    </w:rPr>
                  </w:pPr>
                  <w:r>
                    <w:rPr>
                      <w:szCs w:val="21"/>
                    </w:rPr>
                    <w:t>2.4kg/a</w:t>
                  </w:r>
                </w:p>
              </w:tc>
              <w:tc>
                <w:tcPr>
                  <w:tcW w:w="217" w:type="pct"/>
                  <w:vMerge w:val="restart"/>
                  <w:shd w:val="clear" w:color="auto" w:fill="auto"/>
                  <w:vAlign w:val="center"/>
                </w:tcPr>
                <w:p w14:paraId="0ECB9E74">
                  <w:pPr>
                    <w:adjustRightInd w:val="0"/>
                    <w:snapToGrid w:val="0"/>
                    <w:spacing w:line="260" w:lineRule="exact"/>
                    <w:jc w:val="center"/>
                    <w:rPr>
                      <w:szCs w:val="21"/>
                    </w:rPr>
                  </w:pPr>
                  <w:r>
                    <w:rPr>
                      <w:szCs w:val="21"/>
                    </w:rPr>
                    <w:t>无组织</w:t>
                  </w:r>
                </w:p>
              </w:tc>
              <w:tc>
                <w:tcPr>
                  <w:tcW w:w="240" w:type="pct"/>
                  <w:shd w:val="clear" w:color="auto" w:fill="auto"/>
                  <w:vAlign w:val="center"/>
                </w:tcPr>
                <w:p w14:paraId="03CE9C30">
                  <w:pPr>
                    <w:pStyle w:val="69"/>
                    <w:spacing w:line="260" w:lineRule="exact"/>
                    <w:rPr>
                      <w:rFonts w:ascii="Times New Roman" w:hAnsi="Times New Roman"/>
                    </w:rPr>
                  </w:pPr>
                  <w:r>
                    <w:rPr>
                      <w:rFonts w:hint="eastAsia" w:ascii="Times New Roman" w:hAnsi="Times New Roman"/>
                    </w:rPr>
                    <w:t>1</w:t>
                  </w:r>
                  <w:r>
                    <w:rPr>
                      <w:rFonts w:ascii="Times New Roman" w:hAnsi="Times New Roman"/>
                    </w:rPr>
                    <w:t>000</w:t>
                  </w:r>
                </w:p>
              </w:tc>
              <w:tc>
                <w:tcPr>
                  <w:tcW w:w="229" w:type="pct"/>
                  <w:shd w:val="clear" w:color="auto" w:fill="auto"/>
                  <w:vAlign w:val="center"/>
                </w:tcPr>
                <w:p w14:paraId="05C57770">
                  <w:pPr>
                    <w:pStyle w:val="69"/>
                    <w:spacing w:line="260" w:lineRule="exact"/>
                    <w:rPr>
                      <w:rFonts w:ascii="Times New Roman" w:hAnsi="Times New Roman"/>
                    </w:rPr>
                  </w:pPr>
                  <w:r>
                    <w:rPr>
                      <w:rFonts w:ascii="Times New Roman" w:hAnsi="Times New Roman"/>
                    </w:rPr>
                    <w:t>70</w:t>
                  </w:r>
                </w:p>
              </w:tc>
              <w:tc>
                <w:tcPr>
                  <w:tcW w:w="305" w:type="pct"/>
                  <w:shd w:val="clear" w:color="auto" w:fill="auto"/>
                  <w:vAlign w:val="center"/>
                </w:tcPr>
                <w:p w14:paraId="71EB45D0">
                  <w:pPr>
                    <w:pStyle w:val="69"/>
                    <w:spacing w:line="260" w:lineRule="exact"/>
                    <w:rPr>
                      <w:rFonts w:ascii="Times New Roman" w:hAnsi="Times New Roman"/>
                    </w:rPr>
                  </w:pPr>
                  <w:r>
                    <w:rPr>
                      <w:rFonts w:hint="eastAsia"/>
                      <w:szCs w:val="26"/>
                    </w:rPr>
                    <w:t>移动式焊烟净化器</w:t>
                  </w:r>
                </w:p>
              </w:tc>
              <w:tc>
                <w:tcPr>
                  <w:tcW w:w="241" w:type="pct"/>
                  <w:shd w:val="clear" w:color="auto" w:fill="auto"/>
                  <w:vAlign w:val="center"/>
                </w:tcPr>
                <w:p w14:paraId="00ACB337">
                  <w:pPr>
                    <w:pStyle w:val="69"/>
                    <w:spacing w:line="260" w:lineRule="exact"/>
                    <w:rPr>
                      <w:rFonts w:ascii="Times New Roman" w:hAnsi="Times New Roman"/>
                    </w:rPr>
                  </w:pPr>
                  <w:r>
                    <w:rPr>
                      <w:rFonts w:hint="eastAsia" w:ascii="Times New Roman" w:hAnsi="Times New Roman"/>
                    </w:rPr>
                    <w:t>8</w:t>
                  </w:r>
                  <w:r>
                    <w:rPr>
                      <w:rFonts w:ascii="Times New Roman" w:hAnsi="Times New Roman"/>
                    </w:rPr>
                    <w:t>0</w:t>
                  </w:r>
                </w:p>
              </w:tc>
              <w:tc>
                <w:tcPr>
                  <w:tcW w:w="334" w:type="pct"/>
                  <w:shd w:val="clear" w:color="auto" w:fill="auto"/>
                  <w:vAlign w:val="center"/>
                </w:tcPr>
                <w:p w14:paraId="2E0C2946">
                  <w:pPr>
                    <w:pStyle w:val="69"/>
                    <w:spacing w:line="260" w:lineRule="exact"/>
                    <w:rPr>
                      <w:rFonts w:ascii="Times New Roman" w:hAnsi="Times New Roman"/>
                    </w:rPr>
                  </w:pPr>
                  <w:r>
                    <w:rPr>
                      <w:rFonts w:ascii="Times New Roman" w:hAnsi="Times New Roman"/>
                    </w:rPr>
                    <w:t>是</w:t>
                  </w:r>
                </w:p>
              </w:tc>
              <w:tc>
                <w:tcPr>
                  <w:tcW w:w="262" w:type="pct"/>
                  <w:shd w:val="clear" w:color="auto" w:fill="auto"/>
                  <w:vAlign w:val="center"/>
                </w:tcPr>
                <w:p w14:paraId="0225C2D2">
                  <w:pPr>
                    <w:pStyle w:val="69"/>
                    <w:spacing w:line="260" w:lineRule="exact"/>
                    <w:rPr>
                      <w:rFonts w:ascii="Times New Roman" w:hAnsi="Times New Roman"/>
                    </w:rPr>
                  </w:pPr>
                  <w:r>
                    <w:rPr>
                      <w:rFonts w:hint="eastAsia" w:ascii="Times New Roman" w:hAnsi="Times New Roman"/>
                    </w:rPr>
                    <w:t>/</w:t>
                  </w:r>
                </w:p>
              </w:tc>
              <w:tc>
                <w:tcPr>
                  <w:tcW w:w="245" w:type="pct"/>
                  <w:shd w:val="clear" w:color="auto" w:fill="auto"/>
                  <w:vAlign w:val="center"/>
                </w:tcPr>
                <w:p w14:paraId="07D133AC">
                  <w:pPr>
                    <w:pStyle w:val="69"/>
                    <w:spacing w:line="260" w:lineRule="exact"/>
                    <w:rPr>
                      <w:rFonts w:ascii="Times New Roman" w:hAnsi="Times New Roman"/>
                    </w:rPr>
                  </w:pPr>
                  <w:r>
                    <w:rPr>
                      <w:rFonts w:ascii="Times New Roman" w:hAnsi="Times New Roman"/>
                    </w:rPr>
                    <w:t>0.006</w:t>
                  </w:r>
                </w:p>
              </w:tc>
              <w:tc>
                <w:tcPr>
                  <w:tcW w:w="335" w:type="pct"/>
                  <w:shd w:val="clear" w:color="auto" w:fill="auto"/>
                  <w:vAlign w:val="center"/>
                </w:tcPr>
                <w:p w14:paraId="7AC45CDD">
                  <w:pPr>
                    <w:adjustRightInd w:val="0"/>
                    <w:snapToGrid w:val="0"/>
                    <w:spacing w:line="260" w:lineRule="exact"/>
                    <w:jc w:val="center"/>
                    <w:rPr>
                      <w:szCs w:val="21"/>
                    </w:rPr>
                  </w:pPr>
                  <w:r>
                    <w:rPr>
                      <w:szCs w:val="21"/>
                    </w:rPr>
                    <w:t>1.06kg/a</w:t>
                  </w:r>
                </w:p>
              </w:tc>
              <w:tc>
                <w:tcPr>
                  <w:tcW w:w="262" w:type="pct"/>
                  <w:shd w:val="clear" w:color="auto" w:fill="auto"/>
                  <w:vAlign w:val="center"/>
                </w:tcPr>
                <w:p w14:paraId="1B28ACA2">
                  <w:pPr>
                    <w:adjustRightInd w:val="0"/>
                    <w:snapToGrid w:val="0"/>
                    <w:jc w:val="center"/>
                    <w:rPr>
                      <w:szCs w:val="21"/>
                    </w:rPr>
                  </w:pPr>
                  <w:r>
                    <w:rPr>
                      <w:rFonts w:hint="eastAsia"/>
                      <w:szCs w:val="21"/>
                    </w:rPr>
                    <w:t>1</w:t>
                  </w:r>
                  <w:r>
                    <w:rPr>
                      <w:szCs w:val="21"/>
                    </w:rPr>
                    <w:t>.0</w:t>
                  </w:r>
                </w:p>
              </w:tc>
              <w:tc>
                <w:tcPr>
                  <w:tcW w:w="178" w:type="pct"/>
                  <w:shd w:val="clear" w:color="auto" w:fill="auto"/>
                  <w:vAlign w:val="center"/>
                </w:tcPr>
                <w:p w14:paraId="62E4B442">
                  <w:pPr>
                    <w:adjustRightInd w:val="0"/>
                    <w:snapToGrid w:val="0"/>
                    <w:spacing w:line="260" w:lineRule="exact"/>
                    <w:jc w:val="center"/>
                    <w:rPr>
                      <w:szCs w:val="21"/>
                    </w:rPr>
                  </w:pPr>
                  <w:r>
                    <w:rPr>
                      <w:rFonts w:hint="eastAsia"/>
                      <w:szCs w:val="21"/>
                    </w:rPr>
                    <w:t>/</w:t>
                  </w:r>
                </w:p>
              </w:tc>
              <w:tc>
                <w:tcPr>
                  <w:tcW w:w="239" w:type="pct"/>
                  <w:shd w:val="clear" w:color="auto" w:fill="auto"/>
                  <w:vAlign w:val="center"/>
                </w:tcPr>
                <w:p w14:paraId="63E2AC09">
                  <w:pPr>
                    <w:pStyle w:val="69"/>
                    <w:spacing w:line="260" w:lineRule="exact"/>
                    <w:rPr>
                      <w:rFonts w:ascii="Times New Roman" w:hAnsi="Times New Roman"/>
                    </w:rPr>
                  </w:pPr>
                  <w:r>
                    <w:rPr>
                      <w:rFonts w:ascii="Times New Roman" w:hAnsi="Times New Roman"/>
                    </w:rPr>
                    <w:t>180</w:t>
                  </w:r>
                </w:p>
              </w:tc>
              <w:tc>
                <w:tcPr>
                  <w:tcW w:w="300" w:type="pct"/>
                  <w:shd w:val="clear" w:color="auto" w:fill="auto"/>
                  <w:vAlign w:val="center"/>
                </w:tcPr>
                <w:p w14:paraId="7FD79E7F">
                  <w:pPr>
                    <w:spacing w:line="260" w:lineRule="exact"/>
                    <w:jc w:val="center"/>
                    <w:rPr>
                      <w:szCs w:val="21"/>
                    </w:rPr>
                  </w:pPr>
                  <w:r>
                    <w:rPr>
                      <w:rFonts w:hint="eastAsia"/>
                      <w:szCs w:val="21"/>
                    </w:rPr>
                    <w:t>/</w:t>
                  </w:r>
                </w:p>
              </w:tc>
            </w:tr>
            <w:tr w14:paraId="7BEA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211" w:type="pct"/>
                  <w:gridSpan w:val="2"/>
                  <w:vMerge w:val="continue"/>
                  <w:shd w:val="clear" w:color="auto" w:fill="auto"/>
                  <w:vAlign w:val="center"/>
                </w:tcPr>
                <w:p w14:paraId="4C18A9A7">
                  <w:pPr>
                    <w:pStyle w:val="69"/>
                    <w:spacing w:line="260" w:lineRule="exact"/>
                    <w:rPr>
                      <w:rFonts w:ascii="Times New Roman" w:hAnsi="Times New Roman"/>
                    </w:rPr>
                  </w:pPr>
                </w:p>
              </w:tc>
              <w:tc>
                <w:tcPr>
                  <w:tcW w:w="219" w:type="pct"/>
                  <w:shd w:val="clear" w:color="auto" w:fill="auto"/>
                  <w:vAlign w:val="center"/>
                </w:tcPr>
                <w:p w14:paraId="426AE160">
                  <w:pPr>
                    <w:pStyle w:val="69"/>
                    <w:spacing w:line="260" w:lineRule="exact"/>
                    <w:rPr>
                      <w:rFonts w:ascii="Times New Roman" w:hAnsi="Times New Roman"/>
                    </w:rPr>
                  </w:pPr>
                  <w:r>
                    <w:rPr>
                      <w:rFonts w:hint="eastAsia" w:ascii="Times New Roman" w:hAnsi="Times New Roman"/>
                    </w:rPr>
                    <w:t>打磨</w:t>
                  </w:r>
                </w:p>
              </w:tc>
              <w:tc>
                <w:tcPr>
                  <w:tcW w:w="309" w:type="pct"/>
                  <w:shd w:val="clear" w:color="auto" w:fill="auto"/>
                  <w:vAlign w:val="center"/>
                </w:tcPr>
                <w:p w14:paraId="0CA50A6B">
                  <w:pPr>
                    <w:adjustRightInd w:val="0"/>
                    <w:snapToGrid w:val="0"/>
                    <w:jc w:val="center"/>
                    <w:rPr>
                      <w:szCs w:val="21"/>
                    </w:rPr>
                  </w:pPr>
                  <w:r>
                    <w:rPr>
                      <w:rFonts w:hint="eastAsia"/>
                      <w:szCs w:val="21"/>
                    </w:rPr>
                    <w:t>颗粒物</w:t>
                  </w:r>
                </w:p>
              </w:tc>
              <w:tc>
                <w:tcPr>
                  <w:tcW w:w="302" w:type="pct"/>
                  <w:shd w:val="clear" w:color="auto" w:fill="auto"/>
                  <w:vAlign w:val="center"/>
                </w:tcPr>
                <w:p w14:paraId="65F65D68">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2992333E">
                  <w:pPr>
                    <w:spacing w:line="260" w:lineRule="exact"/>
                    <w:jc w:val="center"/>
                    <w:rPr>
                      <w:szCs w:val="21"/>
                    </w:rPr>
                  </w:pPr>
                  <w:r>
                    <w:rPr>
                      <w:szCs w:val="21"/>
                    </w:rPr>
                    <w:t>/</w:t>
                  </w:r>
                </w:p>
              </w:tc>
              <w:tc>
                <w:tcPr>
                  <w:tcW w:w="288" w:type="pct"/>
                  <w:shd w:val="clear" w:color="auto" w:fill="auto"/>
                  <w:vAlign w:val="center"/>
                </w:tcPr>
                <w:p w14:paraId="51138213">
                  <w:pPr>
                    <w:adjustRightInd w:val="0"/>
                    <w:snapToGrid w:val="0"/>
                    <w:spacing w:line="260" w:lineRule="exact"/>
                    <w:jc w:val="center"/>
                    <w:rPr>
                      <w:szCs w:val="21"/>
                    </w:rPr>
                  </w:pPr>
                  <w:r>
                    <w:rPr>
                      <w:rFonts w:hint="eastAsia"/>
                      <w:szCs w:val="21"/>
                    </w:rPr>
                    <w:t>少量</w:t>
                  </w:r>
                </w:p>
              </w:tc>
              <w:tc>
                <w:tcPr>
                  <w:tcW w:w="217" w:type="pct"/>
                  <w:vMerge w:val="continue"/>
                  <w:shd w:val="clear" w:color="auto" w:fill="auto"/>
                  <w:vAlign w:val="center"/>
                </w:tcPr>
                <w:p w14:paraId="0D25495E">
                  <w:pPr>
                    <w:adjustRightInd w:val="0"/>
                    <w:snapToGrid w:val="0"/>
                    <w:spacing w:line="260" w:lineRule="exact"/>
                    <w:jc w:val="center"/>
                    <w:rPr>
                      <w:szCs w:val="21"/>
                    </w:rPr>
                  </w:pPr>
                </w:p>
              </w:tc>
              <w:tc>
                <w:tcPr>
                  <w:tcW w:w="240" w:type="pct"/>
                  <w:shd w:val="clear" w:color="auto" w:fill="auto"/>
                  <w:vAlign w:val="center"/>
                </w:tcPr>
                <w:p w14:paraId="74CB8D4D">
                  <w:pPr>
                    <w:pStyle w:val="69"/>
                    <w:spacing w:line="260" w:lineRule="exact"/>
                    <w:rPr>
                      <w:rFonts w:ascii="Times New Roman" w:hAnsi="Times New Roman"/>
                    </w:rPr>
                  </w:pPr>
                  <w:r>
                    <w:rPr>
                      <w:rFonts w:ascii="Times New Roman" w:hAnsi="Times New Roman"/>
                    </w:rPr>
                    <w:t>/</w:t>
                  </w:r>
                </w:p>
              </w:tc>
              <w:tc>
                <w:tcPr>
                  <w:tcW w:w="229" w:type="pct"/>
                  <w:shd w:val="clear" w:color="auto" w:fill="auto"/>
                  <w:vAlign w:val="center"/>
                </w:tcPr>
                <w:p w14:paraId="47726075">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50818BE1">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17DB2C5F">
                  <w:pPr>
                    <w:pStyle w:val="69"/>
                    <w:spacing w:line="260" w:lineRule="exact"/>
                    <w:rPr>
                      <w:rFonts w:ascii="Times New Roman" w:hAnsi="Times New Roman"/>
                    </w:rPr>
                  </w:pPr>
                  <w:r>
                    <w:rPr>
                      <w:rFonts w:ascii="Times New Roman" w:hAnsi="Times New Roman"/>
                    </w:rPr>
                    <w:t>/</w:t>
                  </w:r>
                </w:p>
              </w:tc>
              <w:tc>
                <w:tcPr>
                  <w:tcW w:w="334" w:type="pct"/>
                  <w:shd w:val="clear" w:color="auto" w:fill="auto"/>
                  <w:vAlign w:val="center"/>
                </w:tcPr>
                <w:p w14:paraId="61B931D1">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30A5472E">
                  <w:pPr>
                    <w:pStyle w:val="69"/>
                    <w:spacing w:line="260" w:lineRule="exact"/>
                    <w:rPr>
                      <w:rFonts w:ascii="Times New Roman" w:hAnsi="Times New Roman"/>
                    </w:rPr>
                  </w:pPr>
                  <w:r>
                    <w:rPr>
                      <w:rFonts w:ascii="Times New Roman" w:hAnsi="Times New Roman"/>
                    </w:rPr>
                    <w:t>/</w:t>
                  </w:r>
                </w:p>
              </w:tc>
              <w:tc>
                <w:tcPr>
                  <w:tcW w:w="245" w:type="pct"/>
                  <w:shd w:val="clear" w:color="auto" w:fill="auto"/>
                  <w:vAlign w:val="center"/>
                </w:tcPr>
                <w:p w14:paraId="2A90BB16">
                  <w:pPr>
                    <w:pStyle w:val="69"/>
                    <w:spacing w:line="260" w:lineRule="exact"/>
                    <w:rPr>
                      <w:rFonts w:ascii="Times New Roman" w:hAnsi="Times New Roman"/>
                    </w:rPr>
                  </w:pPr>
                  <w:r>
                    <w:rPr>
                      <w:rFonts w:ascii="Times New Roman" w:hAnsi="Times New Roman"/>
                    </w:rPr>
                    <w:t>/</w:t>
                  </w:r>
                </w:p>
              </w:tc>
              <w:tc>
                <w:tcPr>
                  <w:tcW w:w="335" w:type="pct"/>
                  <w:shd w:val="clear" w:color="auto" w:fill="auto"/>
                  <w:vAlign w:val="center"/>
                </w:tcPr>
                <w:p w14:paraId="71163CDF">
                  <w:pPr>
                    <w:adjustRightInd w:val="0"/>
                    <w:snapToGrid w:val="0"/>
                    <w:spacing w:line="260" w:lineRule="exact"/>
                    <w:jc w:val="center"/>
                    <w:rPr>
                      <w:szCs w:val="21"/>
                    </w:rPr>
                  </w:pPr>
                  <w:r>
                    <w:rPr>
                      <w:rFonts w:hint="eastAsia"/>
                      <w:szCs w:val="21"/>
                    </w:rPr>
                    <w:t>少量</w:t>
                  </w:r>
                </w:p>
              </w:tc>
              <w:tc>
                <w:tcPr>
                  <w:tcW w:w="262" w:type="pct"/>
                  <w:shd w:val="clear" w:color="auto" w:fill="auto"/>
                  <w:vAlign w:val="center"/>
                </w:tcPr>
                <w:p w14:paraId="6652C0FF">
                  <w:pPr>
                    <w:adjustRightInd w:val="0"/>
                    <w:snapToGrid w:val="0"/>
                    <w:jc w:val="center"/>
                    <w:rPr>
                      <w:szCs w:val="21"/>
                    </w:rPr>
                  </w:pPr>
                  <w:r>
                    <w:rPr>
                      <w:szCs w:val="21"/>
                    </w:rPr>
                    <w:t>1.0</w:t>
                  </w:r>
                </w:p>
              </w:tc>
              <w:tc>
                <w:tcPr>
                  <w:tcW w:w="178" w:type="pct"/>
                  <w:shd w:val="clear" w:color="auto" w:fill="auto"/>
                  <w:vAlign w:val="center"/>
                </w:tcPr>
                <w:p w14:paraId="4D12181B">
                  <w:pPr>
                    <w:adjustRightInd w:val="0"/>
                    <w:snapToGrid w:val="0"/>
                    <w:spacing w:line="260" w:lineRule="exact"/>
                    <w:jc w:val="center"/>
                    <w:rPr>
                      <w:szCs w:val="21"/>
                    </w:rPr>
                  </w:pPr>
                  <w:r>
                    <w:rPr>
                      <w:rFonts w:hint="eastAsia"/>
                      <w:szCs w:val="21"/>
                    </w:rPr>
                    <w:t>/</w:t>
                  </w:r>
                </w:p>
              </w:tc>
              <w:tc>
                <w:tcPr>
                  <w:tcW w:w="239" w:type="pct"/>
                  <w:shd w:val="clear" w:color="auto" w:fill="auto"/>
                  <w:vAlign w:val="center"/>
                </w:tcPr>
                <w:p w14:paraId="360A95BD">
                  <w:pPr>
                    <w:pStyle w:val="69"/>
                    <w:spacing w:line="260" w:lineRule="exact"/>
                    <w:rPr>
                      <w:rFonts w:ascii="Times New Roman" w:hAnsi="Times New Roman"/>
                    </w:rPr>
                  </w:pPr>
                  <w:r>
                    <w:rPr>
                      <w:rFonts w:hint="eastAsia" w:ascii="Times New Roman" w:hAnsi="Times New Roman"/>
                    </w:rPr>
                    <w:t>/</w:t>
                  </w:r>
                </w:p>
              </w:tc>
              <w:tc>
                <w:tcPr>
                  <w:tcW w:w="300" w:type="pct"/>
                  <w:shd w:val="clear" w:color="auto" w:fill="auto"/>
                  <w:vAlign w:val="center"/>
                </w:tcPr>
                <w:p w14:paraId="632DBA6A">
                  <w:pPr>
                    <w:spacing w:line="260" w:lineRule="exact"/>
                    <w:jc w:val="center"/>
                    <w:rPr>
                      <w:szCs w:val="21"/>
                    </w:rPr>
                  </w:pPr>
                  <w:r>
                    <w:rPr>
                      <w:rFonts w:hint="eastAsia"/>
                      <w:szCs w:val="21"/>
                    </w:rPr>
                    <w:t>/</w:t>
                  </w:r>
                </w:p>
              </w:tc>
            </w:tr>
            <w:tr w14:paraId="7ED8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vMerge w:val="restart"/>
                  <w:shd w:val="clear" w:color="auto" w:fill="auto"/>
                  <w:vAlign w:val="center"/>
                </w:tcPr>
                <w:p w14:paraId="39B5E4DC">
                  <w:pPr>
                    <w:pStyle w:val="69"/>
                    <w:spacing w:line="260" w:lineRule="exact"/>
                    <w:rPr>
                      <w:rFonts w:ascii="Times New Roman" w:hAnsi="Times New Roman"/>
                    </w:rPr>
                  </w:pPr>
                  <w:r>
                    <w:rPr>
                      <w:rFonts w:hint="eastAsia" w:ascii="Times New Roman" w:hAnsi="Times New Roman"/>
                    </w:rPr>
                    <w:t>食堂</w:t>
                  </w:r>
                </w:p>
              </w:tc>
              <w:tc>
                <w:tcPr>
                  <w:tcW w:w="309" w:type="pct"/>
                  <w:shd w:val="clear" w:color="auto" w:fill="auto"/>
                  <w:vAlign w:val="center"/>
                </w:tcPr>
                <w:p w14:paraId="5116D9D3">
                  <w:pPr>
                    <w:adjustRightInd w:val="0"/>
                    <w:snapToGrid w:val="0"/>
                    <w:jc w:val="center"/>
                    <w:rPr>
                      <w:szCs w:val="21"/>
                    </w:rPr>
                  </w:pPr>
                  <w:r>
                    <w:rPr>
                      <w:rFonts w:hint="eastAsia"/>
                      <w:szCs w:val="21"/>
                    </w:rPr>
                    <w:t>油烟</w:t>
                  </w:r>
                </w:p>
              </w:tc>
              <w:tc>
                <w:tcPr>
                  <w:tcW w:w="302" w:type="pct"/>
                  <w:shd w:val="clear" w:color="auto" w:fill="auto"/>
                  <w:vAlign w:val="center"/>
                </w:tcPr>
                <w:p w14:paraId="701F5097">
                  <w:pPr>
                    <w:pStyle w:val="69"/>
                    <w:spacing w:line="260" w:lineRule="exact"/>
                    <w:rPr>
                      <w:rFonts w:ascii="Times New Roman" w:hAnsi="Times New Roman"/>
                    </w:rPr>
                  </w:pPr>
                  <w:r>
                    <w:rPr>
                      <w:rFonts w:ascii="Times New Roman" w:hAnsi="Times New Roman"/>
                    </w:rPr>
                    <w:t>14.5</w:t>
                  </w:r>
                </w:p>
              </w:tc>
              <w:tc>
                <w:tcPr>
                  <w:tcW w:w="283" w:type="pct"/>
                  <w:shd w:val="clear" w:color="auto" w:fill="auto"/>
                  <w:vAlign w:val="center"/>
                </w:tcPr>
                <w:p w14:paraId="05BEC54D">
                  <w:pPr>
                    <w:pStyle w:val="69"/>
                    <w:spacing w:line="260" w:lineRule="exact"/>
                    <w:rPr>
                      <w:rFonts w:ascii="Times New Roman" w:hAnsi="Times New Roman"/>
                    </w:rPr>
                  </w:pPr>
                  <w:r>
                    <w:rPr>
                      <w:rFonts w:ascii="Times New Roman"/>
                    </w:rPr>
                    <w:t xml:space="preserve">0.088 </w:t>
                  </w:r>
                </w:p>
              </w:tc>
              <w:tc>
                <w:tcPr>
                  <w:tcW w:w="288" w:type="pct"/>
                  <w:shd w:val="clear" w:color="auto" w:fill="auto"/>
                  <w:vAlign w:val="center"/>
                </w:tcPr>
                <w:p w14:paraId="3E45009C">
                  <w:pPr>
                    <w:adjustRightInd w:val="0"/>
                    <w:snapToGrid w:val="0"/>
                    <w:spacing w:line="260" w:lineRule="exact"/>
                    <w:jc w:val="center"/>
                    <w:rPr>
                      <w:szCs w:val="21"/>
                    </w:rPr>
                  </w:pPr>
                  <w:r>
                    <w:t>0.12</w:t>
                  </w:r>
                </w:p>
              </w:tc>
              <w:tc>
                <w:tcPr>
                  <w:tcW w:w="217" w:type="pct"/>
                  <w:vMerge w:val="restart"/>
                  <w:shd w:val="clear" w:color="auto" w:fill="auto"/>
                  <w:vAlign w:val="center"/>
                </w:tcPr>
                <w:p w14:paraId="48A3D3B6">
                  <w:pPr>
                    <w:adjustRightInd w:val="0"/>
                    <w:snapToGrid w:val="0"/>
                    <w:spacing w:line="260" w:lineRule="exact"/>
                    <w:jc w:val="center"/>
                    <w:rPr>
                      <w:szCs w:val="21"/>
                    </w:rPr>
                  </w:pPr>
                  <w:r>
                    <w:rPr>
                      <w:szCs w:val="21"/>
                    </w:rPr>
                    <w:t>有组织</w:t>
                  </w:r>
                </w:p>
              </w:tc>
              <w:tc>
                <w:tcPr>
                  <w:tcW w:w="240" w:type="pct"/>
                  <w:vMerge w:val="restart"/>
                  <w:shd w:val="clear" w:color="auto" w:fill="auto"/>
                  <w:vAlign w:val="center"/>
                </w:tcPr>
                <w:p w14:paraId="2B49CBA1">
                  <w:pPr>
                    <w:pStyle w:val="69"/>
                    <w:spacing w:line="260" w:lineRule="exact"/>
                    <w:rPr>
                      <w:rFonts w:ascii="Times New Roman" w:hAnsi="Times New Roman"/>
                    </w:rPr>
                  </w:pPr>
                  <w:r>
                    <w:rPr>
                      <w:rFonts w:ascii="Times New Roman" w:hAnsi="Times New Roman"/>
                    </w:rPr>
                    <w:t>6000</w:t>
                  </w:r>
                </w:p>
              </w:tc>
              <w:tc>
                <w:tcPr>
                  <w:tcW w:w="229" w:type="pct"/>
                  <w:vMerge w:val="restart"/>
                  <w:shd w:val="clear" w:color="auto" w:fill="auto"/>
                  <w:vAlign w:val="center"/>
                </w:tcPr>
                <w:p w14:paraId="4EE093CC">
                  <w:pPr>
                    <w:pStyle w:val="69"/>
                    <w:spacing w:line="260" w:lineRule="exact"/>
                    <w:rPr>
                      <w:rFonts w:ascii="Times New Roman" w:hAnsi="Times New Roman"/>
                    </w:rPr>
                  </w:pPr>
                  <w:r>
                    <w:rPr>
                      <w:rFonts w:hint="eastAsia" w:ascii="Times New Roman" w:hAnsi="Times New Roman"/>
                    </w:rPr>
                    <w:t>/</w:t>
                  </w:r>
                </w:p>
              </w:tc>
              <w:tc>
                <w:tcPr>
                  <w:tcW w:w="305" w:type="pct"/>
                  <w:vMerge w:val="restart"/>
                  <w:shd w:val="clear" w:color="auto" w:fill="auto"/>
                  <w:vAlign w:val="center"/>
                </w:tcPr>
                <w:p w14:paraId="44A88A14">
                  <w:pPr>
                    <w:pStyle w:val="69"/>
                    <w:spacing w:line="260" w:lineRule="exact"/>
                    <w:rPr>
                      <w:rFonts w:ascii="Times New Roman" w:hAnsi="Times New Roman"/>
                    </w:rPr>
                  </w:pPr>
                  <w:r>
                    <w:rPr>
                      <w:rFonts w:ascii="Times New Roman" w:hAnsi="Times New Roman"/>
                    </w:rPr>
                    <w:t>油烟净化器</w:t>
                  </w:r>
                </w:p>
              </w:tc>
              <w:tc>
                <w:tcPr>
                  <w:tcW w:w="241" w:type="pct"/>
                  <w:shd w:val="clear" w:color="auto" w:fill="auto"/>
                  <w:vAlign w:val="center"/>
                </w:tcPr>
                <w:p w14:paraId="399B72E6">
                  <w:pPr>
                    <w:pStyle w:val="69"/>
                    <w:spacing w:line="260" w:lineRule="exact"/>
                    <w:rPr>
                      <w:rFonts w:ascii="Times New Roman" w:hAnsi="Times New Roman"/>
                    </w:rPr>
                  </w:pPr>
                  <w:r>
                    <w:rPr>
                      <w:rFonts w:ascii="Times New Roman" w:hAnsi="Times New Roman"/>
                    </w:rPr>
                    <w:t>95</w:t>
                  </w:r>
                </w:p>
              </w:tc>
              <w:tc>
                <w:tcPr>
                  <w:tcW w:w="334" w:type="pct"/>
                  <w:vMerge w:val="restart"/>
                  <w:shd w:val="clear" w:color="auto" w:fill="auto"/>
                  <w:vAlign w:val="center"/>
                </w:tcPr>
                <w:p w14:paraId="2BB0A609">
                  <w:pPr>
                    <w:pStyle w:val="69"/>
                    <w:spacing w:line="260" w:lineRule="exact"/>
                    <w:rPr>
                      <w:rFonts w:ascii="Times New Roman" w:hAnsi="Times New Roman"/>
                    </w:rPr>
                  </w:pPr>
                  <w:r>
                    <w:rPr>
                      <w:rFonts w:ascii="Times New Roman" w:hAnsi="Times New Roman"/>
                    </w:rPr>
                    <w:t>是</w:t>
                  </w:r>
                </w:p>
              </w:tc>
              <w:tc>
                <w:tcPr>
                  <w:tcW w:w="262" w:type="pct"/>
                  <w:shd w:val="clear" w:color="auto" w:fill="auto"/>
                  <w:vAlign w:val="center"/>
                </w:tcPr>
                <w:p w14:paraId="0D562B60">
                  <w:pPr>
                    <w:pStyle w:val="69"/>
                    <w:spacing w:line="260" w:lineRule="exact"/>
                    <w:rPr>
                      <w:rFonts w:ascii="Times New Roman" w:hAnsi="Times New Roman"/>
                    </w:rPr>
                  </w:pPr>
                  <w:r>
                    <w:rPr>
                      <w:rFonts w:ascii="Times New Roman"/>
                    </w:rPr>
                    <w:t>0.67</w:t>
                  </w:r>
                </w:p>
              </w:tc>
              <w:tc>
                <w:tcPr>
                  <w:tcW w:w="245" w:type="pct"/>
                  <w:shd w:val="clear" w:color="auto" w:fill="auto"/>
                  <w:vAlign w:val="center"/>
                </w:tcPr>
                <w:p w14:paraId="464DF29B">
                  <w:pPr>
                    <w:pStyle w:val="69"/>
                    <w:spacing w:line="260" w:lineRule="exact"/>
                    <w:rPr>
                      <w:rFonts w:ascii="Times New Roman" w:hAnsi="Times New Roman"/>
                    </w:rPr>
                  </w:pPr>
                  <w:r>
                    <w:rPr>
                      <w:rFonts w:ascii="Times New Roman"/>
                    </w:rPr>
                    <w:t>0.004</w:t>
                  </w:r>
                </w:p>
              </w:tc>
              <w:tc>
                <w:tcPr>
                  <w:tcW w:w="335" w:type="pct"/>
                  <w:shd w:val="clear" w:color="auto" w:fill="auto"/>
                  <w:vAlign w:val="center"/>
                </w:tcPr>
                <w:p w14:paraId="1CBFAC68">
                  <w:pPr>
                    <w:adjustRightInd w:val="0"/>
                    <w:snapToGrid w:val="0"/>
                    <w:spacing w:line="260" w:lineRule="exact"/>
                    <w:jc w:val="center"/>
                    <w:rPr>
                      <w:szCs w:val="21"/>
                    </w:rPr>
                  </w:pPr>
                  <w:r>
                    <w:rPr>
                      <w:szCs w:val="21"/>
                    </w:rPr>
                    <w:t>0.006</w:t>
                  </w:r>
                </w:p>
              </w:tc>
              <w:tc>
                <w:tcPr>
                  <w:tcW w:w="262" w:type="pct"/>
                  <w:shd w:val="clear" w:color="auto" w:fill="auto"/>
                  <w:vAlign w:val="center"/>
                </w:tcPr>
                <w:p w14:paraId="26ABB606">
                  <w:pPr>
                    <w:adjustRightInd w:val="0"/>
                    <w:snapToGrid w:val="0"/>
                    <w:spacing w:line="260" w:lineRule="exact"/>
                    <w:jc w:val="center"/>
                    <w:rPr>
                      <w:szCs w:val="21"/>
                    </w:rPr>
                  </w:pPr>
                  <w:r>
                    <w:rPr>
                      <w:szCs w:val="21"/>
                    </w:rPr>
                    <w:t>1.0</w:t>
                  </w:r>
                </w:p>
              </w:tc>
              <w:tc>
                <w:tcPr>
                  <w:tcW w:w="178" w:type="pct"/>
                  <w:shd w:val="clear" w:color="auto" w:fill="auto"/>
                  <w:vAlign w:val="center"/>
                </w:tcPr>
                <w:p w14:paraId="78105637">
                  <w:pPr>
                    <w:adjustRightInd w:val="0"/>
                    <w:snapToGrid w:val="0"/>
                    <w:spacing w:line="260" w:lineRule="exact"/>
                    <w:jc w:val="center"/>
                    <w:rPr>
                      <w:szCs w:val="21"/>
                    </w:rPr>
                  </w:pPr>
                  <w:r>
                    <w:rPr>
                      <w:rFonts w:hint="eastAsia"/>
                      <w:szCs w:val="21"/>
                    </w:rPr>
                    <w:t>/</w:t>
                  </w:r>
                </w:p>
              </w:tc>
              <w:tc>
                <w:tcPr>
                  <w:tcW w:w="239" w:type="pct"/>
                  <w:vMerge w:val="restart"/>
                  <w:shd w:val="clear" w:color="auto" w:fill="auto"/>
                  <w:vAlign w:val="center"/>
                </w:tcPr>
                <w:p w14:paraId="28133FA4">
                  <w:pPr>
                    <w:pStyle w:val="69"/>
                    <w:spacing w:line="260" w:lineRule="exact"/>
                    <w:rPr>
                      <w:rFonts w:ascii="Times New Roman" w:hAnsi="Times New Roman"/>
                    </w:rPr>
                  </w:pPr>
                  <w:r>
                    <w:rPr>
                      <w:rFonts w:hint="eastAsia" w:ascii="Times New Roman" w:hAnsi="Times New Roman"/>
                    </w:rPr>
                    <w:t>1</w:t>
                  </w:r>
                  <w:r>
                    <w:rPr>
                      <w:rFonts w:ascii="Times New Roman" w:hAnsi="Times New Roman"/>
                    </w:rPr>
                    <w:t>200</w:t>
                  </w:r>
                </w:p>
              </w:tc>
              <w:tc>
                <w:tcPr>
                  <w:tcW w:w="300" w:type="pct"/>
                  <w:vMerge w:val="restart"/>
                  <w:shd w:val="clear" w:color="auto" w:fill="auto"/>
                  <w:vAlign w:val="center"/>
                </w:tcPr>
                <w:p w14:paraId="1E7E6BA7">
                  <w:pPr>
                    <w:spacing w:line="260" w:lineRule="exact"/>
                    <w:jc w:val="center"/>
                    <w:rPr>
                      <w:szCs w:val="21"/>
                    </w:rPr>
                  </w:pPr>
                  <w:r>
                    <w:rPr>
                      <w:rFonts w:hint="eastAsia"/>
                      <w:szCs w:val="21"/>
                    </w:rPr>
                    <w:t>/</w:t>
                  </w:r>
                </w:p>
              </w:tc>
            </w:tr>
            <w:tr w14:paraId="45F4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vMerge w:val="continue"/>
                  <w:shd w:val="clear" w:color="auto" w:fill="auto"/>
                  <w:vAlign w:val="center"/>
                </w:tcPr>
                <w:p w14:paraId="0C60190A">
                  <w:pPr>
                    <w:pStyle w:val="69"/>
                    <w:spacing w:line="260" w:lineRule="exact"/>
                    <w:rPr>
                      <w:rFonts w:ascii="Times New Roman" w:hAnsi="Times New Roman"/>
                    </w:rPr>
                  </w:pPr>
                </w:p>
              </w:tc>
              <w:tc>
                <w:tcPr>
                  <w:tcW w:w="309" w:type="pct"/>
                  <w:shd w:val="clear" w:color="auto" w:fill="auto"/>
                  <w:vAlign w:val="center"/>
                </w:tcPr>
                <w:p w14:paraId="701CAE92">
                  <w:pPr>
                    <w:adjustRightInd w:val="0"/>
                    <w:snapToGrid w:val="0"/>
                    <w:jc w:val="center"/>
                    <w:rPr>
                      <w:szCs w:val="21"/>
                    </w:rPr>
                  </w:pPr>
                  <w:r>
                    <w:rPr>
                      <w:rFonts w:hint="eastAsia"/>
                      <w:szCs w:val="21"/>
                    </w:rPr>
                    <w:t>非甲烷总烃</w:t>
                  </w:r>
                </w:p>
              </w:tc>
              <w:tc>
                <w:tcPr>
                  <w:tcW w:w="302" w:type="pct"/>
                  <w:shd w:val="clear" w:color="auto" w:fill="auto"/>
                  <w:vAlign w:val="center"/>
                </w:tcPr>
                <w:p w14:paraId="0C39B54B">
                  <w:pPr>
                    <w:pStyle w:val="69"/>
                    <w:spacing w:line="260" w:lineRule="exact"/>
                    <w:rPr>
                      <w:rFonts w:ascii="Times New Roman" w:hAnsi="Times New Roman"/>
                    </w:rPr>
                  </w:pPr>
                  <w:r>
                    <w:rPr>
                      <w:rFonts w:ascii="Times New Roman" w:hAnsi="Times New Roman"/>
                    </w:rPr>
                    <w:t>14</w:t>
                  </w:r>
                </w:p>
              </w:tc>
              <w:tc>
                <w:tcPr>
                  <w:tcW w:w="283" w:type="pct"/>
                  <w:shd w:val="clear" w:color="auto" w:fill="auto"/>
                  <w:vAlign w:val="center"/>
                </w:tcPr>
                <w:p w14:paraId="707EFD80">
                  <w:pPr>
                    <w:pStyle w:val="69"/>
                    <w:spacing w:line="260" w:lineRule="exact"/>
                    <w:rPr>
                      <w:rFonts w:ascii="Times New Roman" w:hAnsi="Times New Roman"/>
                    </w:rPr>
                  </w:pPr>
                  <w:r>
                    <w:rPr>
                      <w:rFonts w:ascii="Times New Roman" w:hAnsi="Times New Roman"/>
                    </w:rPr>
                    <w:t>0.084</w:t>
                  </w:r>
                </w:p>
              </w:tc>
              <w:tc>
                <w:tcPr>
                  <w:tcW w:w="288" w:type="pct"/>
                  <w:shd w:val="clear" w:color="auto" w:fill="auto"/>
                  <w:vAlign w:val="center"/>
                </w:tcPr>
                <w:p w14:paraId="229B66AF">
                  <w:pPr>
                    <w:adjustRightInd w:val="0"/>
                    <w:snapToGrid w:val="0"/>
                    <w:spacing w:line="260" w:lineRule="exact"/>
                    <w:jc w:val="center"/>
                    <w:rPr>
                      <w:szCs w:val="21"/>
                    </w:rPr>
                  </w:pPr>
                  <w:r>
                    <w:rPr>
                      <w:szCs w:val="21"/>
                    </w:rPr>
                    <w:t>0.11</w:t>
                  </w:r>
                </w:p>
              </w:tc>
              <w:tc>
                <w:tcPr>
                  <w:tcW w:w="217" w:type="pct"/>
                  <w:vMerge w:val="continue"/>
                  <w:shd w:val="clear" w:color="auto" w:fill="auto"/>
                  <w:vAlign w:val="center"/>
                </w:tcPr>
                <w:p w14:paraId="1ECFE087">
                  <w:pPr>
                    <w:adjustRightInd w:val="0"/>
                    <w:snapToGrid w:val="0"/>
                    <w:spacing w:line="260" w:lineRule="exact"/>
                    <w:jc w:val="center"/>
                    <w:rPr>
                      <w:szCs w:val="21"/>
                    </w:rPr>
                  </w:pPr>
                </w:p>
              </w:tc>
              <w:tc>
                <w:tcPr>
                  <w:tcW w:w="240" w:type="pct"/>
                  <w:vMerge w:val="continue"/>
                  <w:shd w:val="clear" w:color="auto" w:fill="auto"/>
                  <w:vAlign w:val="center"/>
                </w:tcPr>
                <w:p w14:paraId="6F2C1F8A">
                  <w:pPr>
                    <w:pStyle w:val="69"/>
                    <w:spacing w:line="260" w:lineRule="exact"/>
                    <w:rPr>
                      <w:rFonts w:ascii="Times New Roman" w:hAnsi="Times New Roman"/>
                    </w:rPr>
                  </w:pPr>
                </w:p>
              </w:tc>
              <w:tc>
                <w:tcPr>
                  <w:tcW w:w="229" w:type="pct"/>
                  <w:vMerge w:val="continue"/>
                  <w:shd w:val="clear" w:color="auto" w:fill="auto"/>
                  <w:vAlign w:val="center"/>
                </w:tcPr>
                <w:p w14:paraId="53F12506">
                  <w:pPr>
                    <w:pStyle w:val="69"/>
                    <w:spacing w:line="260" w:lineRule="exact"/>
                    <w:rPr>
                      <w:rFonts w:ascii="Times New Roman" w:hAnsi="Times New Roman"/>
                    </w:rPr>
                  </w:pPr>
                </w:p>
              </w:tc>
              <w:tc>
                <w:tcPr>
                  <w:tcW w:w="305" w:type="pct"/>
                  <w:vMerge w:val="continue"/>
                  <w:shd w:val="clear" w:color="auto" w:fill="auto"/>
                  <w:vAlign w:val="center"/>
                </w:tcPr>
                <w:p w14:paraId="3ECB970E">
                  <w:pPr>
                    <w:pStyle w:val="69"/>
                    <w:spacing w:line="260" w:lineRule="exact"/>
                    <w:rPr>
                      <w:rFonts w:ascii="Times New Roman" w:hAnsi="Times New Roman"/>
                    </w:rPr>
                  </w:pPr>
                </w:p>
              </w:tc>
              <w:tc>
                <w:tcPr>
                  <w:tcW w:w="241" w:type="pct"/>
                  <w:shd w:val="clear" w:color="auto" w:fill="auto"/>
                  <w:vAlign w:val="center"/>
                </w:tcPr>
                <w:p w14:paraId="4B4D81BC">
                  <w:pPr>
                    <w:pStyle w:val="69"/>
                    <w:spacing w:line="260" w:lineRule="exact"/>
                    <w:rPr>
                      <w:rFonts w:ascii="Times New Roman" w:hAnsi="Times New Roman"/>
                    </w:rPr>
                  </w:pPr>
                  <w:r>
                    <w:rPr>
                      <w:rFonts w:hint="eastAsia" w:ascii="Times New Roman" w:hAnsi="Times New Roman"/>
                    </w:rPr>
                    <w:t>7</w:t>
                  </w:r>
                  <w:r>
                    <w:rPr>
                      <w:rFonts w:ascii="Times New Roman" w:hAnsi="Times New Roman"/>
                    </w:rPr>
                    <w:t>5</w:t>
                  </w:r>
                </w:p>
              </w:tc>
              <w:tc>
                <w:tcPr>
                  <w:tcW w:w="334" w:type="pct"/>
                  <w:vMerge w:val="continue"/>
                  <w:shd w:val="clear" w:color="auto" w:fill="auto"/>
                  <w:vAlign w:val="center"/>
                </w:tcPr>
                <w:p w14:paraId="5258656C">
                  <w:pPr>
                    <w:pStyle w:val="69"/>
                    <w:spacing w:line="260" w:lineRule="exact"/>
                    <w:rPr>
                      <w:rFonts w:ascii="Times New Roman" w:hAnsi="Times New Roman"/>
                    </w:rPr>
                  </w:pPr>
                </w:p>
              </w:tc>
              <w:tc>
                <w:tcPr>
                  <w:tcW w:w="262" w:type="pct"/>
                  <w:shd w:val="clear" w:color="auto" w:fill="auto"/>
                  <w:vAlign w:val="center"/>
                </w:tcPr>
                <w:p w14:paraId="76A87931">
                  <w:pPr>
                    <w:pStyle w:val="69"/>
                    <w:spacing w:line="260" w:lineRule="exact"/>
                    <w:rPr>
                      <w:rFonts w:ascii="Times New Roman" w:hAnsi="Times New Roman"/>
                    </w:rPr>
                  </w:pPr>
                  <w:r>
                    <w:rPr>
                      <w:rFonts w:ascii="Times New Roman"/>
                    </w:rPr>
                    <w:t>3.50</w:t>
                  </w:r>
                </w:p>
              </w:tc>
              <w:tc>
                <w:tcPr>
                  <w:tcW w:w="245" w:type="pct"/>
                  <w:shd w:val="clear" w:color="auto" w:fill="auto"/>
                  <w:vAlign w:val="center"/>
                </w:tcPr>
                <w:p w14:paraId="31123136">
                  <w:pPr>
                    <w:pStyle w:val="69"/>
                    <w:spacing w:line="260" w:lineRule="exact"/>
                    <w:rPr>
                      <w:rFonts w:ascii="Times New Roman" w:hAnsi="Times New Roman"/>
                    </w:rPr>
                  </w:pPr>
                  <w:r>
                    <w:rPr>
                      <w:rFonts w:ascii="Times New Roman"/>
                    </w:rPr>
                    <w:t>0.021</w:t>
                  </w:r>
                </w:p>
              </w:tc>
              <w:tc>
                <w:tcPr>
                  <w:tcW w:w="335" w:type="pct"/>
                  <w:shd w:val="clear" w:color="auto" w:fill="auto"/>
                  <w:vAlign w:val="center"/>
                </w:tcPr>
                <w:p w14:paraId="6BDF5BBF">
                  <w:pPr>
                    <w:adjustRightInd w:val="0"/>
                    <w:snapToGrid w:val="0"/>
                    <w:spacing w:line="260" w:lineRule="exact"/>
                    <w:jc w:val="center"/>
                    <w:rPr>
                      <w:szCs w:val="21"/>
                    </w:rPr>
                  </w:pPr>
                  <w:r>
                    <w:rPr>
                      <w:szCs w:val="21"/>
                    </w:rPr>
                    <w:t xml:space="preserve">0.028 </w:t>
                  </w:r>
                </w:p>
              </w:tc>
              <w:tc>
                <w:tcPr>
                  <w:tcW w:w="262" w:type="pct"/>
                  <w:shd w:val="clear" w:color="auto" w:fill="auto"/>
                  <w:vAlign w:val="center"/>
                </w:tcPr>
                <w:p w14:paraId="6DB84246">
                  <w:pPr>
                    <w:adjustRightInd w:val="0"/>
                    <w:snapToGrid w:val="0"/>
                    <w:jc w:val="center"/>
                    <w:rPr>
                      <w:szCs w:val="21"/>
                    </w:rPr>
                  </w:pPr>
                  <w:r>
                    <w:rPr>
                      <w:szCs w:val="21"/>
                    </w:rPr>
                    <w:t>10</w:t>
                  </w:r>
                </w:p>
              </w:tc>
              <w:tc>
                <w:tcPr>
                  <w:tcW w:w="178" w:type="pct"/>
                  <w:shd w:val="clear" w:color="auto" w:fill="auto"/>
                  <w:vAlign w:val="center"/>
                </w:tcPr>
                <w:p w14:paraId="071082E2">
                  <w:pPr>
                    <w:adjustRightInd w:val="0"/>
                    <w:snapToGrid w:val="0"/>
                    <w:spacing w:line="260" w:lineRule="exact"/>
                    <w:jc w:val="center"/>
                    <w:rPr>
                      <w:szCs w:val="21"/>
                    </w:rPr>
                  </w:pPr>
                  <w:r>
                    <w:rPr>
                      <w:rFonts w:hint="eastAsia"/>
                      <w:szCs w:val="21"/>
                    </w:rPr>
                    <w:t>/</w:t>
                  </w:r>
                </w:p>
              </w:tc>
              <w:tc>
                <w:tcPr>
                  <w:tcW w:w="239" w:type="pct"/>
                  <w:vMerge w:val="continue"/>
                  <w:shd w:val="clear" w:color="auto" w:fill="auto"/>
                  <w:vAlign w:val="center"/>
                </w:tcPr>
                <w:p w14:paraId="369928AF">
                  <w:pPr>
                    <w:pStyle w:val="69"/>
                    <w:spacing w:line="260" w:lineRule="exact"/>
                    <w:rPr>
                      <w:rFonts w:ascii="Times New Roman" w:hAnsi="Times New Roman"/>
                    </w:rPr>
                  </w:pPr>
                </w:p>
              </w:tc>
              <w:tc>
                <w:tcPr>
                  <w:tcW w:w="300" w:type="pct"/>
                  <w:vMerge w:val="continue"/>
                  <w:shd w:val="clear" w:color="auto" w:fill="auto"/>
                  <w:vAlign w:val="center"/>
                </w:tcPr>
                <w:p w14:paraId="613A262C">
                  <w:pPr>
                    <w:spacing w:line="260" w:lineRule="exact"/>
                    <w:jc w:val="center"/>
                    <w:rPr>
                      <w:szCs w:val="21"/>
                    </w:rPr>
                  </w:pPr>
                </w:p>
              </w:tc>
            </w:tr>
            <w:tr w14:paraId="466E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vMerge w:val="restart"/>
                  <w:shd w:val="clear" w:color="auto" w:fill="auto"/>
                  <w:vAlign w:val="center"/>
                </w:tcPr>
                <w:p w14:paraId="256E6A8A">
                  <w:pPr>
                    <w:pStyle w:val="69"/>
                    <w:spacing w:line="260" w:lineRule="exact"/>
                    <w:rPr>
                      <w:rFonts w:ascii="Times New Roman" w:hAnsi="Times New Roman"/>
                    </w:rPr>
                  </w:pPr>
                  <w:r>
                    <w:rPr>
                      <w:rFonts w:ascii="Times New Roman" w:hAnsi="Times New Roman"/>
                    </w:rPr>
                    <w:t>污水处理设施</w:t>
                  </w:r>
                </w:p>
              </w:tc>
              <w:tc>
                <w:tcPr>
                  <w:tcW w:w="309" w:type="pct"/>
                  <w:shd w:val="clear" w:color="auto" w:fill="auto"/>
                  <w:vAlign w:val="center"/>
                </w:tcPr>
                <w:p w14:paraId="00E6A3C6">
                  <w:pPr>
                    <w:pStyle w:val="69"/>
                    <w:spacing w:line="260" w:lineRule="exact"/>
                    <w:rPr>
                      <w:rFonts w:ascii="Times New Roman" w:hAnsi="Times New Roman"/>
                    </w:rPr>
                  </w:pPr>
                  <w:r>
                    <w:rPr>
                      <w:rFonts w:ascii="Times New Roman" w:hAnsi="Times New Roman"/>
                      <w:bCs/>
                      <w:spacing w:val="-10"/>
                    </w:rPr>
                    <w:t>NH</w:t>
                  </w:r>
                  <w:r>
                    <w:rPr>
                      <w:rFonts w:ascii="Times New Roman" w:hAnsi="Times New Roman"/>
                      <w:bCs/>
                      <w:spacing w:val="-10"/>
                      <w:vertAlign w:val="subscript"/>
                    </w:rPr>
                    <w:t>3</w:t>
                  </w:r>
                </w:p>
              </w:tc>
              <w:tc>
                <w:tcPr>
                  <w:tcW w:w="302" w:type="pct"/>
                  <w:shd w:val="clear" w:color="auto" w:fill="auto"/>
                  <w:vAlign w:val="center"/>
                </w:tcPr>
                <w:p w14:paraId="0FFD4C83">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5DC73E52">
                  <w:pPr>
                    <w:spacing w:line="260" w:lineRule="exact"/>
                    <w:jc w:val="center"/>
                    <w:rPr>
                      <w:szCs w:val="21"/>
                    </w:rPr>
                  </w:pPr>
                  <w:r>
                    <w:rPr>
                      <w:szCs w:val="21"/>
                    </w:rPr>
                    <w:t>/</w:t>
                  </w:r>
                </w:p>
              </w:tc>
              <w:tc>
                <w:tcPr>
                  <w:tcW w:w="288" w:type="pct"/>
                  <w:shd w:val="clear" w:color="auto" w:fill="auto"/>
                  <w:vAlign w:val="center"/>
                </w:tcPr>
                <w:p w14:paraId="7A982D95">
                  <w:pPr>
                    <w:adjustRightInd w:val="0"/>
                    <w:snapToGrid w:val="0"/>
                    <w:spacing w:line="260" w:lineRule="exact"/>
                    <w:jc w:val="center"/>
                    <w:rPr>
                      <w:szCs w:val="21"/>
                    </w:rPr>
                  </w:pPr>
                  <w:r>
                    <w:rPr>
                      <w:rFonts w:hint="eastAsia"/>
                      <w:szCs w:val="21"/>
                    </w:rPr>
                    <w:t>少量</w:t>
                  </w:r>
                </w:p>
              </w:tc>
              <w:tc>
                <w:tcPr>
                  <w:tcW w:w="217" w:type="pct"/>
                  <w:vMerge w:val="restart"/>
                  <w:shd w:val="clear" w:color="auto" w:fill="auto"/>
                  <w:vAlign w:val="center"/>
                </w:tcPr>
                <w:p w14:paraId="2B6BC34A">
                  <w:pPr>
                    <w:adjustRightInd w:val="0"/>
                    <w:snapToGrid w:val="0"/>
                    <w:spacing w:line="260" w:lineRule="exact"/>
                    <w:jc w:val="center"/>
                    <w:rPr>
                      <w:szCs w:val="21"/>
                    </w:rPr>
                  </w:pPr>
                  <w:r>
                    <w:rPr>
                      <w:szCs w:val="21"/>
                    </w:rPr>
                    <w:t>无组织</w:t>
                  </w:r>
                </w:p>
              </w:tc>
              <w:tc>
                <w:tcPr>
                  <w:tcW w:w="240" w:type="pct"/>
                  <w:shd w:val="clear" w:color="auto" w:fill="auto"/>
                  <w:vAlign w:val="center"/>
                </w:tcPr>
                <w:p w14:paraId="377147E4">
                  <w:pPr>
                    <w:pStyle w:val="69"/>
                    <w:spacing w:line="260" w:lineRule="exact"/>
                    <w:rPr>
                      <w:rFonts w:ascii="Times New Roman" w:hAnsi="Times New Roman"/>
                    </w:rPr>
                  </w:pPr>
                  <w:r>
                    <w:rPr>
                      <w:rFonts w:ascii="Times New Roman" w:hAnsi="Times New Roman"/>
                    </w:rPr>
                    <w:t>/</w:t>
                  </w:r>
                </w:p>
              </w:tc>
              <w:tc>
                <w:tcPr>
                  <w:tcW w:w="229" w:type="pct"/>
                  <w:shd w:val="clear" w:color="auto" w:fill="auto"/>
                  <w:vAlign w:val="center"/>
                </w:tcPr>
                <w:p w14:paraId="7E284901">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0B38E480">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3664F1B2">
                  <w:pPr>
                    <w:pStyle w:val="69"/>
                    <w:spacing w:line="260" w:lineRule="exact"/>
                    <w:rPr>
                      <w:rFonts w:ascii="Times New Roman" w:hAnsi="Times New Roman"/>
                    </w:rPr>
                  </w:pPr>
                  <w:r>
                    <w:rPr>
                      <w:rFonts w:ascii="Times New Roman" w:hAnsi="Times New Roman"/>
                    </w:rPr>
                    <w:t>/</w:t>
                  </w:r>
                </w:p>
              </w:tc>
              <w:tc>
                <w:tcPr>
                  <w:tcW w:w="334" w:type="pct"/>
                  <w:shd w:val="clear" w:color="auto" w:fill="auto"/>
                  <w:vAlign w:val="center"/>
                </w:tcPr>
                <w:p w14:paraId="6A82F90A">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79FDBD80">
                  <w:pPr>
                    <w:pStyle w:val="69"/>
                    <w:spacing w:line="260" w:lineRule="exact"/>
                    <w:rPr>
                      <w:rFonts w:ascii="Times New Roman" w:hAnsi="Times New Roman"/>
                    </w:rPr>
                  </w:pPr>
                  <w:r>
                    <w:rPr>
                      <w:rFonts w:ascii="Times New Roman" w:hAnsi="Times New Roman"/>
                    </w:rPr>
                    <w:t>/</w:t>
                  </w:r>
                </w:p>
              </w:tc>
              <w:tc>
                <w:tcPr>
                  <w:tcW w:w="245" w:type="pct"/>
                  <w:shd w:val="clear" w:color="auto" w:fill="auto"/>
                  <w:vAlign w:val="center"/>
                </w:tcPr>
                <w:p w14:paraId="63156A57">
                  <w:pPr>
                    <w:pStyle w:val="69"/>
                    <w:spacing w:line="260" w:lineRule="exact"/>
                    <w:rPr>
                      <w:rFonts w:ascii="Times New Roman" w:hAnsi="Times New Roman"/>
                    </w:rPr>
                  </w:pPr>
                  <w:r>
                    <w:rPr>
                      <w:rFonts w:ascii="Times New Roman" w:hAnsi="Times New Roman"/>
                    </w:rPr>
                    <w:t>/</w:t>
                  </w:r>
                </w:p>
              </w:tc>
              <w:tc>
                <w:tcPr>
                  <w:tcW w:w="335" w:type="pct"/>
                  <w:shd w:val="clear" w:color="auto" w:fill="auto"/>
                  <w:vAlign w:val="center"/>
                </w:tcPr>
                <w:p w14:paraId="1DE1CFA6">
                  <w:pPr>
                    <w:adjustRightInd w:val="0"/>
                    <w:snapToGrid w:val="0"/>
                    <w:spacing w:line="260" w:lineRule="exact"/>
                    <w:jc w:val="center"/>
                    <w:rPr>
                      <w:szCs w:val="21"/>
                    </w:rPr>
                  </w:pPr>
                  <w:r>
                    <w:rPr>
                      <w:rFonts w:hint="eastAsia"/>
                      <w:szCs w:val="21"/>
                    </w:rPr>
                    <w:t>少量</w:t>
                  </w:r>
                </w:p>
              </w:tc>
              <w:tc>
                <w:tcPr>
                  <w:tcW w:w="262" w:type="pct"/>
                  <w:shd w:val="clear" w:color="auto" w:fill="auto"/>
                  <w:vAlign w:val="center"/>
                </w:tcPr>
                <w:p w14:paraId="0020A0FA">
                  <w:pPr>
                    <w:widowControl/>
                    <w:jc w:val="center"/>
                    <w:rPr>
                      <w:rStyle w:val="164"/>
                      <w:rFonts w:hint="default" w:ascii="Times New Roman" w:hAnsi="Times New Roman" w:eastAsia="宋体"/>
                      <w:color w:val="auto"/>
                    </w:rPr>
                  </w:pPr>
                  <w:r>
                    <w:rPr>
                      <w:rStyle w:val="164"/>
                      <w:rFonts w:hint="default" w:ascii="Times New Roman" w:hAnsi="Times New Roman" w:eastAsia="宋体"/>
                      <w:color w:val="auto"/>
                    </w:rPr>
                    <w:t>1.5</w:t>
                  </w:r>
                </w:p>
              </w:tc>
              <w:tc>
                <w:tcPr>
                  <w:tcW w:w="178" w:type="pct"/>
                  <w:shd w:val="clear" w:color="auto" w:fill="auto"/>
                  <w:vAlign w:val="center"/>
                </w:tcPr>
                <w:p w14:paraId="5BF2A65E">
                  <w:pPr>
                    <w:adjustRightInd w:val="0"/>
                    <w:snapToGrid w:val="0"/>
                    <w:spacing w:line="260" w:lineRule="exact"/>
                    <w:jc w:val="center"/>
                    <w:rPr>
                      <w:szCs w:val="21"/>
                    </w:rPr>
                  </w:pPr>
                  <w:r>
                    <w:rPr>
                      <w:rFonts w:hint="eastAsia"/>
                      <w:szCs w:val="21"/>
                    </w:rPr>
                    <w:t>/</w:t>
                  </w:r>
                </w:p>
              </w:tc>
              <w:tc>
                <w:tcPr>
                  <w:tcW w:w="239" w:type="pct"/>
                  <w:vMerge w:val="restart"/>
                  <w:shd w:val="clear" w:color="auto" w:fill="auto"/>
                  <w:vAlign w:val="center"/>
                </w:tcPr>
                <w:p w14:paraId="62B105AD">
                  <w:pPr>
                    <w:pStyle w:val="69"/>
                    <w:spacing w:line="260" w:lineRule="exact"/>
                    <w:rPr>
                      <w:rFonts w:ascii="Times New Roman" w:hAnsi="Times New Roman"/>
                    </w:rPr>
                  </w:pPr>
                  <w:r>
                    <w:rPr>
                      <w:rFonts w:ascii="Times New Roman" w:hAnsi="Times New Roman"/>
                    </w:rPr>
                    <w:t>7920</w:t>
                  </w:r>
                </w:p>
              </w:tc>
              <w:tc>
                <w:tcPr>
                  <w:tcW w:w="300" w:type="pct"/>
                  <w:shd w:val="clear" w:color="auto" w:fill="auto"/>
                  <w:vAlign w:val="center"/>
                </w:tcPr>
                <w:p w14:paraId="0196F175">
                  <w:pPr>
                    <w:pStyle w:val="69"/>
                    <w:spacing w:line="260" w:lineRule="exact"/>
                    <w:rPr>
                      <w:rFonts w:ascii="Times New Roman" w:hAnsi="Times New Roman"/>
                    </w:rPr>
                  </w:pPr>
                  <w:r>
                    <w:rPr>
                      <w:rFonts w:ascii="Times New Roman" w:hAnsi="Times New Roman"/>
                    </w:rPr>
                    <w:t>/</w:t>
                  </w:r>
                </w:p>
              </w:tc>
            </w:tr>
            <w:tr w14:paraId="2FA2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vMerge w:val="continue"/>
                  <w:shd w:val="clear" w:color="auto" w:fill="auto"/>
                  <w:vAlign w:val="center"/>
                </w:tcPr>
                <w:p w14:paraId="432A5423">
                  <w:pPr>
                    <w:pStyle w:val="69"/>
                    <w:spacing w:line="260" w:lineRule="exact"/>
                    <w:rPr>
                      <w:rFonts w:ascii="Times New Roman" w:hAnsi="Times New Roman"/>
                    </w:rPr>
                  </w:pPr>
                </w:p>
              </w:tc>
              <w:tc>
                <w:tcPr>
                  <w:tcW w:w="309" w:type="pct"/>
                  <w:shd w:val="clear" w:color="auto" w:fill="auto"/>
                  <w:vAlign w:val="center"/>
                </w:tcPr>
                <w:p w14:paraId="365DF03E">
                  <w:pPr>
                    <w:pStyle w:val="69"/>
                    <w:spacing w:line="260" w:lineRule="exact"/>
                    <w:rPr>
                      <w:rFonts w:ascii="Times New Roman" w:hAnsi="Times New Roman"/>
                    </w:rPr>
                  </w:pPr>
                  <w:r>
                    <w:rPr>
                      <w:rFonts w:ascii="Times New Roman" w:hAnsi="Times New Roman"/>
                      <w:bCs/>
                      <w:spacing w:val="-10"/>
                    </w:rPr>
                    <w:t>H</w:t>
                  </w:r>
                  <w:r>
                    <w:rPr>
                      <w:rFonts w:ascii="Times New Roman" w:hAnsi="Times New Roman"/>
                      <w:bCs/>
                      <w:spacing w:val="-10"/>
                      <w:vertAlign w:val="subscript"/>
                    </w:rPr>
                    <w:t>2</w:t>
                  </w:r>
                  <w:r>
                    <w:rPr>
                      <w:rFonts w:ascii="Times New Roman" w:hAnsi="Times New Roman"/>
                      <w:bCs/>
                      <w:spacing w:val="-10"/>
                    </w:rPr>
                    <w:t>S</w:t>
                  </w:r>
                </w:p>
              </w:tc>
              <w:tc>
                <w:tcPr>
                  <w:tcW w:w="302" w:type="pct"/>
                  <w:shd w:val="clear" w:color="auto" w:fill="auto"/>
                  <w:vAlign w:val="center"/>
                </w:tcPr>
                <w:p w14:paraId="6430EC87">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03BE995C">
                  <w:pPr>
                    <w:spacing w:line="260" w:lineRule="exact"/>
                    <w:jc w:val="center"/>
                    <w:rPr>
                      <w:szCs w:val="21"/>
                    </w:rPr>
                  </w:pPr>
                  <w:r>
                    <w:rPr>
                      <w:szCs w:val="21"/>
                    </w:rPr>
                    <w:t>/</w:t>
                  </w:r>
                </w:p>
              </w:tc>
              <w:tc>
                <w:tcPr>
                  <w:tcW w:w="288" w:type="pct"/>
                  <w:shd w:val="clear" w:color="auto" w:fill="auto"/>
                  <w:vAlign w:val="center"/>
                </w:tcPr>
                <w:p w14:paraId="23312870">
                  <w:pPr>
                    <w:adjustRightInd w:val="0"/>
                    <w:snapToGrid w:val="0"/>
                    <w:spacing w:line="260" w:lineRule="exact"/>
                    <w:jc w:val="center"/>
                    <w:rPr>
                      <w:szCs w:val="21"/>
                    </w:rPr>
                  </w:pPr>
                  <w:r>
                    <w:rPr>
                      <w:rFonts w:hint="eastAsia"/>
                      <w:szCs w:val="21"/>
                    </w:rPr>
                    <w:t>少量</w:t>
                  </w:r>
                </w:p>
              </w:tc>
              <w:tc>
                <w:tcPr>
                  <w:tcW w:w="217" w:type="pct"/>
                  <w:vMerge w:val="continue"/>
                  <w:shd w:val="clear" w:color="auto" w:fill="auto"/>
                  <w:vAlign w:val="center"/>
                </w:tcPr>
                <w:p w14:paraId="0432AA2D">
                  <w:pPr>
                    <w:adjustRightInd w:val="0"/>
                    <w:snapToGrid w:val="0"/>
                    <w:spacing w:line="260" w:lineRule="exact"/>
                    <w:jc w:val="center"/>
                    <w:rPr>
                      <w:szCs w:val="21"/>
                    </w:rPr>
                  </w:pPr>
                </w:p>
              </w:tc>
              <w:tc>
                <w:tcPr>
                  <w:tcW w:w="240" w:type="pct"/>
                  <w:shd w:val="clear" w:color="auto" w:fill="auto"/>
                  <w:vAlign w:val="center"/>
                </w:tcPr>
                <w:p w14:paraId="1FF7F764">
                  <w:pPr>
                    <w:pStyle w:val="69"/>
                    <w:spacing w:line="260" w:lineRule="exact"/>
                    <w:rPr>
                      <w:rFonts w:ascii="Times New Roman" w:hAnsi="Times New Roman"/>
                    </w:rPr>
                  </w:pPr>
                  <w:r>
                    <w:rPr>
                      <w:rFonts w:ascii="Times New Roman" w:hAnsi="Times New Roman"/>
                    </w:rPr>
                    <w:t>/</w:t>
                  </w:r>
                </w:p>
              </w:tc>
              <w:tc>
                <w:tcPr>
                  <w:tcW w:w="229" w:type="pct"/>
                  <w:shd w:val="clear" w:color="auto" w:fill="auto"/>
                  <w:vAlign w:val="center"/>
                </w:tcPr>
                <w:p w14:paraId="7FCE74A8">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6ADFFDBD">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06A38182">
                  <w:pPr>
                    <w:pStyle w:val="69"/>
                    <w:spacing w:line="260" w:lineRule="exact"/>
                    <w:rPr>
                      <w:rFonts w:ascii="Times New Roman" w:hAnsi="Times New Roman"/>
                    </w:rPr>
                  </w:pPr>
                  <w:r>
                    <w:rPr>
                      <w:rFonts w:ascii="Times New Roman" w:hAnsi="Times New Roman"/>
                    </w:rPr>
                    <w:t>/</w:t>
                  </w:r>
                </w:p>
              </w:tc>
              <w:tc>
                <w:tcPr>
                  <w:tcW w:w="334" w:type="pct"/>
                  <w:shd w:val="clear" w:color="auto" w:fill="auto"/>
                  <w:vAlign w:val="center"/>
                </w:tcPr>
                <w:p w14:paraId="375660C1">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109F7457">
                  <w:pPr>
                    <w:pStyle w:val="69"/>
                    <w:spacing w:line="260" w:lineRule="exact"/>
                    <w:rPr>
                      <w:rFonts w:ascii="Times New Roman" w:hAnsi="Times New Roman"/>
                    </w:rPr>
                  </w:pPr>
                  <w:r>
                    <w:rPr>
                      <w:rFonts w:ascii="Times New Roman" w:hAnsi="Times New Roman"/>
                    </w:rPr>
                    <w:t>/</w:t>
                  </w:r>
                </w:p>
              </w:tc>
              <w:tc>
                <w:tcPr>
                  <w:tcW w:w="245" w:type="pct"/>
                  <w:shd w:val="clear" w:color="auto" w:fill="auto"/>
                  <w:vAlign w:val="center"/>
                </w:tcPr>
                <w:p w14:paraId="1A6223E9">
                  <w:pPr>
                    <w:pStyle w:val="69"/>
                    <w:spacing w:line="260" w:lineRule="exact"/>
                    <w:rPr>
                      <w:rFonts w:ascii="Times New Roman" w:hAnsi="Times New Roman"/>
                    </w:rPr>
                  </w:pPr>
                  <w:r>
                    <w:rPr>
                      <w:rFonts w:ascii="Times New Roman" w:hAnsi="Times New Roman"/>
                    </w:rPr>
                    <w:t>/</w:t>
                  </w:r>
                </w:p>
              </w:tc>
              <w:tc>
                <w:tcPr>
                  <w:tcW w:w="335" w:type="pct"/>
                  <w:shd w:val="clear" w:color="auto" w:fill="auto"/>
                  <w:vAlign w:val="center"/>
                </w:tcPr>
                <w:p w14:paraId="2BBFCB32">
                  <w:pPr>
                    <w:adjustRightInd w:val="0"/>
                    <w:snapToGrid w:val="0"/>
                    <w:spacing w:line="260" w:lineRule="exact"/>
                    <w:jc w:val="center"/>
                    <w:rPr>
                      <w:szCs w:val="21"/>
                    </w:rPr>
                  </w:pPr>
                  <w:r>
                    <w:rPr>
                      <w:rFonts w:hint="eastAsia"/>
                      <w:szCs w:val="21"/>
                    </w:rPr>
                    <w:t>少量</w:t>
                  </w:r>
                </w:p>
              </w:tc>
              <w:tc>
                <w:tcPr>
                  <w:tcW w:w="262" w:type="pct"/>
                  <w:shd w:val="clear" w:color="auto" w:fill="auto"/>
                  <w:vAlign w:val="center"/>
                </w:tcPr>
                <w:p w14:paraId="23A82105">
                  <w:pPr>
                    <w:widowControl/>
                    <w:jc w:val="center"/>
                    <w:rPr>
                      <w:rStyle w:val="164"/>
                      <w:rFonts w:hint="default" w:ascii="Times New Roman" w:hAnsi="Times New Roman" w:eastAsia="宋体"/>
                      <w:color w:val="auto"/>
                    </w:rPr>
                  </w:pPr>
                  <w:r>
                    <w:rPr>
                      <w:rStyle w:val="164"/>
                      <w:rFonts w:hint="default" w:ascii="Times New Roman" w:hAnsi="Times New Roman" w:eastAsia="宋体"/>
                      <w:color w:val="auto"/>
                    </w:rPr>
                    <w:t>0.06</w:t>
                  </w:r>
                </w:p>
              </w:tc>
              <w:tc>
                <w:tcPr>
                  <w:tcW w:w="178" w:type="pct"/>
                  <w:shd w:val="clear" w:color="auto" w:fill="auto"/>
                  <w:vAlign w:val="center"/>
                </w:tcPr>
                <w:p w14:paraId="74341E4C">
                  <w:pPr>
                    <w:adjustRightInd w:val="0"/>
                    <w:snapToGrid w:val="0"/>
                    <w:spacing w:line="260" w:lineRule="exact"/>
                    <w:jc w:val="center"/>
                    <w:rPr>
                      <w:szCs w:val="21"/>
                    </w:rPr>
                  </w:pPr>
                  <w:r>
                    <w:rPr>
                      <w:rFonts w:hint="eastAsia"/>
                      <w:szCs w:val="21"/>
                    </w:rPr>
                    <w:t>/</w:t>
                  </w:r>
                </w:p>
              </w:tc>
              <w:tc>
                <w:tcPr>
                  <w:tcW w:w="239" w:type="pct"/>
                  <w:vMerge w:val="continue"/>
                  <w:shd w:val="clear" w:color="auto" w:fill="auto"/>
                  <w:vAlign w:val="center"/>
                </w:tcPr>
                <w:p w14:paraId="2542698D">
                  <w:pPr>
                    <w:pStyle w:val="69"/>
                    <w:spacing w:line="260" w:lineRule="exact"/>
                    <w:rPr>
                      <w:rFonts w:ascii="Times New Roman" w:hAnsi="Times New Roman"/>
                    </w:rPr>
                  </w:pPr>
                </w:p>
              </w:tc>
              <w:tc>
                <w:tcPr>
                  <w:tcW w:w="300" w:type="pct"/>
                  <w:shd w:val="clear" w:color="auto" w:fill="auto"/>
                  <w:vAlign w:val="center"/>
                </w:tcPr>
                <w:p w14:paraId="6ED41220">
                  <w:pPr>
                    <w:pStyle w:val="69"/>
                    <w:spacing w:line="260" w:lineRule="exact"/>
                    <w:rPr>
                      <w:rFonts w:ascii="Times New Roman" w:hAnsi="Times New Roman"/>
                    </w:rPr>
                  </w:pPr>
                  <w:r>
                    <w:rPr>
                      <w:rFonts w:ascii="Times New Roman" w:hAnsi="Times New Roman"/>
                    </w:rPr>
                    <w:t>/</w:t>
                  </w:r>
                </w:p>
              </w:tc>
            </w:tr>
            <w:tr w14:paraId="4C43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30" w:type="pct"/>
                  <w:gridSpan w:val="3"/>
                  <w:vMerge w:val="continue"/>
                  <w:shd w:val="clear" w:color="auto" w:fill="auto"/>
                  <w:vAlign w:val="center"/>
                </w:tcPr>
                <w:p w14:paraId="3B694D57">
                  <w:pPr>
                    <w:pStyle w:val="69"/>
                    <w:spacing w:line="260" w:lineRule="exact"/>
                    <w:rPr>
                      <w:rFonts w:ascii="Times New Roman" w:hAnsi="Times New Roman"/>
                    </w:rPr>
                  </w:pPr>
                </w:p>
              </w:tc>
              <w:tc>
                <w:tcPr>
                  <w:tcW w:w="309" w:type="pct"/>
                  <w:shd w:val="clear" w:color="auto" w:fill="auto"/>
                  <w:vAlign w:val="center"/>
                </w:tcPr>
                <w:p w14:paraId="291A3673">
                  <w:pPr>
                    <w:pStyle w:val="69"/>
                    <w:spacing w:line="260" w:lineRule="exact"/>
                    <w:rPr>
                      <w:rFonts w:ascii="Times New Roman" w:hAnsi="Times New Roman"/>
                    </w:rPr>
                  </w:pPr>
                  <w:r>
                    <w:rPr>
                      <w:rFonts w:hint="eastAsia" w:ascii="Times New Roman" w:hAnsi="Times New Roman"/>
                    </w:rPr>
                    <w:t>臭气浓度</w:t>
                  </w:r>
                  <w:r>
                    <w:rPr>
                      <w:rStyle w:val="164"/>
                      <w:rFonts w:hint="default" w:ascii="Times New Roman" w:hAnsi="Times New Roman" w:eastAsia="宋体"/>
                      <w:color w:val="auto"/>
                    </w:rPr>
                    <w:t>（无量纲）</w:t>
                  </w:r>
                </w:p>
              </w:tc>
              <w:tc>
                <w:tcPr>
                  <w:tcW w:w="302" w:type="pct"/>
                  <w:shd w:val="clear" w:color="auto" w:fill="auto"/>
                  <w:vAlign w:val="center"/>
                </w:tcPr>
                <w:p w14:paraId="7414B36B">
                  <w:pPr>
                    <w:pStyle w:val="69"/>
                    <w:spacing w:line="260" w:lineRule="exact"/>
                    <w:rPr>
                      <w:rFonts w:ascii="Times New Roman" w:hAnsi="Times New Roman"/>
                    </w:rPr>
                  </w:pPr>
                  <w:r>
                    <w:rPr>
                      <w:rFonts w:ascii="Times New Roman" w:hAnsi="Times New Roman"/>
                    </w:rPr>
                    <w:t>/</w:t>
                  </w:r>
                </w:p>
              </w:tc>
              <w:tc>
                <w:tcPr>
                  <w:tcW w:w="283" w:type="pct"/>
                  <w:shd w:val="clear" w:color="auto" w:fill="auto"/>
                  <w:vAlign w:val="center"/>
                </w:tcPr>
                <w:p w14:paraId="2F6D0678">
                  <w:pPr>
                    <w:spacing w:line="260" w:lineRule="exact"/>
                    <w:jc w:val="center"/>
                    <w:rPr>
                      <w:szCs w:val="21"/>
                    </w:rPr>
                  </w:pPr>
                  <w:r>
                    <w:rPr>
                      <w:szCs w:val="21"/>
                    </w:rPr>
                    <w:t>/</w:t>
                  </w:r>
                </w:p>
              </w:tc>
              <w:tc>
                <w:tcPr>
                  <w:tcW w:w="288" w:type="pct"/>
                  <w:shd w:val="clear" w:color="auto" w:fill="auto"/>
                  <w:vAlign w:val="center"/>
                </w:tcPr>
                <w:p w14:paraId="59DE0A3A">
                  <w:pPr>
                    <w:adjustRightInd w:val="0"/>
                    <w:snapToGrid w:val="0"/>
                    <w:spacing w:line="260" w:lineRule="exact"/>
                    <w:jc w:val="center"/>
                    <w:rPr>
                      <w:szCs w:val="21"/>
                    </w:rPr>
                  </w:pPr>
                  <w:r>
                    <w:rPr>
                      <w:rFonts w:hint="eastAsia"/>
                      <w:szCs w:val="21"/>
                    </w:rPr>
                    <w:t>少量</w:t>
                  </w:r>
                </w:p>
              </w:tc>
              <w:tc>
                <w:tcPr>
                  <w:tcW w:w="217" w:type="pct"/>
                  <w:vMerge w:val="continue"/>
                  <w:shd w:val="clear" w:color="auto" w:fill="auto"/>
                  <w:vAlign w:val="center"/>
                </w:tcPr>
                <w:p w14:paraId="54F5AF09">
                  <w:pPr>
                    <w:adjustRightInd w:val="0"/>
                    <w:snapToGrid w:val="0"/>
                    <w:spacing w:line="260" w:lineRule="exact"/>
                    <w:jc w:val="center"/>
                    <w:rPr>
                      <w:szCs w:val="21"/>
                    </w:rPr>
                  </w:pPr>
                </w:p>
              </w:tc>
              <w:tc>
                <w:tcPr>
                  <w:tcW w:w="240" w:type="pct"/>
                  <w:shd w:val="clear" w:color="auto" w:fill="auto"/>
                  <w:vAlign w:val="center"/>
                </w:tcPr>
                <w:p w14:paraId="1C8A7A7A">
                  <w:pPr>
                    <w:pStyle w:val="69"/>
                    <w:spacing w:line="260" w:lineRule="exact"/>
                    <w:rPr>
                      <w:rFonts w:ascii="Times New Roman" w:hAnsi="Times New Roman"/>
                    </w:rPr>
                  </w:pPr>
                  <w:r>
                    <w:rPr>
                      <w:rFonts w:ascii="Times New Roman" w:hAnsi="Times New Roman"/>
                    </w:rPr>
                    <w:t>/</w:t>
                  </w:r>
                </w:p>
              </w:tc>
              <w:tc>
                <w:tcPr>
                  <w:tcW w:w="229" w:type="pct"/>
                  <w:shd w:val="clear" w:color="auto" w:fill="auto"/>
                  <w:vAlign w:val="center"/>
                </w:tcPr>
                <w:p w14:paraId="0AF09FF3">
                  <w:pPr>
                    <w:pStyle w:val="69"/>
                    <w:spacing w:line="260" w:lineRule="exact"/>
                    <w:rPr>
                      <w:rFonts w:ascii="Times New Roman" w:hAnsi="Times New Roman"/>
                    </w:rPr>
                  </w:pPr>
                  <w:r>
                    <w:rPr>
                      <w:rFonts w:ascii="Times New Roman" w:hAnsi="Times New Roman"/>
                    </w:rPr>
                    <w:t>/</w:t>
                  </w:r>
                </w:p>
              </w:tc>
              <w:tc>
                <w:tcPr>
                  <w:tcW w:w="305" w:type="pct"/>
                  <w:shd w:val="clear" w:color="auto" w:fill="auto"/>
                  <w:vAlign w:val="center"/>
                </w:tcPr>
                <w:p w14:paraId="37196AED">
                  <w:pPr>
                    <w:pStyle w:val="69"/>
                    <w:spacing w:line="260" w:lineRule="exact"/>
                    <w:rPr>
                      <w:rFonts w:ascii="Times New Roman" w:hAnsi="Times New Roman"/>
                    </w:rPr>
                  </w:pPr>
                  <w:r>
                    <w:rPr>
                      <w:rFonts w:ascii="Times New Roman" w:hAnsi="Times New Roman"/>
                    </w:rPr>
                    <w:t>/</w:t>
                  </w:r>
                </w:p>
              </w:tc>
              <w:tc>
                <w:tcPr>
                  <w:tcW w:w="241" w:type="pct"/>
                  <w:shd w:val="clear" w:color="auto" w:fill="auto"/>
                  <w:vAlign w:val="center"/>
                </w:tcPr>
                <w:p w14:paraId="1C44F2B1">
                  <w:pPr>
                    <w:pStyle w:val="69"/>
                    <w:spacing w:line="260" w:lineRule="exact"/>
                    <w:rPr>
                      <w:rFonts w:ascii="Times New Roman" w:hAnsi="Times New Roman"/>
                    </w:rPr>
                  </w:pPr>
                  <w:r>
                    <w:rPr>
                      <w:rFonts w:ascii="Times New Roman" w:hAnsi="Times New Roman"/>
                    </w:rPr>
                    <w:t>/</w:t>
                  </w:r>
                </w:p>
              </w:tc>
              <w:tc>
                <w:tcPr>
                  <w:tcW w:w="334" w:type="pct"/>
                  <w:shd w:val="clear" w:color="auto" w:fill="auto"/>
                  <w:vAlign w:val="center"/>
                </w:tcPr>
                <w:p w14:paraId="1D938420">
                  <w:pPr>
                    <w:pStyle w:val="69"/>
                    <w:spacing w:line="260" w:lineRule="exact"/>
                    <w:rPr>
                      <w:rFonts w:ascii="Times New Roman" w:hAnsi="Times New Roman"/>
                    </w:rPr>
                  </w:pPr>
                  <w:r>
                    <w:rPr>
                      <w:rFonts w:ascii="Times New Roman" w:hAnsi="Times New Roman"/>
                    </w:rPr>
                    <w:t>/</w:t>
                  </w:r>
                </w:p>
              </w:tc>
              <w:tc>
                <w:tcPr>
                  <w:tcW w:w="262" w:type="pct"/>
                  <w:shd w:val="clear" w:color="auto" w:fill="auto"/>
                  <w:vAlign w:val="center"/>
                </w:tcPr>
                <w:p w14:paraId="7C3C79A2">
                  <w:pPr>
                    <w:pStyle w:val="69"/>
                    <w:spacing w:line="260" w:lineRule="exact"/>
                    <w:rPr>
                      <w:rFonts w:ascii="Times New Roman" w:hAnsi="Times New Roman"/>
                    </w:rPr>
                  </w:pPr>
                  <w:r>
                    <w:rPr>
                      <w:rFonts w:ascii="Times New Roman" w:hAnsi="Times New Roman"/>
                    </w:rPr>
                    <w:t>/</w:t>
                  </w:r>
                </w:p>
              </w:tc>
              <w:tc>
                <w:tcPr>
                  <w:tcW w:w="245" w:type="pct"/>
                  <w:shd w:val="clear" w:color="auto" w:fill="auto"/>
                  <w:vAlign w:val="center"/>
                </w:tcPr>
                <w:p w14:paraId="6D15CECB">
                  <w:pPr>
                    <w:pStyle w:val="69"/>
                    <w:spacing w:line="260" w:lineRule="exact"/>
                    <w:rPr>
                      <w:rFonts w:ascii="Times New Roman" w:hAnsi="Times New Roman"/>
                    </w:rPr>
                  </w:pPr>
                  <w:r>
                    <w:rPr>
                      <w:rFonts w:ascii="Times New Roman" w:hAnsi="Times New Roman"/>
                    </w:rPr>
                    <w:t>/</w:t>
                  </w:r>
                </w:p>
              </w:tc>
              <w:tc>
                <w:tcPr>
                  <w:tcW w:w="335" w:type="pct"/>
                  <w:shd w:val="clear" w:color="auto" w:fill="auto"/>
                  <w:vAlign w:val="center"/>
                </w:tcPr>
                <w:p w14:paraId="4200F26C">
                  <w:pPr>
                    <w:adjustRightInd w:val="0"/>
                    <w:snapToGrid w:val="0"/>
                    <w:spacing w:line="260" w:lineRule="exact"/>
                    <w:jc w:val="center"/>
                    <w:rPr>
                      <w:szCs w:val="21"/>
                    </w:rPr>
                  </w:pPr>
                  <w:r>
                    <w:rPr>
                      <w:rFonts w:hint="eastAsia"/>
                      <w:szCs w:val="21"/>
                    </w:rPr>
                    <w:t>少量</w:t>
                  </w:r>
                </w:p>
              </w:tc>
              <w:tc>
                <w:tcPr>
                  <w:tcW w:w="262" w:type="pct"/>
                  <w:shd w:val="clear" w:color="auto" w:fill="auto"/>
                  <w:vAlign w:val="center"/>
                </w:tcPr>
                <w:p w14:paraId="1444999B">
                  <w:pPr>
                    <w:widowControl/>
                    <w:jc w:val="center"/>
                    <w:rPr>
                      <w:rStyle w:val="164"/>
                      <w:rFonts w:hint="default" w:ascii="Times New Roman" w:hAnsi="Times New Roman" w:eastAsia="宋体"/>
                      <w:color w:val="auto"/>
                    </w:rPr>
                  </w:pPr>
                  <w:r>
                    <w:rPr>
                      <w:rStyle w:val="164"/>
                      <w:rFonts w:hint="default" w:ascii="Times New Roman" w:hAnsi="Times New Roman" w:eastAsia="宋体"/>
                      <w:color w:val="auto"/>
                    </w:rPr>
                    <w:t>20</w:t>
                  </w:r>
                </w:p>
              </w:tc>
              <w:tc>
                <w:tcPr>
                  <w:tcW w:w="178" w:type="pct"/>
                  <w:shd w:val="clear" w:color="auto" w:fill="auto"/>
                  <w:vAlign w:val="center"/>
                </w:tcPr>
                <w:p w14:paraId="364B967D">
                  <w:pPr>
                    <w:adjustRightInd w:val="0"/>
                    <w:snapToGrid w:val="0"/>
                    <w:spacing w:line="260" w:lineRule="exact"/>
                    <w:jc w:val="center"/>
                    <w:rPr>
                      <w:szCs w:val="21"/>
                    </w:rPr>
                  </w:pPr>
                  <w:r>
                    <w:rPr>
                      <w:rFonts w:hint="eastAsia"/>
                      <w:szCs w:val="21"/>
                    </w:rPr>
                    <w:t>/</w:t>
                  </w:r>
                </w:p>
              </w:tc>
              <w:tc>
                <w:tcPr>
                  <w:tcW w:w="239" w:type="pct"/>
                  <w:vMerge w:val="continue"/>
                  <w:shd w:val="clear" w:color="auto" w:fill="auto"/>
                  <w:vAlign w:val="center"/>
                </w:tcPr>
                <w:p w14:paraId="00796330">
                  <w:pPr>
                    <w:pStyle w:val="69"/>
                    <w:spacing w:line="260" w:lineRule="exact"/>
                    <w:rPr>
                      <w:rFonts w:ascii="Times New Roman" w:hAnsi="Times New Roman"/>
                    </w:rPr>
                  </w:pPr>
                </w:p>
              </w:tc>
              <w:tc>
                <w:tcPr>
                  <w:tcW w:w="300" w:type="pct"/>
                  <w:shd w:val="clear" w:color="auto" w:fill="auto"/>
                  <w:vAlign w:val="center"/>
                </w:tcPr>
                <w:p w14:paraId="3297C528">
                  <w:pPr>
                    <w:pStyle w:val="69"/>
                    <w:spacing w:line="260" w:lineRule="exact"/>
                    <w:rPr>
                      <w:rFonts w:ascii="Times New Roman" w:hAnsi="Times New Roman"/>
                    </w:rPr>
                  </w:pPr>
                  <w:r>
                    <w:rPr>
                      <w:rFonts w:ascii="Times New Roman" w:hAnsi="Times New Roman"/>
                    </w:rPr>
                    <w:t>/</w:t>
                  </w:r>
                </w:p>
              </w:tc>
            </w:tr>
          </w:tbl>
          <w:p w14:paraId="199EC4CF">
            <w:pPr>
              <w:jc w:val="center"/>
              <w:rPr>
                <w:sz w:val="24"/>
              </w:rPr>
            </w:pPr>
          </w:p>
        </w:tc>
      </w:tr>
    </w:tbl>
    <w:p w14:paraId="15D5BEC2">
      <w:pPr>
        <w:rPr>
          <w:sz w:val="28"/>
          <w:szCs w:val="28"/>
        </w:rPr>
        <w:sectPr>
          <w:pgSz w:w="16840" w:h="11907" w:orient="landscape"/>
          <w:pgMar w:top="1531" w:right="1701" w:bottom="1531" w:left="2126" w:header="851" w:footer="851" w:gutter="0"/>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08"/>
      </w:tblGrid>
      <w:tr w14:paraId="4D15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shd w:val="clear" w:color="auto" w:fill="auto"/>
            <w:vAlign w:val="center"/>
          </w:tcPr>
          <w:p w14:paraId="11CB2BDE">
            <w:pPr>
              <w:adjustRightInd w:val="0"/>
              <w:snapToGrid w:val="0"/>
              <w:jc w:val="center"/>
              <w:rPr>
                <w:bCs/>
                <w:szCs w:val="21"/>
              </w:rPr>
            </w:pPr>
            <w:r>
              <w:rPr>
                <w:bCs/>
                <w:szCs w:val="21"/>
              </w:rPr>
              <w:t>运营</w:t>
            </w:r>
          </w:p>
          <w:p w14:paraId="0083ADFD">
            <w:pPr>
              <w:adjustRightInd w:val="0"/>
              <w:snapToGrid w:val="0"/>
              <w:jc w:val="center"/>
              <w:rPr>
                <w:bCs/>
                <w:szCs w:val="21"/>
              </w:rPr>
            </w:pPr>
            <w:r>
              <w:rPr>
                <w:bCs/>
                <w:szCs w:val="21"/>
              </w:rPr>
              <w:t>期环</w:t>
            </w:r>
          </w:p>
          <w:p w14:paraId="63542578">
            <w:pPr>
              <w:adjustRightInd w:val="0"/>
              <w:snapToGrid w:val="0"/>
              <w:jc w:val="center"/>
              <w:rPr>
                <w:bCs/>
                <w:szCs w:val="21"/>
              </w:rPr>
            </w:pPr>
            <w:r>
              <w:rPr>
                <w:bCs/>
                <w:szCs w:val="21"/>
              </w:rPr>
              <w:t>境影</w:t>
            </w:r>
          </w:p>
          <w:p w14:paraId="2C50CF01">
            <w:pPr>
              <w:adjustRightInd w:val="0"/>
              <w:snapToGrid w:val="0"/>
              <w:jc w:val="center"/>
              <w:rPr>
                <w:bCs/>
                <w:szCs w:val="21"/>
              </w:rPr>
            </w:pPr>
            <w:r>
              <w:rPr>
                <w:bCs/>
                <w:szCs w:val="21"/>
              </w:rPr>
              <w:t>响和</w:t>
            </w:r>
          </w:p>
          <w:p w14:paraId="5ACB4B38">
            <w:pPr>
              <w:adjustRightInd w:val="0"/>
              <w:snapToGrid w:val="0"/>
              <w:jc w:val="center"/>
              <w:rPr>
                <w:bCs/>
                <w:szCs w:val="21"/>
              </w:rPr>
            </w:pPr>
            <w:r>
              <w:rPr>
                <w:bCs/>
                <w:szCs w:val="21"/>
              </w:rPr>
              <w:t>保护</w:t>
            </w:r>
          </w:p>
          <w:p w14:paraId="2A60656B">
            <w:pPr>
              <w:tabs>
                <w:tab w:val="center" w:pos="4422"/>
              </w:tabs>
              <w:rPr>
                <w:sz w:val="28"/>
                <w:szCs w:val="28"/>
              </w:rPr>
            </w:pPr>
            <w:r>
              <w:rPr>
                <w:bCs/>
                <w:szCs w:val="21"/>
              </w:rPr>
              <w:t>措施</w:t>
            </w:r>
          </w:p>
        </w:tc>
        <w:tc>
          <w:tcPr>
            <w:tcW w:w="8419" w:type="dxa"/>
            <w:shd w:val="clear" w:color="auto" w:fill="auto"/>
          </w:tcPr>
          <w:p w14:paraId="4B3052E2">
            <w:pPr>
              <w:adjustRightInd w:val="0"/>
              <w:snapToGrid w:val="0"/>
              <w:spacing w:line="360" w:lineRule="auto"/>
              <w:ind w:firstLine="442" w:firstLineChars="200"/>
              <w:rPr>
                <w:b/>
                <w:bCs/>
                <w:spacing w:val="-10"/>
                <w:sz w:val="24"/>
              </w:rPr>
            </w:pPr>
            <w:r>
              <w:rPr>
                <w:b/>
                <w:bCs/>
                <w:spacing w:val="-10"/>
                <w:sz w:val="24"/>
              </w:rPr>
              <w:t>（3）大气排放口基本情况</w:t>
            </w:r>
          </w:p>
          <w:p w14:paraId="64E50C20">
            <w:pPr>
              <w:adjustRightInd w:val="0"/>
              <w:snapToGrid w:val="0"/>
              <w:spacing w:line="360" w:lineRule="auto"/>
              <w:ind w:firstLine="440" w:firstLineChars="200"/>
              <w:rPr>
                <w:bCs/>
                <w:spacing w:val="-10"/>
                <w:sz w:val="24"/>
              </w:rPr>
            </w:pPr>
            <w:r>
              <w:rPr>
                <w:bCs/>
                <w:spacing w:val="-10"/>
                <w:sz w:val="24"/>
              </w:rPr>
              <w:t>项目</w:t>
            </w:r>
            <w:r>
              <w:rPr>
                <w:rFonts w:hint="eastAsia"/>
                <w:bCs/>
                <w:spacing w:val="-10"/>
                <w:sz w:val="24"/>
              </w:rPr>
              <w:t>迁建后现有工程全部拆除，迁建后</w:t>
            </w:r>
            <w:r>
              <w:rPr>
                <w:bCs/>
                <w:spacing w:val="-10"/>
                <w:sz w:val="24"/>
              </w:rPr>
              <w:t>大气污染物包括</w:t>
            </w:r>
            <w:r>
              <w:rPr>
                <w:rFonts w:hint="eastAsia"/>
                <w:bCs/>
                <w:spacing w:val="-10"/>
                <w:sz w:val="24"/>
              </w:rPr>
              <w:t>厂区内熔化工序废气、压铸工序废气、表面清理工序废气、抛丸工序废气。迁建后</w:t>
            </w:r>
            <w:r>
              <w:rPr>
                <w:bCs/>
                <w:spacing w:val="-10"/>
                <w:sz w:val="24"/>
              </w:rPr>
              <w:t>大气排放口基本情况见表4-6</w:t>
            </w:r>
            <w:r>
              <w:rPr>
                <w:rFonts w:hint="eastAsia"/>
                <w:bCs/>
                <w:spacing w:val="-10"/>
                <w:sz w:val="24"/>
              </w:rPr>
              <w:t>。</w:t>
            </w:r>
          </w:p>
          <w:p w14:paraId="2974C685">
            <w:pPr>
              <w:adjustRightInd w:val="0"/>
              <w:snapToGrid w:val="0"/>
              <w:spacing w:line="360" w:lineRule="auto"/>
              <w:jc w:val="center"/>
              <w:rPr>
                <w:bCs/>
                <w:spacing w:val="-10"/>
                <w:sz w:val="24"/>
              </w:rPr>
            </w:pPr>
            <w:r>
              <w:rPr>
                <w:bCs/>
                <w:spacing w:val="-10"/>
                <w:sz w:val="24"/>
              </w:rPr>
              <w:t xml:space="preserve">表4-6  </w:t>
            </w:r>
            <w:r>
              <w:rPr>
                <w:rFonts w:hint="eastAsia"/>
                <w:bCs/>
                <w:spacing w:val="-10"/>
                <w:sz w:val="24"/>
              </w:rPr>
              <w:t>迁建</w:t>
            </w:r>
            <w:r>
              <w:rPr>
                <w:bCs/>
                <w:spacing w:val="-10"/>
                <w:sz w:val="24"/>
              </w:rPr>
              <w:t>后全</w:t>
            </w:r>
            <w:r>
              <w:rPr>
                <w:rFonts w:hint="eastAsia"/>
                <w:bCs/>
                <w:spacing w:val="-10"/>
                <w:sz w:val="24"/>
              </w:rPr>
              <w:t>厂</w:t>
            </w:r>
            <w:r>
              <w:rPr>
                <w:bCs/>
                <w:spacing w:val="-10"/>
                <w:sz w:val="24"/>
              </w:rPr>
              <w:t>大气排放口基本情况</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966"/>
              <w:gridCol w:w="872"/>
              <w:gridCol w:w="1188"/>
              <w:gridCol w:w="1246"/>
              <w:gridCol w:w="907"/>
              <w:gridCol w:w="914"/>
              <w:gridCol w:w="916"/>
              <w:gridCol w:w="50"/>
            </w:tblGrid>
            <w:tr w14:paraId="690E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15" w:hRule="atLeast"/>
                <w:jc w:val="center"/>
              </w:trPr>
              <w:tc>
                <w:tcPr>
                  <w:tcW w:w="1130" w:type="dxa"/>
                  <w:vMerge w:val="restart"/>
                  <w:shd w:val="clear" w:color="auto" w:fill="auto"/>
                  <w:vAlign w:val="center"/>
                </w:tcPr>
                <w:p w14:paraId="5E78BD25">
                  <w:pPr>
                    <w:adjustRightInd w:val="0"/>
                    <w:snapToGrid w:val="0"/>
                    <w:spacing w:line="280" w:lineRule="exact"/>
                    <w:jc w:val="center"/>
                    <w:rPr>
                      <w:bCs/>
                      <w:spacing w:val="-10"/>
                      <w:szCs w:val="21"/>
                    </w:rPr>
                  </w:pPr>
                  <w:r>
                    <w:rPr>
                      <w:bCs/>
                      <w:spacing w:val="-10"/>
                      <w:szCs w:val="21"/>
                    </w:rPr>
                    <w:t>排放口编号</w:t>
                  </w:r>
                </w:p>
              </w:tc>
              <w:tc>
                <w:tcPr>
                  <w:tcW w:w="966" w:type="dxa"/>
                  <w:vMerge w:val="restart"/>
                  <w:shd w:val="clear" w:color="auto" w:fill="auto"/>
                  <w:vAlign w:val="center"/>
                </w:tcPr>
                <w:p w14:paraId="3623EBD6">
                  <w:pPr>
                    <w:adjustRightInd w:val="0"/>
                    <w:snapToGrid w:val="0"/>
                    <w:spacing w:line="280" w:lineRule="exact"/>
                    <w:jc w:val="center"/>
                    <w:rPr>
                      <w:bCs/>
                      <w:spacing w:val="-10"/>
                      <w:szCs w:val="21"/>
                    </w:rPr>
                  </w:pPr>
                  <w:r>
                    <w:rPr>
                      <w:bCs/>
                      <w:spacing w:val="-10"/>
                      <w:szCs w:val="21"/>
                    </w:rPr>
                    <w:t>排放口名称</w:t>
                  </w:r>
                </w:p>
              </w:tc>
              <w:tc>
                <w:tcPr>
                  <w:tcW w:w="872" w:type="dxa"/>
                  <w:vMerge w:val="restart"/>
                  <w:shd w:val="clear" w:color="auto" w:fill="auto"/>
                  <w:vAlign w:val="center"/>
                </w:tcPr>
                <w:p w14:paraId="7E34A0F2">
                  <w:pPr>
                    <w:adjustRightInd w:val="0"/>
                    <w:snapToGrid w:val="0"/>
                    <w:spacing w:line="280" w:lineRule="exact"/>
                    <w:jc w:val="center"/>
                    <w:rPr>
                      <w:bCs/>
                      <w:spacing w:val="-10"/>
                      <w:szCs w:val="21"/>
                    </w:rPr>
                  </w:pPr>
                  <w:r>
                    <w:rPr>
                      <w:bCs/>
                      <w:spacing w:val="-10"/>
                      <w:szCs w:val="21"/>
                    </w:rPr>
                    <w:t>污染物种类</w:t>
                  </w:r>
                </w:p>
              </w:tc>
              <w:tc>
                <w:tcPr>
                  <w:tcW w:w="2434" w:type="dxa"/>
                  <w:gridSpan w:val="2"/>
                  <w:tcBorders>
                    <w:bottom w:val="single" w:color="auto" w:sz="2" w:space="0"/>
                  </w:tcBorders>
                  <w:shd w:val="clear" w:color="auto" w:fill="auto"/>
                  <w:vAlign w:val="center"/>
                </w:tcPr>
                <w:p w14:paraId="1AD38D0F">
                  <w:pPr>
                    <w:adjustRightInd w:val="0"/>
                    <w:snapToGrid w:val="0"/>
                    <w:spacing w:line="280" w:lineRule="exact"/>
                    <w:jc w:val="center"/>
                    <w:rPr>
                      <w:bCs/>
                      <w:spacing w:val="-10"/>
                      <w:szCs w:val="21"/>
                    </w:rPr>
                  </w:pPr>
                  <w:r>
                    <w:rPr>
                      <w:bCs/>
                      <w:spacing w:val="-10"/>
                      <w:szCs w:val="21"/>
                    </w:rPr>
                    <w:t>排放口地理坐标</w:t>
                  </w:r>
                </w:p>
              </w:tc>
              <w:tc>
                <w:tcPr>
                  <w:tcW w:w="907" w:type="dxa"/>
                  <w:vMerge w:val="restart"/>
                  <w:shd w:val="clear" w:color="auto" w:fill="auto"/>
                  <w:vAlign w:val="center"/>
                </w:tcPr>
                <w:p w14:paraId="74844C52">
                  <w:pPr>
                    <w:adjustRightInd w:val="0"/>
                    <w:snapToGrid w:val="0"/>
                    <w:spacing w:line="280" w:lineRule="exact"/>
                    <w:jc w:val="center"/>
                    <w:rPr>
                      <w:bCs/>
                      <w:spacing w:val="-10"/>
                      <w:szCs w:val="21"/>
                    </w:rPr>
                  </w:pPr>
                  <w:r>
                    <w:rPr>
                      <w:bCs/>
                      <w:spacing w:val="-10"/>
                      <w:szCs w:val="21"/>
                    </w:rPr>
                    <w:t>排气筒高度（m）</w:t>
                  </w:r>
                </w:p>
              </w:tc>
              <w:tc>
                <w:tcPr>
                  <w:tcW w:w="914" w:type="dxa"/>
                  <w:vMerge w:val="restart"/>
                  <w:shd w:val="clear" w:color="auto" w:fill="auto"/>
                  <w:vAlign w:val="center"/>
                </w:tcPr>
                <w:p w14:paraId="42EB0936">
                  <w:pPr>
                    <w:adjustRightInd w:val="0"/>
                    <w:snapToGrid w:val="0"/>
                    <w:spacing w:line="280" w:lineRule="exact"/>
                    <w:jc w:val="center"/>
                    <w:rPr>
                      <w:bCs/>
                      <w:spacing w:val="-10"/>
                      <w:szCs w:val="21"/>
                    </w:rPr>
                  </w:pPr>
                  <w:r>
                    <w:rPr>
                      <w:bCs/>
                      <w:spacing w:val="-10"/>
                      <w:szCs w:val="21"/>
                    </w:rPr>
                    <w:t>排气筒出口内径（m）</w:t>
                  </w:r>
                </w:p>
              </w:tc>
              <w:tc>
                <w:tcPr>
                  <w:tcW w:w="916" w:type="dxa"/>
                  <w:vMerge w:val="restart"/>
                  <w:shd w:val="clear" w:color="auto" w:fill="auto"/>
                  <w:vAlign w:val="center"/>
                </w:tcPr>
                <w:p w14:paraId="625114DC">
                  <w:pPr>
                    <w:adjustRightInd w:val="0"/>
                    <w:snapToGrid w:val="0"/>
                    <w:spacing w:line="280" w:lineRule="exact"/>
                    <w:jc w:val="center"/>
                    <w:rPr>
                      <w:bCs/>
                      <w:spacing w:val="-10"/>
                      <w:szCs w:val="21"/>
                    </w:rPr>
                  </w:pPr>
                  <w:r>
                    <w:rPr>
                      <w:bCs/>
                      <w:spacing w:val="-10"/>
                      <w:szCs w:val="21"/>
                    </w:rPr>
                    <w:t>排气温度（℃）</w:t>
                  </w:r>
                </w:p>
              </w:tc>
            </w:tr>
            <w:tr w14:paraId="07E9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240" w:hRule="atLeast"/>
                <w:jc w:val="center"/>
              </w:trPr>
              <w:tc>
                <w:tcPr>
                  <w:tcW w:w="1130" w:type="dxa"/>
                  <w:vMerge w:val="continue"/>
                  <w:shd w:val="clear" w:color="auto" w:fill="auto"/>
                  <w:vAlign w:val="center"/>
                </w:tcPr>
                <w:p w14:paraId="3A591C97">
                  <w:pPr>
                    <w:adjustRightInd w:val="0"/>
                    <w:snapToGrid w:val="0"/>
                    <w:spacing w:line="280" w:lineRule="exact"/>
                    <w:jc w:val="center"/>
                    <w:rPr>
                      <w:bCs/>
                      <w:spacing w:val="-10"/>
                      <w:szCs w:val="21"/>
                    </w:rPr>
                  </w:pPr>
                </w:p>
              </w:tc>
              <w:tc>
                <w:tcPr>
                  <w:tcW w:w="966" w:type="dxa"/>
                  <w:vMerge w:val="continue"/>
                  <w:shd w:val="clear" w:color="auto" w:fill="auto"/>
                  <w:vAlign w:val="center"/>
                </w:tcPr>
                <w:p w14:paraId="5A23A888">
                  <w:pPr>
                    <w:adjustRightInd w:val="0"/>
                    <w:snapToGrid w:val="0"/>
                    <w:spacing w:line="280" w:lineRule="exact"/>
                    <w:jc w:val="center"/>
                    <w:rPr>
                      <w:bCs/>
                      <w:spacing w:val="-10"/>
                      <w:szCs w:val="21"/>
                    </w:rPr>
                  </w:pPr>
                </w:p>
              </w:tc>
              <w:tc>
                <w:tcPr>
                  <w:tcW w:w="872" w:type="dxa"/>
                  <w:vMerge w:val="continue"/>
                  <w:shd w:val="clear" w:color="auto" w:fill="auto"/>
                  <w:vAlign w:val="center"/>
                </w:tcPr>
                <w:p w14:paraId="6D7A90D4">
                  <w:pPr>
                    <w:adjustRightInd w:val="0"/>
                    <w:snapToGrid w:val="0"/>
                    <w:spacing w:line="280" w:lineRule="exact"/>
                    <w:jc w:val="center"/>
                    <w:rPr>
                      <w:bCs/>
                      <w:spacing w:val="-10"/>
                      <w:szCs w:val="21"/>
                    </w:rPr>
                  </w:pPr>
                </w:p>
              </w:tc>
              <w:tc>
                <w:tcPr>
                  <w:tcW w:w="1188" w:type="dxa"/>
                  <w:tcBorders>
                    <w:top w:val="single" w:color="auto" w:sz="2" w:space="0"/>
                    <w:right w:val="single" w:color="auto" w:sz="2" w:space="0"/>
                  </w:tcBorders>
                  <w:shd w:val="clear" w:color="auto" w:fill="auto"/>
                  <w:vAlign w:val="center"/>
                </w:tcPr>
                <w:p w14:paraId="52069B2E">
                  <w:pPr>
                    <w:adjustRightInd w:val="0"/>
                    <w:snapToGrid w:val="0"/>
                    <w:spacing w:line="280" w:lineRule="exact"/>
                    <w:jc w:val="center"/>
                    <w:rPr>
                      <w:bCs/>
                      <w:spacing w:val="-10"/>
                      <w:szCs w:val="21"/>
                    </w:rPr>
                  </w:pPr>
                  <w:r>
                    <w:rPr>
                      <w:bCs/>
                      <w:spacing w:val="-10"/>
                      <w:szCs w:val="21"/>
                    </w:rPr>
                    <w:t>经度</w:t>
                  </w:r>
                </w:p>
              </w:tc>
              <w:tc>
                <w:tcPr>
                  <w:tcW w:w="1246" w:type="dxa"/>
                  <w:tcBorders>
                    <w:top w:val="single" w:color="auto" w:sz="2" w:space="0"/>
                    <w:left w:val="single" w:color="auto" w:sz="2" w:space="0"/>
                  </w:tcBorders>
                  <w:shd w:val="clear" w:color="auto" w:fill="auto"/>
                  <w:vAlign w:val="center"/>
                </w:tcPr>
                <w:p w14:paraId="3B68C216">
                  <w:pPr>
                    <w:adjustRightInd w:val="0"/>
                    <w:snapToGrid w:val="0"/>
                    <w:spacing w:line="280" w:lineRule="exact"/>
                    <w:jc w:val="center"/>
                    <w:rPr>
                      <w:bCs/>
                      <w:spacing w:val="-10"/>
                      <w:szCs w:val="21"/>
                    </w:rPr>
                  </w:pPr>
                  <w:r>
                    <w:rPr>
                      <w:bCs/>
                      <w:spacing w:val="-10"/>
                      <w:szCs w:val="21"/>
                    </w:rPr>
                    <w:t>纬度</w:t>
                  </w:r>
                </w:p>
              </w:tc>
              <w:tc>
                <w:tcPr>
                  <w:tcW w:w="907" w:type="dxa"/>
                  <w:vMerge w:val="continue"/>
                  <w:shd w:val="clear" w:color="auto" w:fill="auto"/>
                  <w:vAlign w:val="center"/>
                </w:tcPr>
                <w:p w14:paraId="4F291010">
                  <w:pPr>
                    <w:adjustRightInd w:val="0"/>
                    <w:snapToGrid w:val="0"/>
                    <w:spacing w:line="280" w:lineRule="exact"/>
                    <w:jc w:val="center"/>
                    <w:rPr>
                      <w:bCs/>
                      <w:spacing w:val="-10"/>
                      <w:szCs w:val="21"/>
                    </w:rPr>
                  </w:pPr>
                </w:p>
              </w:tc>
              <w:tc>
                <w:tcPr>
                  <w:tcW w:w="914" w:type="dxa"/>
                  <w:vMerge w:val="continue"/>
                  <w:shd w:val="clear" w:color="auto" w:fill="auto"/>
                  <w:vAlign w:val="center"/>
                </w:tcPr>
                <w:p w14:paraId="14A64E0A">
                  <w:pPr>
                    <w:adjustRightInd w:val="0"/>
                    <w:snapToGrid w:val="0"/>
                    <w:spacing w:line="280" w:lineRule="exact"/>
                    <w:jc w:val="center"/>
                    <w:rPr>
                      <w:bCs/>
                      <w:spacing w:val="-10"/>
                      <w:szCs w:val="21"/>
                    </w:rPr>
                  </w:pPr>
                </w:p>
              </w:tc>
              <w:tc>
                <w:tcPr>
                  <w:tcW w:w="916" w:type="dxa"/>
                  <w:vMerge w:val="continue"/>
                  <w:shd w:val="clear" w:color="auto" w:fill="auto"/>
                  <w:vAlign w:val="center"/>
                </w:tcPr>
                <w:p w14:paraId="452D8C90">
                  <w:pPr>
                    <w:adjustRightInd w:val="0"/>
                    <w:snapToGrid w:val="0"/>
                    <w:spacing w:line="280" w:lineRule="exact"/>
                    <w:jc w:val="center"/>
                    <w:rPr>
                      <w:bCs/>
                      <w:spacing w:val="-10"/>
                      <w:szCs w:val="21"/>
                    </w:rPr>
                  </w:pPr>
                </w:p>
              </w:tc>
            </w:tr>
            <w:tr w14:paraId="516E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shd w:val="clear" w:color="auto" w:fill="auto"/>
                  <w:vAlign w:val="center"/>
                </w:tcPr>
                <w:p w14:paraId="15854A75">
                  <w:pPr>
                    <w:adjustRightInd w:val="0"/>
                    <w:snapToGrid w:val="0"/>
                    <w:spacing w:line="280" w:lineRule="exact"/>
                    <w:jc w:val="center"/>
                    <w:rPr>
                      <w:bCs/>
                      <w:spacing w:val="-10"/>
                      <w:szCs w:val="21"/>
                    </w:rPr>
                  </w:pPr>
                  <w:r>
                    <w:rPr>
                      <w:bCs/>
                      <w:spacing w:val="-10"/>
                      <w:szCs w:val="21"/>
                    </w:rPr>
                    <w:t>DA001</w:t>
                  </w:r>
                </w:p>
              </w:tc>
              <w:tc>
                <w:tcPr>
                  <w:tcW w:w="966" w:type="dxa"/>
                  <w:shd w:val="clear" w:color="auto" w:fill="auto"/>
                  <w:vAlign w:val="center"/>
                </w:tcPr>
                <w:p w14:paraId="78E860C8">
                  <w:pPr>
                    <w:adjustRightInd w:val="0"/>
                    <w:snapToGrid w:val="0"/>
                    <w:spacing w:line="280" w:lineRule="exact"/>
                    <w:jc w:val="center"/>
                    <w:rPr>
                      <w:bCs/>
                      <w:spacing w:val="-10"/>
                      <w:szCs w:val="21"/>
                    </w:rPr>
                  </w:pPr>
                  <w:r>
                    <w:rPr>
                      <w:rFonts w:hint="eastAsia"/>
                      <w:szCs w:val="21"/>
                    </w:rPr>
                    <w:t>熔化炉</w:t>
                  </w:r>
                  <w:r>
                    <w:rPr>
                      <w:szCs w:val="21"/>
                    </w:rPr>
                    <w:t>废气排放口</w:t>
                  </w:r>
                </w:p>
              </w:tc>
              <w:tc>
                <w:tcPr>
                  <w:tcW w:w="872" w:type="dxa"/>
                  <w:shd w:val="clear" w:color="auto" w:fill="auto"/>
                  <w:vAlign w:val="center"/>
                </w:tcPr>
                <w:p w14:paraId="33F64C14">
                  <w:pPr>
                    <w:adjustRightInd w:val="0"/>
                    <w:snapToGrid w:val="0"/>
                    <w:spacing w:line="280" w:lineRule="exact"/>
                    <w:jc w:val="center"/>
                    <w:rPr>
                      <w:bCs/>
                      <w:spacing w:val="-10"/>
                      <w:szCs w:val="21"/>
                    </w:rPr>
                  </w:pPr>
                  <w:r>
                    <w:rPr>
                      <w:rFonts w:hint="eastAsia"/>
                      <w:bCs/>
                      <w:spacing w:val="-10"/>
                      <w:szCs w:val="21"/>
                    </w:rPr>
                    <w:t>颗粒物、二氧化硫、氮氧化物、氯化氢</w:t>
                  </w:r>
                </w:p>
              </w:tc>
              <w:tc>
                <w:tcPr>
                  <w:tcW w:w="1188" w:type="dxa"/>
                  <w:tcBorders>
                    <w:right w:val="single" w:color="auto" w:sz="2" w:space="0"/>
                  </w:tcBorders>
                  <w:shd w:val="clear" w:color="auto" w:fill="auto"/>
                  <w:vAlign w:val="center"/>
                </w:tcPr>
                <w:p w14:paraId="53759FFA">
                  <w:pPr>
                    <w:adjustRightInd w:val="0"/>
                    <w:snapToGrid w:val="0"/>
                    <w:spacing w:line="280" w:lineRule="exact"/>
                    <w:jc w:val="center"/>
                    <w:rPr>
                      <w:bCs/>
                      <w:spacing w:val="-10"/>
                      <w:szCs w:val="21"/>
                    </w:rPr>
                  </w:pPr>
                  <w:r>
                    <w:rPr>
                      <w:bCs/>
                      <w:spacing w:val="-10"/>
                      <w:szCs w:val="21"/>
                    </w:rPr>
                    <w:t>107.240159°</w:t>
                  </w:r>
                </w:p>
              </w:tc>
              <w:tc>
                <w:tcPr>
                  <w:tcW w:w="1246" w:type="dxa"/>
                  <w:tcBorders>
                    <w:left w:val="single" w:color="auto" w:sz="2" w:space="0"/>
                  </w:tcBorders>
                  <w:shd w:val="clear" w:color="auto" w:fill="auto"/>
                  <w:vAlign w:val="center"/>
                </w:tcPr>
                <w:p w14:paraId="5447CF6B">
                  <w:pPr>
                    <w:adjustRightInd w:val="0"/>
                    <w:snapToGrid w:val="0"/>
                    <w:spacing w:line="280" w:lineRule="exact"/>
                    <w:jc w:val="center"/>
                    <w:rPr>
                      <w:bCs/>
                      <w:spacing w:val="-10"/>
                      <w:szCs w:val="21"/>
                    </w:rPr>
                  </w:pPr>
                  <w:r>
                    <w:rPr>
                      <w:bCs/>
                      <w:spacing w:val="-10"/>
                      <w:szCs w:val="21"/>
                    </w:rPr>
                    <w:t>29.723059°</w:t>
                  </w:r>
                </w:p>
              </w:tc>
              <w:tc>
                <w:tcPr>
                  <w:tcW w:w="907" w:type="dxa"/>
                  <w:shd w:val="clear" w:color="auto" w:fill="auto"/>
                  <w:vAlign w:val="center"/>
                </w:tcPr>
                <w:p w14:paraId="5138CE82">
                  <w:pPr>
                    <w:adjustRightInd w:val="0"/>
                    <w:snapToGrid w:val="0"/>
                    <w:spacing w:line="280" w:lineRule="exact"/>
                    <w:jc w:val="center"/>
                    <w:rPr>
                      <w:bCs/>
                      <w:spacing w:val="-10"/>
                      <w:szCs w:val="21"/>
                    </w:rPr>
                  </w:pPr>
                  <w:r>
                    <w:rPr>
                      <w:bCs/>
                      <w:spacing w:val="-10"/>
                      <w:szCs w:val="21"/>
                    </w:rPr>
                    <w:t>20</w:t>
                  </w:r>
                </w:p>
              </w:tc>
              <w:tc>
                <w:tcPr>
                  <w:tcW w:w="914" w:type="dxa"/>
                  <w:shd w:val="clear" w:color="auto" w:fill="auto"/>
                  <w:vAlign w:val="center"/>
                </w:tcPr>
                <w:p w14:paraId="06B638EB">
                  <w:pPr>
                    <w:adjustRightInd w:val="0"/>
                    <w:snapToGrid w:val="0"/>
                    <w:spacing w:line="280" w:lineRule="exact"/>
                    <w:jc w:val="center"/>
                    <w:rPr>
                      <w:bCs/>
                      <w:spacing w:val="-10"/>
                      <w:szCs w:val="21"/>
                    </w:rPr>
                  </w:pPr>
                  <w:r>
                    <w:rPr>
                      <w:bCs/>
                      <w:spacing w:val="-10"/>
                      <w:szCs w:val="21"/>
                    </w:rPr>
                    <w:t>0.5</w:t>
                  </w:r>
                </w:p>
              </w:tc>
              <w:tc>
                <w:tcPr>
                  <w:tcW w:w="966" w:type="dxa"/>
                  <w:gridSpan w:val="2"/>
                  <w:shd w:val="clear" w:color="auto" w:fill="auto"/>
                  <w:vAlign w:val="center"/>
                </w:tcPr>
                <w:p w14:paraId="726566FD">
                  <w:pPr>
                    <w:adjustRightInd w:val="0"/>
                    <w:snapToGrid w:val="0"/>
                    <w:spacing w:line="280" w:lineRule="exact"/>
                    <w:jc w:val="center"/>
                    <w:rPr>
                      <w:bCs/>
                      <w:spacing w:val="-10"/>
                      <w:szCs w:val="21"/>
                    </w:rPr>
                  </w:pPr>
                  <w:r>
                    <w:rPr>
                      <w:bCs/>
                      <w:spacing w:val="-10"/>
                      <w:szCs w:val="21"/>
                    </w:rPr>
                    <w:t>100</w:t>
                  </w:r>
                </w:p>
              </w:tc>
            </w:tr>
            <w:tr w14:paraId="6AAA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shd w:val="clear" w:color="auto" w:fill="auto"/>
                  <w:vAlign w:val="center"/>
                </w:tcPr>
                <w:p w14:paraId="3A795EAF">
                  <w:pPr>
                    <w:adjustRightInd w:val="0"/>
                    <w:snapToGrid w:val="0"/>
                    <w:spacing w:line="280" w:lineRule="exact"/>
                    <w:jc w:val="center"/>
                    <w:rPr>
                      <w:bCs/>
                      <w:spacing w:val="-10"/>
                      <w:szCs w:val="21"/>
                    </w:rPr>
                  </w:pPr>
                  <w:r>
                    <w:rPr>
                      <w:bCs/>
                      <w:spacing w:val="-10"/>
                      <w:szCs w:val="21"/>
                    </w:rPr>
                    <w:t>DA002</w:t>
                  </w:r>
                </w:p>
              </w:tc>
              <w:tc>
                <w:tcPr>
                  <w:tcW w:w="966" w:type="dxa"/>
                  <w:shd w:val="clear" w:color="auto" w:fill="auto"/>
                  <w:vAlign w:val="center"/>
                </w:tcPr>
                <w:p w14:paraId="465A3E22">
                  <w:pPr>
                    <w:adjustRightInd w:val="0"/>
                    <w:snapToGrid w:val="0"/>
                    <w:spacing w:line="280" w:lineRule="exact"/>
                    <w:jc w:val="center"/>
                    <w:rPr>
                      <w:szCs w:val="21"/>
                    </w:rPr>
                  </w:pPr>
                  <w:r>
                    <w:rPr>
                      <w:rFonts w:hint="eastAsia"/>
                      <w:szCs w:val="21"/>
                    </w:rPr>
                    <w:t>保温炉废气排放口</w:t>
                  </w:r>
                </w:p>
              </w:tc>
              <w:tc>
                <w:tcPr>
                  <w:tcW w:w="872" w:type="dxa"/>
                  <w:shd w:val="clear" w:color="auto" w:fill="auto"/>
                  <w:vAlign w:val="center"/>
                </w:tcPr>
                <w:p w14:paraId="37C29E15">
                  <w:pPr>
                    <w:adjustRightInd w:val="0"/>
                    <w:snapToGrid w:val="0"/>
                    <w:spacing w:line="280" w:lineRule="exact"/>
                    <w:jc w:val="center"/>
                    <w:rPr>
                      <w:szCs w:val="21"/>
                    </w:rPr>
                  </w:pPr>
                  <w:r>
                    <w:rPr>
                      <w:rFonts w:hint="eastAsia"/>
                      <w:bCs/>
                      <w:spacing w:val="-10"/>
                      <w:szCs w:val="21"/>
                    </w:rPr>
                    <w:t>颗粒物、二氧化硫、氮氧化物</w:t>
                  </w:r>
                </w:p>
              </w:tc>
              <w:tc>
                <w:tcPr>
                  <w:tcW w:w="1188" w:type="dxa"/>
                  <w:tcBorders>
                    <w:right w:val="single" w:color="auto" w:sz="2" w:space="0"/>
                  </w:tcBorders>
                  <w:shd w:val="clear" w:color="auto" w:fill="auto"/>
                  <w:vAlign w:val="center"/>
                </w:tcPr>
                <w:p w14:paraId="73303199">
                  <w:pPr>
                    <w:adjustRightInd w:val="0"/>
                    <w:snapToGrid w:val="0"/>
                    <w:spacing w:line="280" w:lineRule="exact"/>
                    <w:jc w:val="center"/>
                    <w:rPr>
                      <w:bCs/>
                      <w:spacing w:val="-10"/>
                      <w:szCs w:val="21"/>
                    </w:rPr>
                  </w:pPr>
                  <w:r>
                    <w:rPr>
                      <w:bCs/>
                      <w:spacing w:val="-10"/>
                      <w:szCs w:val="21"/>
                    </w:rPr>
                    <w:t>107.244417°</w:t>
                  </w:r>
                </w:p>
              </w:tc>
              <w:tc>
                <w:tcPr>
                  <w:tcW w:w="1246" w:type="dxa"/>
                  <w:tcBorders>
                    <w:left w:val="single" w:color="auto" w:sz="2" w:space="0"/>
                  </w:tcBorders>
                  <w:shd w:val="clear" w:color="auto" w:fill="auto"/>
                  <w:vAlign w:val="center"/>
                </w:tcPr>
                <w:p w14:paraId="5B34167E">
                  <w:pPr>
                    <w:adjustRightInd w:val="0"/>
                    <w:snapToGrid w:val="0"/>
                    <w:spacing w:line="280" w:lineRule="exact"/>
                    <w:jc w:val="center"/>
                    <w:rPr>
                      <w:bCs/>
                      <w:spacing w:val="-10"/>
                      <w:szCs w:val="21"/>
                    </w:rPr>
                  </w:pPr>
                  <w:r>
                    <w:rPr>
                      <w:bCs/>
                      <w:spacing w:val="-10"/>
                      <w:szCs w:val="21"/>
                    </w:rPr>
                    <w:t>29.720392°</w:t>
                  </w:r>
                </w:p>
              </w:tc>
              <w:tc>
                <w:tcPr>
                  <w:tcW w:w="907" w:type="dxa"/>
                  <w:shd w:val="clear" w:color="auto" w:fill="auto"/>
                  <w:vAlign w:val="center"/>
                </w:tcPr>
                <w:p w14:paraId="4F01001C">
                  <w:pPr>
                    <w:adjustRightInd w:val="0"/>
                    <w:snapToGrid w:val="0"/>
                    <w:spacing w:line="280" w:lineRule="exact"/>
                    <w:jc w:val="center"/>
                    <w:rPr>
                      <w:bCs/>
                      <w:spacing w:val="-10"/>
                      <w:szCs w:val="21"/>
                    </w:rPr>
                  </w:pPr>
                  <w:r>
                    <w:rPr>
                      <w:bCs/>
                      <w:spacing w:val="-10"/>
                      <w:szCs w:val="21"/>
                    </w:rPr>
                    <w:t>20</w:t>
                  </w:r>
                </w:p>
              </w:tc>
              <w:tc>
                <w:tcPr>
                  <w:tcW w:w="914" w:type="dxa"/>
                  <w:shd w:val="clear" w:color="auto" w:fill="auto"/>
                  <w:vAlign w:val="center"/>
                </w:tcPr>
                <w:p w14:paraId="739E256F">
                  <w:pPr>
                    <w:adjustRightInd w:val="0"/>
                    <w:snapToGrid w:val="0"/>
                    <w:spacing w:line="280" w:lineRule="exact"/>
                    <w:jc w:val="center"/>
                    <w:rPr>
                      <w:bCs/>
                      <w:spacing w:val="-10"/>
                      <w:szCs w:val="21"/>
                    </w:rPr>
                  </w:pPr>
                  <w:r>
                    <w:rPr>
                      <w:bCs/>
                      <w:spacing w:val="-10"/>
                      <w:szCs w:val="21"/>
                    </w:rPr>
                    <w:t>0.3</w:t>
                  </w:r>
                </w:p>
              </w:tc>
              <w:tc>
                <w:tcPr>
                  <w:tcW w:w="966" w:type="dxa"/>
                  <w:gridSpan w:val="2"/>
                  <w:shd w:val="clear" w:color="auto" w:fill="auto"/>
                  <w:vAlign w:val="center"/>
                </w:tcPr>
                <w:p w14:paraId="5C6B63CE">
                  <w:pPr>
                    <w:adjustRightInd w:val="0"/>
                    <w:snapToGrid w:val="0"/>
                    <w:spacing w:line="280" w:lineRule="exact"/>
                    <w:jc w:val="center"/>
                    <w:rPr>
                      <w:bCs/>
                      <w:spacing w:val="-10"/>
                      <w:szCs w:val="21"/>
                    </w:rPr>
                  </w:pPr>
                  <w:r>
                    <w:rPr>
                      <w:bCs/>
                      <w:spacing w:val="-10"/>
                      <w:szCs w:val="21"/>
                    </w:rPr>
                    <w:t>100</w:t>
                  </w:r>
                </w:p>
              </w:tc>
            </w:tr>
            <w:tr w14:paraId="5D5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shd w:val="clear" w:color="auto" w:fill="auto"/>
                  <w:vAlign w:val="center"/>
                </w:tcPr>
                <w:p w14:paraId="1ECFB305">
                  <w:pPr>
                    <w:adjustRightInd w:val="0"/>
                    <w:snapToGrid w:val="0"/>
                    <w:spacing w:line="280" w:lineRule="exact"/>
                    <w:jc w:val="center"/>
                    <w:rPr>
                      <w:bCs/>
                      <w:spacing w:val="-10"/>
                      <w:szCs w:val="21"/>
                    </w:rPr>
                  </w:pPr>
                  <w:r>
                    <w:rPr>
                      <w:bCs/>
                      <w:spacing w:val="-10"/>
                      <w:szCs w:val="21"/>
                    </w:rPr>
                    <w:t>DA003</w:t>
                  </w:r>
                </w:p>
              </w:tc>
              <w:tc>
                <w:tcPr>
                  <w:tcW w:w="966" w:type="dxa"/>
                  <w:shd w:val="clear" w:color="auto" w:fill="auto"/>
                  <w:vAlign w:val="center"/>
                </w:tcPr>
                <w:p w14:paraId="05040640">
                  <w:pPr>
                    <w:adjustRightInd w:val="0"/>
                    <w:snapToGrid w:val="0"/>
                    <w:spacing w:line="280" w:lineRule="exact"/>
                    <w:jc w:val="center"/>
                    <w:rPr>
                      <w:szCs w:val="21"/>
                    </w:rPr>
                  </w:pPr>
                  <w:r>
                    <w:rPr>
                      <w:rFonts w:hint="eastAsia"/>
                      <w:szCs w:val="21"/>
                    </w:rPr>
                    <w:t>压铸工序脱膜废气</w:t>
                  </w:r>
                  <w:r>
                    <w:rPr>
                      <w:szCs w:val="21"/>
                    </w:rPr>
                    <w:t>排放口</w:t>
                  </w:r>
                </w:p>
              </w:tc>
              <w:tc>
                <w:tcPr>
                  <w:tcW w:w="872" w:type="dxa"/>
                  <w:shd w:val="clear" w:color="auto" w:fill="auto"/>
                  <w:vAlign w:val="center"/>
                </w:tcPr>
                <w:p w14:paraId="7183A21B">
                  <w:pPr>
                    <w:adjustRightInd w:val="0"/>
                    <w:snapToGrid w:val="0"/>
                    <w:spacing w:line="280" w:lineRule="exact"/>
                    <w:jc w:val="center"/>
                    <w:rPr>
                      <w:szCs w:val="21"/>
                    </w:rPr>
                  </w:pPr>
                  <w:r>
                    <w:rPr>
                      <w:rFonts w:hint="eastAsia"/>
                      <w:szCs w:val="21"/>
                    </w:rPr>
                    <w:t>非甲烷总烃</w:t>
                  </w:r>
                </w:p>
              </w:tc>
              <w:tc>
                <w:tcPr>
                  <w:tcW w:w="1188" w:type="dxa"/>
                  <w:tcBorders>
                    <w:right w:val="single" w:color="auto" w:sz="2" w:space="0"/>
                  </w:tcBorders>
                  <w:shd w:val="clear" w:color="auto" w:fill="auto"/>
                  <w:vAlign w:val="center"/>
                </w:tcPr>
                <w:p w14:paraId="67B3731C">
                  <w:pPr>
                    <w:adjustRightInd w:val="0"/>
                    <w:snapToGrid w:val="0"/>
                    <w:spacing w:line="280" w:lineRule="exact"/>
                    <w:jc w:val="center"/>
                    <w:rPr>
                      <w:bCs/>
                      <w:spacing w:val="-10"/>
                      <w:szCs w:val="21"/>
                    </w:rPr>
                  </w:pPr>
                  <w:r>
                    <w:rPr>
                      <w:bCs/>
                      <w:spacing w:val="-10"/>
                      <w:szCs w:val="21"/>
                    </w:rPr>
                    <w:t>107.239612°</w:t>
                  </w:r>
                </w:p>
              </w:tc>
              <w:tc>
                <w:tcPr>
                  <w:tcW w:w="1246" w:type="dxa"/>
                  <w:tcBorders>
                    <w:left w:val="single" w:color="auto" w:sz="2" w:space="0"/>
                  </w:tcBorders>
                  <w:shd w:val="clear" w:color="auto" w:fill="auto"/>
                  <w:vAlign w:val="center"/>
                </w:tcPr>
                <w:p w14:paraId="36DF5BD1">
                  <w:pPr>
                    <w:adjustRightInd w:val="0"/>
                    <w:snapToGrid w:val="0"/>
                    <w:spacing w:line="280" w:lineRule="exact"/>
                    <w:jc w:val="center"/>
                    <w:rPr>
                      <w:bCs/>
                      <w:spacing w:val="-10"/>
                      <w:szCs w:val="21"/>
                    </w:rPr>
                  </w:pPr>
                  <w:r>
                    <w:rPr>
                      <w:bCs/>
                      <w:spacing w:val="-10"/>
                      <w:szCs w:val="21"/>
                    </w:rPr>
                    <w:t>29.723056°</w:t>
                  </w:r>
                </w:p>
              </w:tc>
              <w:tc>
                <w:tcPr>
                  <w:tcW w:w="907" w:type="dxa"/>
                  <w:shd w:val="clear" w:color="auto" w:fill="auto"/>
                  <w:vAlign w:val="center"/>
                </w:tcPr>
                <w:p w14:paraId="5E60E2C2">
                  <w:pPr>
                    <w:adjustRightInd w:val="0"/>
                    <w:snapToGrid w:val="0"/>
                    <w:spacing w:line="280" w:lineRule="exact"/>
                    <w:jc w:val="center"/>
                    <w:rPr>
                      <w:bCs/>
                      <w:spacing w:val="-10"/>
                      <w:szCs w:val="21"/>
                    </w:rPr>
                  </w:pPr>
                  <w:r>
                    <w:rPr>
                      <w:bCs/>
                      <w:spacing w:val="-10"/>
                      <w:szCs w:val="21"/>
                    </w:rPr>
                    <w:t>20</w:t>
                  </w:r>
                </w:p>
              </w:tc>
              <w:tc>
                <w:tcPr>
                  <w:tcW w:w="914" w:type="dxa"/>
                  <w:shd w:val="clear" w:color="auto" w:fill="auto"/>
                  <w:vAlign w:val="center"/>
                </w:tcPr>
                <w:p w14:paraId="1A0C0923">
                  <w:pPr>
                    <w:adjustRightInd w:val="0"/>
                    <w:snapToGrid w:val="0"/>
                    <w:spacing w:line="280" w:lineRule="exact"/>
                    <w:jc w:val="center"/>
                    <w:rPr>
                      <w:bCs/>
                      <w:spacing w:val="-10"/>
                      <w:szCs w:val="21"/>
                    </w:rPr>
                  </w:pPr>
                  <w:r>
                    <w:rPr>
                      <w:bCs/>
                      <w:spacing w:val="-10"/>
                      <w:szCs w:val="21"/>
                    </w:rPr>
                    <w:t>0.6</w:t>
                  </w:r>
                </w:p>
              </w:tc>
              <w:tc>
                <w:tcPr>
                  <w:tcW w:w="966" w:type="dxa"/>
                  <w:gridSpan w:val="2"/>
                  <w:shd w:val="clear" w:color="auto" w:fill="auto"/>
                  <w:vAlign w:val="center"/>
                </w:tcPr>
                <w:p w14:paraId="1456D63A">
                  <w:pPr>
                    <w:adjustRightInd w:val="0"/>
                    <w:snapToGrid w:val="0"/>
                    <w:spacing w:line="280" w:lineRule="exact"/>
                    <w:jc w:val="center"/>
                    <w:rPr>
                      <w:bCs/>
                      <w:spacing w:val="-10"/>
                      <w:szCs w:val="21"/>
                    </w:rPr>
                  </w:pPr>
                  <w:r>
                    <w:rPr>
                      <w:rFonts w:hint="eastAsia"/>
                      <w:bCs/>
                      <w:spacing w:val="-10"/>
                      <w:szCs w:val="21"/>
                    </w:rPr>
                    <w:t>常温</w:t>
                  </w:r>
                </w:p>
              </w:tc>
            </w:tr>
            <w:tr w14:paraId="2258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shd w:val="clear" w:color="auto" w:fill="auto"/>
                  <w:vAlign w:val="center"/>
                </w:tcPr>
                <w:p w14:paraId="1CA5A3DE">
                  <w:pPr>
                    <w:adjustRightInd w:val="0"/>
                    <w:snapToGrid w:val="0"/>
                    <w:spacing w:line="280" w:lineRule="exact"/>
                    <w:jc w:val="center"/>
                    <w:rPr>
                      <w:bCs/>
                      <w:spacing w:val="-10"/>
                      <w:szCs w:val="21"/>
                    </w:rPr>
                  </w:pPr>
                  <w:r>
                    <w:rPr>
                      <w:rFonts w:hint="eastAsia"/>
                      <w:bCs/>
                      <w:spacing w:val="-10"/>
                      <w:szCs w:val="21"/>
                    </w:rPr>
                    <w:t>D</w:t>
                  </w:r>
                  <w:r>
                    <w:rPr>
                      <w:bCs/>
                      <w:spacing w:val="-10"/>
                      <w:szCs w:val="21"/>
                    </w:rPr>
                    <w:t>A004</w:t>
                  </w:r>
                </w:p>
              </w:tc>
              <w:tc>
                <w:tcPr>
                  <w:tcW w:w="966" w:type="dxa"/>
                  <w:shd w:val="clear" w:color="auto" w:fill="auto"/>
                  <w:vAlign w:val="center"/>
                </w:tcPr>
                <w:p w14:paraId="489FCE86">
                  <w:pPr>
                    <w:adjustRightInd w:val="0"/>
                    <w:snapToGrid w:val="0"/>
                    <w:spacing w:line="280" w:lineRule="exact"/>
                    <w:jc w:val="center"/>
                    <w:rPr>
                      <w:szCs w:val="21"/>
                    </w:rPr>
                  </w:pPr>
                  <w:r>
                    <w:rPr>
                      <w:rFonts w:hint="eastAsia"/>
                      <w:szCs w:val="21"/>
                    </w:rPr>
                    <w:t>表面清理废气、抛丸废气排放口</w:t>
                  </w:r>
                </w:p>
              </w:tc>
              <w:tc>
                <w:tcPr>
                  <w:tcW w:w="872" w:type="dxa"/>
                  <w:shd w:val="clear" w:color="auto" w:fill="auto"/>
                  <w:vAlign w:val="center"/>
                </w:tcPr>
                <w:p w14:paraId="278AABFA">
                  <w:pPr>
                    <w:adjustRightInd w:val="0"/>
                    <w:snapToGrid w:val="0"/>
                    <w:spacing w:line="280" w:lineRule="exact"/>
                    <w:jc w:val="center"/>
                    <w:rPr>
                      <w:szCs w:val="21"/>
                    </w:rPr>
                  </w:pPr>
                  <w:r>
                    <w:rPr>
                      <w:rFonts w:hint="eastAsia"/>
                      <w:szCs w:val="21"/>
                    </w:rPr>
                    <w:t>颗粒物</w:t>
                  </w:r>
                </w:p>
              </w:tc>
              <w:tc>
                <w:tcPr>
                  <w:tcW w:w="1188" w:type="dxa"/>
                  <w:tcBorders>
                    <w:right w:val="single" w:color="auto" w:sz="2" w:space="0"/>
                  </w:tcBorders>
                  <w:shd w:val="clear" w:color="auto" w:fill="auto"/>
                  <w:vAlign w:val="center"/>
                </w:tcPr>
                <w:p w14:paraId="052B66DF">
                  <w:pPr>
                    <w:adjustRightInd w:val="0"/>
                    <w:snapToGrid w:val="0"/>
                    <w:spacing w:line="280" w:lineRule="exact"/>
                    <w:jc w:val="center"/>
                    <w:rPr>
                      <w:bCs/>
                      <w:spacing w:val="-10"/>
                      <w:szCs w:val="21"/>
                    </w:rPr>
                  </w:pPr>
                  <w:r>
                    <w:rPr>
                      <w:bCs/>
                      <w:spacing w:val="-10"/>
                      <w:szCs w:val="21"/>
                    </w:rPr>
                    <w:t>107.238888°</w:t>
                  </w:r>
                </w:p>
              </w:tc>
              <w:tc>
                <w:tcPr>
                  <w:tcW w:w="1246" w:type="dxa"/>
                  <w:tcBorders>
                    <w:left w:val="single" w:color="auto" w:sz="2" w:space="0"/>
                  </w:tcBorders>
                  <w:shd w:val="clear" w:color="auto" w:fill="auto"/>
                  <w:vAlign w:val="center"/>
                </w:tcPr>
                <w:p w14:paraId="6DA483E6">
                  <w:pPr>
                    <w:adjustRightInd w:val="0"/>
                    <w:snapToGrid w:val="0"/>
                    <w:spacing w:line="280" w:lineRule="exact"/>
                    <w:jc w:val="center"/>
                    <w:rPr>
                      <w:bCs/>
                      <w:spacing w:val="-10"/>
                      <w:szCs w:val="21"/>
                    </w:rPr>
                  </w:pPr>
                  <w:r>
                    <w:rPr>
                      <w:bCs/>
                      <w:spacing w:val="-10"/>
                      <w:szCs w:val="21"/>
                    </w:rPr>
                    <w:t>29.722737°</w:t>
                  </w:r>
                </w:p>
              </w:tc>
              <w:tc>
                <w:tcPr>
                  <w:tcW w:w="907" w:type="dxa"/>
                  <w:shd w:val="clear" w:color="auto" w:fill="auto"/>
                  <w:vAlign w:val="center"/>
                </w:tcPr>
                <w:p w14:paraId="07A0D5BE">
                  <w:pPr>
                    <w:adjustRightInd w:val="0"/>
                    <w:snapToGrid w:val="0"/>
                    <w:spacing w:line="280" w:lineRule="exact"/>
                    <w:jc w:val="center"/>
                    <w:rPr>
                      <w:bCs/>
                      <w:spacing w:val="-10"/>
                      <w:szCs w:val="21"/>
                    </w:rPr>
                  </w:pPr>
                  <w:r>
                    <w:rPr>
                      <w:bCs/>
                      <w:spacing w:val="-10"/>
                      <w:szCs w:val="21"/>
                    </w:rPr>
                    <w:t>20</w:t>
                  </w:r>
                </w:p>
              </w:tc>
              <w:tc>
                <w:tcPr>
                  <w:tcW w:w="914" w:type="dxa"/>
                  <w:shd w:val="clear" w:color="auto" w:fill="auto"/>
                  <w:vAlign w:val="center"/>
                </w:tcPr>
                <w:p w14:paraId="24DE9C78">
                  <w:pPr>
                    <w:adjustRightInd w:val="0"/>
                    <w:snapToGrid w:val="0"/>
                    <w:spacing w:line="280" w:lineRule="exact"/>
                    <w:jc w:val="center"/>
                    <w:rPr>
                      <w:bCs/>
                      <w:spacing w:val="-10"/>
                      <w:szCs w:val="21"/>
                    </w:rPr>
                  </w:pPr>
                  <w:r>
                    <w:rPr>
                      <w:rFonts w:hint="eastAsia"/>
                      <w:bCs/>
                      <w:spacing w:val="-10"/>
                      <w:szCs w:val="21"/>
                    </w:rPr>
                    <w:t>0</w:t>
                  </w:r>
                  <w:r>
                    <w:rPr>
                      <w:bCs/>
                      <w:spacing w:val="-10"/>
                      <w:szCs w:val="21"/>
                    </w:rPr>
                    <w:t>.7</w:t>
                  </w:r>
                </w:p>
              </w:tc>
              <w:tc>
                <w:tcPr>
                  <w:tcW w:w="966" w:type="dxa"/>
                  <w:gridSpan w:val="2"/>
                  <w:shd w:val="clear" w:color="auto" w:fill="auto"/>
                  <w:vAlign w:val="center"/>
                </w:tcPr>
                <w:p w14:paraId="202DB54D">
                  <w:pPr>
                    <w:adjustRightInd w:val="0"/>
                    <w:snapToGrid w:val="0"/>
                    <w:spacing w:line="280" w:lineRule="exact"/>
                    <w:jc w:val="center"/>
                    <w:rPr>
                      <w:bCs/>
                      <w:spacing w:val="-10"/>
                      <w:szCs w:val="21"/>
                    </w:rPr>
                  </w:pPr>
                  <w:r>
                    <w:rPr>
                      <w:rFonts w:hint="eastAsia"/>
                      <w:bCs/>
                      <w:spacing w:val="-10"/>
                      <w:szCs w:val="21"/>
                    </w:rPr>
                    <w:t>常温</w:t>
                  </w:r>
                </w:p>
              </w:tc>
            </w:tr>
          </w:tbl>
          <w:p w14:paraId="2D67482D">
            <w:pPr>
              <w:adjustRightInd w:val="0"/>
              <w:snapToGrid w:val="0"/>
              <w:spacing w:line="360" w:lineRule="auto"/>
              <w:ind w:firstLine="442" w:firstLineChars="200"/>
              <w:rPr>
                <w:b/>
                <w:bCs/>
                <w:spacing w:val="-10"/>
                <w:sz w:val="24"/>
              </w:rPr>
            </w:pPr>
            <w:r>
              <w:rPr>
                <w:b/>
                <w:bCs/>
                <w:spacing w:val="-10"/>
                <w:sz w:val="24"/>
              </w:rPr>
              <w:t>（4）废气自行监测要求</w:t>
            </w:r>
          </w:p>
          <w:p w14:paraId="2B7463DB">
            <w:pPr>
              <w:adjustRightInd w:val="0"/>
              <w:snapToGrid w:val="0"/>
              <w:spacing w:line="360" w:lineRule="auto"/>
              <w:ind w:firstLine="440" w:firstLineChars="200"/>
              <w:rPr>
                <w:bCs/>
                <w:spacing w:val="-10"/>
                <w:sz w:val="24"/>
              </w:rPr>
            </w:pPr>
            <w:r>
              <w:rPr>
                <w:rFonts w:hint="eastAsia"/>
                <w:bCs/>
                <w:spacing w:val="-10"/>
                <w:sz w:val="24"/>
              </w:rPr>
              <w:t>项目迁建后废气污染物根据其来源，分别按照</w:t>
            </w:r>
            <w:r>
              <w:rPr>
                <w:rFonts w:hAnsi="宋体"/>
                <w:sz w:val="24"/>
              </w:rPr>
              <w:t>《排污单位自行监测技术指南</w:t>
            </w:r>
            <w:r>
              <w:rPr>
                <w:sz w:val="24"/>
              </w:rPr>
              <w:t xml:space="preserve"> </w:t>
            </w:r>
            <w:r>
              <w:rPr>
                <w:rFonts w:hAnsi="宋体"/>
                <w:sz w:val="24"/>
              </w:rPr>
              <w:t>总则》（</w:t>
            </w:r>
            <w:r>
              <w:rPr>
                <w:sz w:val="24"/>
              </w:rPr>
              <w:t>HJ819-2017</w:t>
            </w:r>
            <w:r>
              <w:rPr>
                <w:rFonts w:hAnsi="宋体"/>
                <w:sz w:val="24"/>
              </w:rPr>
              <w:t>）</w:t>
            </w:r>
            <w:r>
              <w:rPr>
                <w:rFonts w:hint="eastAsia" w:hAnsi="宋体"/>
                <w:sz w:val="24"/>
              </w:rPr>
              <w:t>、《排污许可证申请与核发技术规范 汽车制造业》（H</w:t>
            </w:r>
            <w:r>
              <w:rPr>
                <w:rFonts w:hAnsi="宋体"/>
                <w:sz w:val="24"/>
              </w:rPr>
              <w:t>J1066-2019</w:t>
            </w:r>
            <w:r>
              <w:rPr>
                <w:rFonts w:hint="eastAsia" w:hAnsi="宋体"/>
                <w:sz w:val="24"/>
              </w:rPr>
              <w:t>）、</w:t>
            </w:r>
            <w:r>
              <w:rPr>
                <w:rFonts w:hint="eastAsia"/>
                <w:bCs/>
                <w:sz w:val="24"/>
              </w:rPr>
              <w:t>《排污许可证申请与核发技术规范 金属铸造工业》（H</w:t>
            </w:r>
            <w:r>
              <w:rPr>
                <w:bCs/>
                <w:sz w:val="24"/>
              </w:rPr>
              <w:t>J1115-2020</w:t>
            </w:r>
            <w:r>
              <w:rPr>
                <w:rFonts w:hint="eastAsia"/>
                <w:bCs/>
                <w:sz w:val="24"/>
              </w:rPr>
              <w:t>）</w:t>
            </w:r>
            <w:r>
              <w:rPr>
                <w:rFonts w:hint="eastAsia" w:hAnsi="宋体"/>
                <w:sz w:val="24"/>
              </w:rPr>
              <w:t>拟定监测计划。迁建</w:t>
            </w:r>
            <w:r>
              <w:rPr>
                <w:rFonts w:hint="eastAsia"/>
                <w:bCs/>
                <w:spacing w:val="-10"/>
                <w:sz w:val="24"/>
              </w:rPr>
              <w:t>后</w:t>
            </w:r>
            <w:r>
              <w:rPr>
                <w:bCs/>
                <w:spacing w:val="-10"/>
                <w:sz w:val="24"/>
              </w:rPr>
              <w:t>废气自行监测要求见表4-7</w:t>
            </w:r>
            <w:r>
              <w:rPr>
                <w:rFonts w:hint="eastAsia"/>
                <w:bCs/>
                <w:spacing w:val="-10"/>
                <w:sz w:val="24"/>
              </w:rPr>
              <w:t>。</w:t>
            </w:r>
          </w:p>
          <w:p w14:paraId="738BAEA2">
            <w:pPr>
              <w:pStyle w:val="11"/>
              <w:spacing w:before="0" w:after="0" w:line="360" w:lineRule="auto"/>
              <w:ind w:right="0"/>
              <w:jc w:val="center"/>
              <w:rPr>
                <w:bCs/>
                <w:sz w:val="24"/>
                <w:szCs w:val="24"/>
              </w:rPr>
            </w:pPr>
          </w:p>
          <w:p w14:paraId="6C38D030">
            <w:pPr>
              <w:pStyle w:val="11"/>
              <w:spacing w:before="0" w:after="0" w:line="360" w:lineRule="auto"/>
              <w:ind w:right="0"/>
              <w:jc w:val="center"/>
              <w:rPr>
                <w:bCs/>
                <w:sz w:val="24"/>
                <w:szCs w:val="24"/>
              </w:rPr>
            </w:pPr>
          </w:p>
          <w:p w14:paraId="666C17D7">
            <w:pPr>
              <w:pStyle w:val="11"/>
              <w:spacing w:before="0" w:after="0" w:line="360" w:lineRule="auto"/>
              <w:ind w:right="0"/>
              <w:jc w:val="center"/>
              <w:rPr>
                <w:b/>
                <w:bCs/>
                <w:sz w:val="24"/>
                <w:szCs w:val="24"/>
              </w:rPr>
            </w:pPr>
            <w:r>
              <w:rPr>
                <w:bCs/>
                <w:sz w:val="24"/>
                <w:szCs w:val="24"/>
              </w:rPr>
              <w:t xml:space="preserve">表4-7  </w:t>
            </w:r>
            <w:r>
              <w:rPr>
                <w:rFonts w:hint="eastAsia"/>
                <w:bCs/>
                <w:spacing w:val="-10"/>
                <w:sz w:val="24"/>
              </w:rPr>
              <w:t>迁建</w:t>
            </w:r>
            <w:r>
              <w:rPr>
                <w:rFonts w:hint="eastAsia"/>
                <w:bCs/>
                <w:sz w:val="24"/>
                <w:szCs w:val="24"/>
              </w:rPr>
              <w:t>后</w:t>
            </w:r>
            <w:r>
              <w:rPr>
                <w:bCs/>
                <w:spacing w:val="-10"/>
                <w:sz w:val="24"/>
              </w:rPr>
              <w:t>全</w:t>
            </w:r>
            <w:r>
              <w:rPr>
                <w:rFonts w:hint="eastAsia"/>
                <w:bCs/>
                <w:spacing w:val="-10"/>
                <w:sz w:val="24"/>
              </w:rPr>
              <w:t>厂</w:t>
            </w:r>
            <w:r>
              <w:rPr>
                <w:bCs/>
                <w:sz w:val="24"/>
                <w:szCs w:val="24"/>
              </w:rPr>
              <w:t>废气自行监测要求一览表</w:t>
            </w:r>
          </w:p>
          <w:tbl>
            <w:tblPr>
              <w:tblStyle w:val="26"/>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autofit"/>
              <w:tblCellMar>
                <w:top w:w="0" w:type="dxa"/>
                <w:left w:w="108" w:type="dxa"/>
                <w:bottom w:w="0" w:type="dxa"/>
                <w:right w:w="108" w:type="dxa"/>
              </w:tblCellMar>
            </w:tblPr>
            <w:tblGrid>
              <w:gridCol w:w="1501"/>
              <w:gridCol w:w="1278"/>
              <w:gridCol w:w="1680"/>
              <w:gridCol w:w="2284"/>
              <w:gridCol w:w="1560"/>
            </w:tblGrid>
            <w:tr w14:paraId="6A433C9E">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8111" w:type="dxa"/>
                  <w:gridSpan w:val="5"/>
                  <w:vAlign w:val="center"/>
                </w:tcPr>
                <w:p w14:paraId="567B3A73">
                  <w:pPr>
                    <w:pStyle w:val="69"/>
                    <w:autoSpaceDE/>
                    <w:autoSpaceDN/>
                    <w:adjustRightInd/>
                    <w:snapToGrid/>
                    <w:spacing w:line="280" w:lineRule="exact"/>
                    <w:rPr>
                      <w:rFonts w:ascii="Times New Roman" w:hAnsi="Times New Roman"/>
                    </w:rPr>
                  </w:pPr>
                  <w:r>
                    <w:rPr>
                      <w:rFonts w:ascii="Times New Roman" w:hAnsi="Times New Roman"/>
                    </w:rPr>
                    <w:t>有组织排放</w:t>
                  </w:r>
                </w:p>
              </w:tc>
            </w:tr>
            <w:tr w14:paraId="164AA5F3">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Align w:val="center"/>
                </w:tcPr>
                <w:p w14:paraId="1395E4E4">
                  <w:pPr>
                    <w:pStyle w:val="69"/>
                    <w:autoSpaceDE/>
                    <w:autoSpaceDN/>
                    <w:adjustRightInd/>
                    <w:snapToGrid/>
                    <w:spacing w:line="280" w:lineRule="exact"/>
                    <w:rPr>
                      <w:rFonts w:ascii="Times New Roman" w:hAnsi="Times New Roman"/>
                    </w:rPr>
                  </w:pPr>
                  <w:r>
                    <w:rPr>
                      <w:rFonts w:ascii="Times New Roman" w:hAnsi="Times New Roman"/>
                    </w:rPr>
                    <w:t>生产单元</w:t>
                  </w:r>
                </w:p>
              </w:tc>
              <w:tc>
                <w:tcPr>
                  <w:tcW w:w="1248" w:type="dxa"/>
                  <w:vAlign w:val="center"/>
                </w:tcPr>
                <w:p w14:paraId="44C294DB">
                  <w:pPr>
                    <w:pStyle w:val="69"/>
                    <w:autoSpaceDE/>
                    <w:autoSpaceDN/>
                    <w:adjustRightInd/>
                    <w:snapToGrid/>
                    <w:spacing w:line="280" w:lineRule="exact"/>
                    <w:rPr>
                      <w:rFonts w:ascii="Times New Roman" w:hAnsi="Times New Roman"/>
                    </w:rPr>
                  </w:pPr>
                  <w:r>
                    <w:rPr>
                      <w:rFonts w:ascii="Times New Roman" w:hAnsi="Times New Roman"/>
                    </w:rPr>
                    <w:t>监测点位</w:t>
                  </w:r>
                </w:p>
              </w:tc>
              <w:tc>
                <w:tcPr>
                  <w:tcW w:w="1641" w:type="dxa"/>
                  <w:vAlign w:val="center"/>
                </w:tcPr>
                <w:p w14:paraId="57B95170">
                  <w:pPr>
                    <w:pStyle w:val="69"/>
                    <w:autoSpaceDE/>
                    <w:autoSpaceDN/>
                    <w:adjustRightInd/>
                    <w:snapToGrid/>
                    <w:spacing w:line="280" w:lineRule="exact"/>
                    <w:rPr>
                      <w:rFonts w:ascii="Times New Roman" w:hAnsi="Times New Roman"/>
                    </w:rPr>
                  </w:pPr>
                  <w:r>
                    <w:rPr>
                      <w:rFonts w:ascii="Times New Roman" w:hAnsi="Times New Roman"/>
                    </w:rPr>
                    <w:t>监测指标</w:t>
                  </w:r>
                </w:p>
              </w:tc>
              <w:tc>
                <w:tcPr>
                  <w:tcW w:w="2231" w:type="dxa"/>
                  <w:vAlign w:val="center"/>
                </w:tcPr>
                <w:p w14:paraId="272C5606">
                  <w:pPr>
                    <w:pStyle w:val="69"/>
                    <w:autoSpaceDE/>
                    <w:autoSpaceDN/>
                    <w:adjustRightInd/>
                    <w:snapToGrid/>
                    <w:spacing w:line="280" w:lineRule="exact"/>
                    <w:rPr>
                      <w:rFonts w:ascii="Times New Roman" w:hAnsi="Times New Roman"/>
                    </w:rPr>
                  </w:pPr>
                  <w:r>
                    <w:rPr>
                      <w:rFonts w:ascii="Times New Roman" w:hAnsi="Times New Roman"/>
                    </w:rPr>
                    <w:t>执行标准</w:t>
                  </w:r>
                </w:p>
              </w:tc>
              <w:tc>
                <w:tcPr>
                  <w:tcW w:w="1524" w:type="dxa"/>
                  <w:vAlign w:val="center"/>
                </w:tcPr>
                <w:p w14:paraId="3593EFD0">
                  <w:pPr>
                    <w:pStyle w:val="69"/>
                    <w:autoSpaceDE/>
                    <w:autoSpaceDN/>
                    <w:adjustRightInd/>
                    <w:snapToGrid/>
                    <w:spacing w:line="280" w:lineRule="exact"/>
                    <w:rPr>
                      <w:rFonts w:ascii="Times New Roman" w:hAnsi="Times New Roman"/>
                    </w:rPr>
                  </w:pPr>
                  <w:r>
                    <w:rPr>
                      <w:rFonts w:ascii="Times New Roman" w:hAnsi="Times New Roman"/>
                    </w:rPr>
                    <w:t>监测频次</w:t>
                  </w:r>
                </w:p>
              </w:tc>
            </w:tr>
            <w:tr w14:paraId="610EAEA8">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Merge w:val="restart"/>
                  <w:vAlign w:val="center"/>
                </w:tcPr>
                <w:p w14:paraId="55FC6A22">
                  <w:pPr>
                    <w:pStyle w:val="69"/>
                    <w:spacing w:line="280" w:lineRule="exact"/>
                    <w:rPr>
                      <w:rFonts w:ascii="Times New Roman" w:hAnsi="Times New Roman"/>
                    </w:rPr>
                  </w:pPr>
                  <w:r>
                    <w:rPr>
                      <w:rFonts w:hint="eastAsia" w:ascii="Times New Roman" w:hAnsi="Times New Roman"/>
                    </w:rPr>
                    <w:t>熔化工序</w:t>
                  </w:r>
                </w:p>
              </w:tc>
              <w:tc>
                <w:tcPr>
                  <w:tcW w:w="1248" w:type="dxa"/>
                  <w:vMerge w:val="restart"/>
                  <w:vAlign w:val="center"/>
                </w:tcPr>
                <w:p w14:paraId="5522E857">
                  <w:pPr>
                    <w:adjustRightInd w:val="0"/>
                    <w:snapToGrid w:val="0"/>
                    <w:spacing w:line="280" w:lineRule="exact"/>
                    <w:jc w:val="center"/>
                    <w:rPr>
                      <w:bCs/>
                      <w:spacing w:val="-10"/>
                      <w:szCs w:val="21"/>
                    </w:rPr>
                  </w:pPr>
                  <w:r>
                    <w:rPr>
                      <w:rFonts w:hint="eastAsia"/>
                      <w:szCs w:val="21"/>
                    </w:rPr>
                    <w:t>熔化炉废气排放口</w:t>
                  </w:r>
                </w:p>
              </w:tc>
              <w:tc>
                <w:tcPr>
                  <w:tcW w:w="1641" w:type="dxa"/>
                  <w:vAlign w:val="center"/>
                </w:tcPr>
                <w:p w14:paraId="611E61E1">
                  <w:pPr>
                    <w:pStyle w:val="69"/>
                    <w:autoSpaceDE/>
                    <w:autoSpaceDN/>
                    <w:adjustRightInd/>
                    <w:snapToGrid/>
                    <w:spacing w:line="280" w:lineRule="exact"/>
                    <w:rPr>
                      <w:rFonts w:ascii="Times New Roman" w:hAnsi="Times New Roman"/>
                    </w:rPr>
                  </w:pPr>
                  <w:r>
                    <w:rPr>
                      <w:rFonts w:ascii="Times New Roman" w:hAnsi="Times New Roman"/>
                    </w:rPr>
                    <w:t>废气量、</w:t>
                  </w:r>
                  <w:r>
                    <w:rPr>
                      <w:rFonts w:hint="eastAsia"/>
                      <w:bCs/>
                      <w:spacing w:val="-10"/>
                    </w:rPr>
                    <w:t>颗粒物、二氧化硫、氮氧化物</w:t>
                  </w:r>
                </w:p>
              </w:tc>
              <w:tc>
                <w:tcPr>
                  <w:tcW w:w="2231" w:type="dxa"/>
                  <w:vAlign w:val="center"/>
                </w:tcPr>
                <w:p w14:paraId="22CC927C">
                  <w:pPr>
                    <w:pStyle w:val="69"/>
                    <w:autoSpaceDE/>
                    <w:autoSpaceDN/>
                    <w:adjustRightInd/>
                    <w:snapToGrid/>
                    <w:spacing w:line="280" w:lineRule="exact"/>
                    <w:rPr>
                      <w:rFonts w:ascii="Times New Roman" w:hAnsi="Times New Roman"/>
                    </w:rPr>
                  </w:pPr>
                  <w:r>
                    <w:rPr>
                      <w:rFonts w:ascii="Times New Roman" w:hAnsi="Times New Roman"/>
                      <w:bCs/>
                    </w:rPr>
                    <w:t>《铸造工业大气污染物排放标准》（GB39726-2020）</w:t>
                  </w:r>
                </w:p>
              </w:tc>
              <w:tc>
                <w:tcPr>
                  <w:tcW w:w="1524" w:type="dxa"/>
                  <w:vMerge w:val="restart"/>
                  <w:vAlign w:val="center"/>
                </w:tcPr>
                <w:p w14:paraId="186C2443">
                  <w:pPr>
                    <w:widowControl/>
                    <w:jc w:val="center"/>
                    <w:rPr>
                      <w:kern w:val="0"/>
                      <w:sz w:val="24"/>
                    </w:rPr>
                  </w:pPr>
                  <w:r>
                    <w:rPr>
                      <w:rStyle w:val="164"/>
                      <w:rFonts w:hint="default" w:ascii="Times New Roman" w:hAnsi="Times New Roman"/>
                      <w:color w:val="auto"/>
                      <w:sz w:val="21"/>
                      <w:szCs w:val="21"/>
                    </w:rPr>
                    <w:t>1</w:t>
                  </w:r>
                  <w:r>
                    <w:rPr>
                      <w:rStyle w:val="172"/>
                      <w:rFonts w:hint="default" w:ascii="Times New Roman" w:hAnsi="Times New Roman"/>
                      <w:color w:val="auto"/>
                      <w:sz w:val="21"/>
                      <w:szCs w:val="21"/>
                    </w:rPr>
                    <w:t>次</w:t>
                  </w:r>
                  <w:r>
                    <w:rPr>
                      <w:rStyle w:val="164"/>
                      <w:rFonts w:hint="default" w:ascii="Times New Roman" w:hAnsi="Times New Roman"/>
                      <w:color w:val="auto"/>
                      <w:sz w:val="21"/>
                      <w:szCs w:val="21"/>
                    </w:rPr>
                    <w:t>/</w:t>
                  </w:r>
                  <w:r>
                    <w:rPr>
                      <w:rStyle w:val="172"/>
                      <w:rFonts w:hint="default" w:ascii="Times New Roman" w:hAnsi="Times New Roman"/>
                      <w:color w:val="auto"/>
                      <w:sz w:val="21"/>
                      <w:szCs w:val="21"/>
                    </w:rPr>
                    <w:t>半年</w:t>
                  </w:r>
                </w:p>
              </w:tc>
            </w:tr>
            <w:tr w14:paraId="484AD6A4">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Merge w:val="continue"/>
                  <w:vAlign w:val="center"/>
                </w:tcPr>
                <w:p w14:paraId="0B287059">
                  <w:pPr>
                    <w:pStyle w:val="69"/>
                    <w:spacing w:line="280" w:lineRule="exact"/>
                    <w:rPr>
                      <w:rFonts w:ascii="Times New Roman" w:hAnsi="Times New Roman"/>
                    </w:rPr>
                  </w:pPr>
                </w:p>
              </w:tc>
              <w:tc>
                <w:tcPr>
                  <w:tcW w:w="1248" w:type="dxa"/>
                  <w:vMerge w:val="continue"/>
                  <w:vAlign w:val="center"/>
                </w:tcPr>
                <w:p w14:paraId="35D36267">
                  <w:pPr>
                    <w:adjustRightInd w:val="0"/>
                    <w:snapToGrid w:val="0"/>
                    <w:spacing w:line="280" w:lineRule="exact"/>
                    <w:jc w:val="center"/>
                    <w:rPr>
                      <w:szCs w:val="21"/>
                    </w:rPr>
                  </w:pPr>
                </w:p>
              </w:tc>
              <w:tc>
                <w:tcPr>
                  <w:tcW w:w="1641" w:type="dxa"/>
                  <w:vAlign w:val="center"/>
                </w:tcPr>
                <w:p w14:paraId="35DCEA01">
                  <w:pPr>
                    <w:pStyle w:val="69"/>
                    <w:autoSpaceDE/>
                    <w:autoSpaceDN/>
                    <w:adjustRightInd/>
                    <w:snapToGrid/>
                    <w:spacing w:line="280" w:lineRule="exact"/>
                    <w:rPr>
                      <w:rFonts w:ascii="Times New Roman" w:hAnsi="Times New Roman"/>
                    </w:rPr>
                  </w:pPr>
                  <w:r>
                    <w:rPr>
                      <w:rFonts w:hint="eastAsia"/>
                      <w:bCs/>
                      <w:spacing w:val="-10"/>
                    </w:rPr>
                    <w:t>氯化氢</w:t>
                  </w:r>
                </w:p>
              </w:tc>
              <w:tc>
                <w:tcPr>
                  <w:tcW w:w="2231" w:type="dxa"/>
                  <w:vAlign w:val="center"/>
                </w:tcPr>
                <w:p w14:paraId="3DCB58D8">
                  <w:pPr>
                    <w:pStyle w:val="69"/>
                    <w:autoSpaceDE/>
                    <w:autoSpaceDN/>
                    <w:adjustRightInd/>
                    <w:snapToGrid/>
                    <w:spacing w:line="280" w:lineRule="exact"/>
                    <w:rPr>
                      <w:rFonts w:ascii="Times New Roman" w:hAnsi="Times New Roman"/>
                      <w:bCs/>
                    </w:rPr>
                  </w:pPr>
                  <w:r>
                    <w:rPr>
                      <w:rFonts w:ascii="Times New Roman" w:hAnsi="Times New Roman"/>
                      <w:snapToGrid w:val="0"/>
                      <w:kern w:val="0"/>
                    </w:rPr>
                    <w:t>《大气污染物综合排放标准》（DB50/418-2016）</w:t>
                  </w:r>
                </w:p>
              </w:tc>
              <w:tc>
                <w:tcPr>
                  <w:tcW w:w="1524" w:type="dxa"/>
                  <w:vMerge w:val="continue"/>
                  <w:vAlign w:val="center"/>
                </w:tcPr>
                <w:p w14:paraId="678850B3">
                  <w:pPr>
                    <w:pStyle w:val="69"/>
                    <w:autoSpaceDE/>
                    <w:autoSpaceDN/>
                    <w:adjustRightInd/>
                    <w:snapToGrid/>
                    <w:spacing w:line="280" w:lineRule="exact"/>
                    <w:rPr>
                      <w:rFonts w:ascii="Times New Roman" w:hAnsi="Times New Roman"/>
                    </w:rPr>
                  </w:pPr>
                </w:p>
              </w:tc>
            </w:tr>
            <w:tr w14:paraId="3DF7EC9C">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Align w:val="center"/>
                </w:tcPr>
                <w:p w14:paraId="231DC0AB">
                  <w:pPr>
                    <w:pStyle w:val="69"/>
                    <w:spacing w:line="260" w:lineRule="exact"/>
                    <w:rPr>
                      <w:rFonts w:ascii="Times New Roman" w:hAnsi="Times New Roman"/>
                    </w:rPr>
                  </w:pPr>
                  <w:r>
                    <w:rPr>
                      <w:rFonts w:hint="eastAsia" w:ascii="Times New Roman" w:hAnsi="Times New Roman"/>
                    </w:rPr>
                    <w:t>熔化工序、压铸工序</w:t>
                  </w:r>
                </w:p>
              </w:tc>
              <w:tc>
                <w:tcPr>
                  <w:tcW w:w="1248" w:type="dxa"/>
                  <w:vAlign w:val="center"/>
                </w:tcPr>
                <w:p w14:paraId="11DEFB23">
                  <w:pPr>
                    <w:adjustRightInd w:val="0"/>
                    <w:snapToGrid w:val="0"/>
                    <w:spacing w:line="280" w:lineRule="exact"/>
                    <w:jc w:val="center"/>
                    <w:rPr>
                      <w:szCs w:val="21"/>
                    </w:rPr>
                  </w:pPr>
                  <w:r>
                    <w:rPr>
                      <w:rFonts w:hint="eastAsia"/>
                      <w:szCs w:val="21"/>
                    </w:rPr>
                    <w:t>保温炉废气排放口</w:t>
                  </w:r>
                </w:p>
              </w:tc>
              <w:tc>
                <w:tcPr>
                  <w:tcW w:w="1641" w:type="dxa"/>
                  <w:vAlign w:val="center"/>
                </w:tcPr>
                <w:p w14:paraId="7C4B3D90">
                  <w:pPr>
                    <w:pStyle w:val="69"/>
                    <w:autoSpaceDE/>
                    <w:autoSpaceDN/>
                    <w:adjustRightInd/>
                    <w:snapToGrid/>
                    <w:spacing w:line="280" w:lineRule="exact"/>
                    <w:rPr>
                      <w:rFonts w:ascii="Times New Roman" w:hAnsi="Times New Roman"/>
                    </w:rPr>
                  </w:pPr>
                  <w:r>
                    <w:rPr>
                      <w:rFonts w:ascii="Times New Roman" w:hAnsi="Times New Roman"/>
                    </w:rPr>
                    <w:t>废气量、</w:t>
                  </w:r>
                  <w:r>
                    <w:rPr>
                      <w:rFonts w:hint="eastAsia"/>
                      <w:bCs/>
                      <w:spacing w:val="-10"/>
                    </w:rPr>
                    <w:t>颗粒物、二氧化硫、氮氧化物</w:t>
                  </w:r>
                </w:p>
              </w:tc>
              <w:tc>
                <w:tcPr>
                  <w:tcW w:w="2231" w:type="dxa"/>
                  <w:vAlign w:val="center"/>
                </w:tcPr>
                <w:p w14:paraId="46AD8104">
                  <w:pPr>
                    <w:pStyle w:val="69"/>
                    <w:autoSpaceDE/>
                    <w:autoSpaceDN/>
                    <w:adjustRightInd/>
                    <w:snapToGrid/>
                    <w:spacing w:line="280" w:lineRule="exact"/>
                    <w:rPr>
                      <w:rFonts w:ascii="Times New Roman" w:hAnsi="Times New Roman"/>
                      <w:snapToGrid w:val="0"/>
                      <w:kern w:val="0"/>
                    </w:rPr>
                  </w:pPr>
                  <w:r>
                    <w:rPr>
                      <w:rFonts w:ascii="Times New Roman" w:hAnsi="Times New Roman"/>
                      <w:bCs/>
                    </w:rPr>
                    <w:t>《工业炉窑大气污染物排放标准》（DB 50659-2016）</w:t>
                  </w:r>
                </w:p>
              </w:tc>
              <w:tc>
                <w:tcPr>
                  <w:tcW w:w="1524" w:type="dxa"/>
                  <w:vAlign w:val="center"/>
                </w:tcPr>
                <w:p w14:paraId="795D0E24">
                  <w:pPr>
                    <w:pStyle w:val="69"/>
                    <w:autoSpaceDE/>
                    <w:autoSpaceDN/>
                    <w:adjustRightInd/>
                    <w:snapToGrid/>
                    <w:spacing w:line="280" w:lineRule="exact"/>
                    <w:rPr>
                      <w:rFonts w:ascii="Times New Roman" w:hAnsi="Times New Roman"/>
                    </w:rPr>
                  </w:pPr>
                  <w:r>
                    <w:rPr>
                      <w:rFonts w:ascii="Times New Roman" w:hAnsi="Times New Roman"/>
                    </w:rPr>
                    <w:t>1次/年</w:t>
                  </w:r>
                </w:p>
              </w:tc>
            </w:tr>
            <w:tr w14:paraId="2962DF67">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Align w:val="center"/>
                </w:tcPr>
                <w:p w14:paraId="55978B78">
                  <w:pPr>
                    <w:pStyle w:val="69"/>
                    <w:spacing w:line="260" w:lineRule="exact"/>
                    <w:rPr>
                      <w:rFonts w:ascii="Times New Roman" w:hAnsi="Times New Roman"/>
                    </w:rPr>
                  </w:pPr>
                  <w:r>
                    <w:rPr>
                      <w:rFonts w:ascii="Times New Roman" w:hAnsi="Times New Roman"/>
                    </w:rPr>
                    <w:t>压铸工序</w:t>
                  </w:r>
                </w:p>
              </w:tc>
              <w:tc>
                <w:tcPr>
                  <w:tcW w:w="1248" w:type="dxa"/>
                  <w:vAlign w:val="center"/>
                </w:tcPr>
                <w:p w14:paraId="660E0EB9">
                  <w:pPr>
                    <w:adjustRightInd w:val="0"/>
                    <w:snapToGrid w:val="0"/>
                    <w:spacing w:line="280" w:lineRule="exact"/>
                    <w:jc w:val="center"/>
                    <w:rPr>
                      <w:bCs/>
                      <w:spacing w:val="-10"/>
                      <w:szCs w:val="21"/>
                    </w:rPr>
                  </w:pPr>
                  <w:r>
                    <w:rPr>
                      <w:rFonts w:hint="eastAsia"/>
                      <w:szCs w:val="21"/>
                    </w:rPr>
                    <w:t>脱膜废气</w:t>
                  </w:r>
                  <w:r>
                    <w:rPr>
                      <w:szCs w:val="21"/>
                    </w:rPr>
                    <w:t>排放口</w:t>
                  </w:r>
                </w:p>
              </w:tc>
              <w:tc>
                <w:tcPr>
                  <w:tcW w:w="1641" w:type="dxa"/>
                  <w:vAlign w:val="center"/>
                </w:tcPr>
                <w:p w14:paraId="69041E26">
                  <w:pPr>
                    <w:pStyle w:val="69"/>
                    <w:autoSpaceDE/>
                    <w:autoSpaceDN/>
                    <w:adjustRightInd/>
                    <w:snapToGrid/>
                    <w:spacing w:line="280" w:lineRule="exact"/>
                    <w:rPr>
                      <w:rFonts w:ascii="Times New Roman" w:hAnsi="Times New Roman"/>
                    </w:rPr>
                  </w:pPr>
                  <w:r>
                    <w:rPr>
                      <w:rFonts w:ascii="Times New Roman" w:hAnsi="Times New Roman"/>
                    </w:rPr>
                    <w:t>废气量、</w:t>
                  </w:r>
                  <w:r>
                    <w:t>非甲烷总烃</w:t>
                  </w:r>
                </w:p>
              </w:tc>
              <w:tc>
                <w:tcPr>
                  <w:tcW w:w="2231" w:type="dxa"/>
                  <w:vAlign w:val="center"/>
                </w:tcPr>
                <w:p w14:paraId="5254C7E2">
                  <w:pPr>
                    <w:pStyle w:val="69"/>
                    <w:autoSpaceDE/>
                    <w:autoSpaceDN/>
                    <w:adjustRightInd/>
                    <w:snapToGrid/>
                    <w:spacing w:line="280" w:lineRule="exact"/>
                    <w:rPr>
                      <w:rFonts w:ascii="Times New Roman" w:hAnsi="Times New Roman"/>
                    </w:rPr>
                  </w:pPr>
                  <w:r>
                    <w:rPr>
                      <w:rFonts w:ascii="Times New Roman" w:hAnsi="Times New Roman"/>
                      <w:snapToGrid w:val="0"/>
                      <w:kern w:val="0"/>
                    </w:rPr>
                    <w:t>《大气污染物综合排放标准》（DB50/418-2016）</w:t>
                  </w:r>
                </w:p>
              </w:tc>
              <w:tc>
                <w:tcPr>
                  <w:tcW w:w="1524" w:type="dxa"/>
                  <w:vAlign w:val="center"/>
                </w:tcPr>
                <w:p w14:paraId="31EB21B3">
                  <w:pPr>
                    <w:pStyle w:val="69"/>
                    <w:autoSpaceDE/>
                    <w:autoSpaceDN/>
                    <w:adjustRightInd/>
                    <w:snapToGrid/>
                    <w:spacing w:line="280" w:lineRule="exact"/>
                    <w:rPr>
                      <w:rFonts w:ascii="Times New Roman" w:hAnsi="Times New Roman"/>
                    </w:rPr>
                  </w:pPr>
                  <w:r>
                    <w:rPr>
                      <w:rFonts w:ascii="Times New Roman" w:hAnsi="Times New Roman"/>
                    </w:rPr>
                    <w:t>1次/年</w:t>
                  </w:r>
                </w:p>
              </w:tc>
            </w:tr>
            <w:tr w14:paraId="791ADC2F">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Align w:val="center"/>
                </w:tcPr>
                <w:p w14:paraId="6DCA0FC6">
                  <w:pPr>
                    <w:pStyle w:val="69"/>
                    <w:spacing w:line="260" w:lineRule="exact"/>
                    <w:rPr>
                      <w:rFonts w:ascii="Times New Roman" w:hAnsi="Times New Roman"/>
                    </w:rPr>
                  </w:pPr>
                  <w:r>
                    <w:rPr>
                      <w:rFonts w:hint="eastAsia" w:ascii="Times New Roman" w:hAnsi="Times New Roman"/>
                    </w:rPr>
                    <w:t>表面清理工序、抛丸工序</w:t>
                  </w:r>
                </w:p>
              </w:tc>
              <w:tc>
                <w:tcPr>
                  <w:tcW w:w="1248" w:type="dxa"/>
                  <w:vAlign w:val="center"/>
                </w:tcPr>
                <w:p w14:paraId="14F56DB5">
                  <w:pPr>
                    <w:adjustRightInd w:val="0"/>
                    <w:snapToGrid w:val="0"/>
                    <w:spacing w:line="280" w:lineRule="exact"/>
                    <w:jc w:val="center"/>
                    <w:rPr>
                      <w:szCs w:val="21"/>
                    </w:rPr>
                  </w:pPr>
                  <w:r>
                    <w:rPr>
                      <w:rFonts w:hint="eastAsia"/>
                      <w:szCs w:val="21"/>
                    </w:rPr>
                    <w:t>表面清理废气、抛丸废气排放口</w:t>
                  </w:r>
                </w:p>
              </w:tc>
              <w:tc>
                <w:tcPr>
                  <w:tcW w:w="1641" w:type="dxa"/>
                  <w:vAlign w:val="center"/>
                </w:tcPr>
                <w:p w14:paraId="7E984ACC">
                  <w:pPr>
                    <w:pStyle w:val="69"/>
                    <w:autoSpaceDE/>
                    <w:autoSpaceDN/>
                    <w:adjustRightInd/>
                    <w:snapToGrid/>
                    <w:spacing w:line="280" w:lineRule="exact"/>
                    <w:rPr>
                      <w:rFonts w:ascii="Times New Roman" w:hAnsi="Times New Roman"/>
                    </w:rPr>
                  </w:pPr>
                  <w:r>
                    <w:rPr>
                      <w:rFonts w:ascii="Times New Roman" w:hAnsi="Times New Roman"/>
                    </w:rPr>
                    <w:t>废气量、</w:t>
                  </w:r>
                  <w:r>
                    <w:rPr>
                      <w:rFonts w:hint="eastAsia"/>
                      <w:bCs/>
                      <w:spacing w:val="-10"/>
                    </w:rPr>
                    <w:t>颗粒物</w:t>
                  </w:r>
                </w:p>
              </w:tc>
              <w:tc>
                <w:tcPr>
                  <w:tcW w:w="2231" w:type="dxa"/>
                  <w:vAlign w:val="center"/>
                </w:tcPr>
                <w:p w14:paraId="3161E9B3">
                  <w:pPr>
                    <w:pStyle w:val="69"/>
                    <w:autoSpaceDE/>
                    <w:autoSpaceDN/>
                    <w:adjustRightInd/>
                    <w:snapToGrid/>
                    <w:spacing w:line="280" w:lineRule="exact"/>
                    <w:rPr>
                      <w:rFonts w:ascii="Times New Roman" w:hAnsi="Times New Roman"/>
                      <w:snapToGrid w:val="0"/>
                      <w:kern w:val="0"/>
                    </w:rPr>
                  </w:pPr>
                  <w:r>
                    <w:rPr>
                      <w:rFonts w:ascii="Times New Roman" w:hAnsi="Times New Roman"/>
                      <w:bCs/>
                    </w:rPr>
                    <w:t>《铸造工业大气污染物排放标准》（GB39726-2020）</w:t>
                  </w:r>
                </w:p>
              </w:tc>
              <w:tc>
                <w:tcPr>
                  <w:tcW w:w="1524" w:type="dxa"/>
                  <w:vAlign w:val="center"/>
                </w:tcPr>
                <w:p w14:paraId="7395F11E">
                  <w:pPr>
                    <w:pStyle w:val="69"/>
                    <w:autoSpaceDE/>
                    <w:autoSpaceDN/>
                    <w:adjustRightInd/>
                    <w:snapToGrid/>
                    <w:spacing w:line="280" w:lineRule="exact"/>
                    <w:rPr>
                      <w:rFonts w:ascii="Times New Roman" w:hAnsi="Times New Roman"/>
                    </w:rPr>
                  </w:pPr>
                  <w:r>
                    <w:rPr>
                      <w:rFonts w:ascii="Times New Roman" w:hAnsi="Times New Roman"/>
                    </w:rPr>
                    <w:t>1次/年</w:t>
                  </w:r>
                </w:p>
              </w:tc>
            </w:tr>
            <w:tr w14:paraId="186D1501">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8111" w:type="dxa"/>
                  <w:gridSpan w:val="5"/>
                  <w:vAlign w:val="center"/>
                </w:tcPr>
                <w:p w14:paraId="0E024000">
                  <w:pPr>
                    <w:pStyle w:val="69"/>
                    <w:autoSpaceDE/>
                    <w:autoSpaceDN/>
                    <w:adjustRightInd/>
                    <w:snapToGrid/>
                    <w:spacing w:line="280" w:lineRule="exact"/>
                    <w:rPr>
                      <w:rFonts w:ascii="Times New Roman" w:hAnsi="Times New Roman"/>
                    </w:rPr>
                  </w:pPr>
                  <w:r>
                    <w:rPr>
                      <w:rFonts w:ascii="Times New Roman" w:hAnsi="Times New Roman"/>
                    </w:rPr>
                    <w:t>无组织排放</w:t>
                  </w:r>
                </w:p>
              </w:tc>
            </w:tr>
            <w:tr w14:paraId="63E3B23A">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Align w:val="center"/>
                </w:tcPr>
                <w:p w14:paraId="479372CA">
                  <w:pPr>
                    <w:pStyle w:val="69"/>
                    <w:autoSpaceDE/>
                    <w:autoSpaceDN/>
                    <w:adjustRightInd/>
                    <w:snapToGrid/>
                    <w:spacing w:line="280" w:lineRule="exact"/>
                    <w:rPr>
                      <w:rFonts w:ascii="Times New Roman" w:hAnsi="Times New Roman"/>
                    </w:rPr>
                  </w:pPr>
                  <w:r>
                    <w:rPr>
                      <w:rFonts w:ascii="Times New Roman" w:hAnsi="Times New Roman"/>
                    </w:rPr>
                    <w:t>污染源</w:t>
                  </w:r>
                </w:p>
              </w:tc>
              <w:tc>
                <w:tcPr>
                  <w:tcW w:w="1248" w:type="dxa"/>
                  <w:vAlign w:val="center"/>
                </w:tcPr>
                <w:p w14:paraId="3EAA7BB3">
                  <w:pPr>
                    <w:pStyle w:val="69"/>
                    <w:autoSpaceDE/>
                    <w:autoSpaceDN/>
                    <w:adjustRightInd/>
                    <w:snapToGrid/>
                    <w:spacing w:line="280" w:lineRule="exact"/>
                    <w:rPr>
                      <w:rFonts w:ascii="Times New Roman" w:hAnsi="Times New Roman"/>
                    </w:rPr>
                  </w:pPr>
                  <w:r>
                    <w:rPr>
                      <w:rFonts w:ascii="Times New Roman" w:hAnsi="Times New Roman"/>
                    </w:rPr>
                    <w:t>监测点位</w:t>
                  </w:r>
                </w:p>
              </w:tc>
              <w:tc>
                <w:tcPr>
                  <w:tcW w:w="1641" w:type="dxa"/>
                  <w:vAlign w:val="center"/>
                </w:tcPr>
                <w:p w14:paraId="22D133A6">
                  <w:pPr>
                    <w:pStyle w:val="69"/>
                    <w:autoSpaceDE/>
                    <w:autoSpaceDN/>
                    <w:adjustRightInd/>
                    <w:snapToGrid/>
                    <w:spacing w:line="280" w:lineRule="exact"/>
                    <w:rPr>
                      <w:rFonts w:ascii="Times New Roman" w:hAnsi="Times New Roman"/>
                    </w:rPr>
                  </w:pPr>
                  <w:r>
                    <w:rPr>
                      <w:rFonts w:ascii="Times New Roman" w:hAnsi="Times New Roman"/>
                    </w:rPr>
                    <w:t>监测指标</w:t>
                  </w:r>
                </w:p>
              </w:tc>
              <w:tc>
                <w:tcPr>
                  <w:tcW w:w="2231" w:type="dxa"/>
                  <w:vAlign w:val="center"/>
                </w:tcPr>
                <w:p w14:paraId="08F41D62">
                  <w:pPr>
                    <w:pStyle w:val="69"/>
                    <w:autoSpaceDE/>
                    <w:autoSpaceDN/>
                    <w:adjustRightInd/>
                    <w:snapToGrid/>
                    <w:spacing w:line="280" w:lineRule="exact"/>
                    <w:rPr>
                      <w:rFonts w:ascii="Times New Roman" w:hAnsi="Times New Roman"/>
                    </w:rPr>
                  </w:pPr>
                  <w:r>
                    <w:rPr>
                      <w:rFonts w:ascii="Times New Roman" w:hAnsi="Times New Roman"/>
                    </w:rPr>
                    <w:t>执行标准</w:t>
                  </w:r>
                </w:p>
              </w:tc>
              <w:tc>
                <w:tcPr>
                  <w:tcW w:w="1524" w:type="dxa"/>
                  <w:vAlign w:val="center"/>
                </w:tcPr>
                <w:p w14:paraId="3E79CE18">
                  <w:pPr>
                    <w:pStyle w:val="69"/>
                    <w:autoSpaceDE/>
                    <w:autoSpaceDN/>
                    <w:adjustRightInd/>
                    <w:snapToGrid/>
                    <w:spacing w:line="280" w:lineRule="exact"/>
                    <w:rPr>
                      <w:rFonts w:ascii="Times New Roman" w:hAnsi="Times New Roman"/>
                    </w:rPr>
                  </w:pPr>
                  <w:r>
                    <w:rPr>
                      <w:rFonts w:ascii="Times New Roman" w:hAnsi="Times New Roman"/>
                    </w:rPr>
                    <w:t>监测频次（一般排放口）</w:t>
                  </w:r>
                </w:p>
              </w:tc>
            </w:tr>
            <w:tr w14:paraId="6F374149">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467" w:type="dxa"/>
                  <w:vMerge w:val="restart"/>
                  <w:vAlign w:val="center"/>
                </w:tcPr>
                <w:p w14:paraId="1C221DE3">
                  <w:pPr>
                    <w:pStyle w:val="69"/>
                    <w:autoSpaceDE/>
                    <w:autoSpaceDN/>
                    <w:adjustRightInd/>
                    <w:snapToGrid/>
                    <w:spacing w:line="280" w:lineRule="exact"/>
                    <w:rPr>
                      <w:rFonts w:ascii="Times New Roman" w:hAnsi="Times New Roman"/>
                      <w:kern w:val="0"/>
                    </w:rPr>
                  </w:pPr>
                  <w:r>
                    <w:rPr>
                      <w:rFonts w:ascii="Times New Roman" w:hAnsi="Times New Roman"/>
                    </w:rPr>
                    <w:t>下风向厂界</w:t>
                  </w:r>
                </w:p>
              </w:tc>
              <w:tc>
                <w:tcPr>
                  <w:tcW w:w="1248" w:type="dxa"/>
                  <w:vMerge w:val="restart"/>
                  <w:vAlign w:val="center"/>
                </w:tcPr>
                <w:p w14:paraId="5035A2E1">
                  <w:pPr>
                    <w:pStyle w:val="69"/>
                    <w:autoSpaceDE/>
                    <w:autoSpaceDN/>
                    <w:adjustRightInd/>
                    <w:snapToGrid/>
                    <w:spacing w:line="280" w:lineRule="exact"/>
                    <w:rPr>
                      <w:rFonts w:ascii="Times New Roman" w:hAnsi="Times New Roman"/>
                    </w:rPr>
                  </w:pPr>
                  <w:r>
                    <w:rPr>
                      <w:rFonts w:ascii="Times New Roman" w:hAnsi="Times New Roman"/>
                    </w:rPr>
                    <w:t>无组织</w:t>
                  </w:r>
                </w:p>
                <w:p w14:paraId="06AB36ED">
                  <w:pPr>
                    <w:pStyle w:val="69"/>
                    <w:autoSpaceDE/>
                    <w:autoSpaceDN/>
                    <w:adjustRightInd/>
                    <w:snapToGrid/>
                    <w:spacing w:line="280" w:lineRule="exact"/>
                    <w:rPr>
                      <w:rFonts w:ascii="Times New Roman" w:hAnsi="Times New Roman"/>
                      <w:kern w:val="0"/>
                    </w:rPr>
                  </w:pPr>
                  <w:r>
                    <w:rPr>
                      <w:rFonts w:ascii="Times New Roman" w:hAnsi="Times New Roman"/>
                    </w:rPr>
                    <w:t>监控点</w:t>
                  </w:r>
                </w:p>
              </w:tc>
              <w:tc>
                <w:tcPr>
                  <w:tcW w:w="1641" w:type="dxa"/>
                  <w:vAlign w:val="center"/>
                </w:tcPr>
                <w:p w14:paraId="23D6D463">
                  <w:pPr>
                    <w:pStyle w:val="69"/>
                    <w:autoSpaceDE/>
                    <w:autoSpaceDN/>
                    <w:adjustRightInd/>
                    <w:snapToGrid/>
                    <w:spacing w:line="280" w:lineRule="exact"/>
                    <w:rPr>
                      <w:rFonts w:ascii="Times New Roman" w:hAnsi="Times New Roman"/>
                      <w:kern w:val="0"/>
                    </w:rPr>
                  </w:pPr>
                  <w:r>
                    <w:t>非甲烷总烃</w:t>
                  </w:r>
                  <w:r>
                    <w:rPr>
                      <w:rFonts w:hint="eastAsia"/>
                    </w:rPr>
                    <w:t>、</w:t>
                  </w:r>
                  <w:r>
                    <w:t>颗粒物</w:t>
                  </w:r>
                </w:p>
              </w:tc>
              <w:tc>
                <w:tcPr>
                  <w:tcW w:w="2231" w:type="dxa"/>
                  <w:vAlign w:val="center"/>
                </w:tcPr>
                <w:p w14:paraId="52BF0B99">
                  <w:pPr>
                    <w:pStyle w:val="69"/>
                    <w:autoSpaceDE/>
                    <w:autoSpaceDN/>
                    <w:adjustRightInd/>
                    <w:snapToGrid/>
                    <w:spacing w:line="280" w:lineRule="exact"/>
                    <w:rPr>
                      <w:rFonts w:ascii="Times New Roman" w:hAnsi="Times New Roman"/>
                      <w:kern w:val="0"/>
                    </w:rPr>
                  </w:pPr>
                  <w:r>
                    <w:rPr>
                      <w:rFonts w:ascii="Times New Roman" w:hAnsi="Times New Roman"/>
                      <w:snapToGrid w:val="0"/>
                      <w:kern w:val="0"/>
                    </w:rPr>
                    <w:t>《大气污染物综合排放标准》（DB50/418-2016）</w:t>
                  </w:r>
                </w:p>
              </w:tc>
              <w:tc>
                <w:tcPr>
                  <w:tcW w:w="1524" w:type="dxa"/>
                  <w:vAlign w:val="center"/>
                </w:tcPr>
                <w:p w14:paraId="2E18666F">
                  <w:pPr>
                    <w:pStyle w:val="69"/>
                    <w:autoSpaceDE/>
                    <w:autoSpaceDN/>
                    <w:adjustRightInd/>
                    <w:snapToGrid/>
                    <w:spacing w:line="280" w:lineRule="exact"/>
                    <w:rPr>
                      <w:rFonts w:ascii="Times New Roman" w:hAnsi="Times New Roman"/>
                      <w:kern w:val="0"/>
                    </w:rPr>
                  </w:pPr>
                  <w:r>
                    <w:rPr>
                      <w:rFonts w:ascii="Times New Roman" w:hAnsi="Times New Roman"/>
                    </w:rPr>
                    <w:t>1次/年</w:t>
                  </w:r>
                </w:p>
              </w:tc>
            </w:tr>
            <w:tr w14:paraId="18F0A967">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PrEx>
              <w:trPr>
                <w:trHeight w:val="23" w:hRule="atLeast"/>
                <w:jc w:val="center"/>
              </w:trPr>
              <w:tc>
                <w:tcPr>
                  <w:tcW w:w="1467" w:type="dxa"/>
                  <w:vMerge w:val="continue"/>
                  <w:vAlign w:val="center"/>
                </w:tcPr>
                <w:p w14:paraId="064E551B">
                  <w:pPr>
                    <w:pStyle w:val="69"/>
                    <w:autoSpaceDE/>
                    <w:autoSpaceDN/>
                    <w:adjustRightInd/>
                    <w:snapToGrid/>
                    <w:spacing w:line="280" w:lineRule="exact"/>
                    <w:rPr>
                      <w:rFonts w:ascii="Times New Roman" w:hAnsi="Times New Roman"/>
                    </w:rPr>
                  </w:pPr>
                </w:p>
              </w:tc>
              <w:tc>
                <w:tcPr>
                  <w:tcW w:w="1248" w:type="dxa"/>
                  <w:vMerge w:val="continue"/>
                  <w:vAlign w:val="center"/>
                </w:tcPr>
                <w:p w14:paraId="4627429F">
                  <w:pPr>
                    <w:pStyle w:val="69"/>
                    <w:autoSpaceDE/>
                    <w:autoSpaceDN/>
                    <w:adjustRightInd/>
                    <w:snapToGrid/>
                    <w:spacing w:line="280" w:lineRule="exact"/>
                    <w:rPr>
                      <w:rFonts w:ascii="Times New Roman" w:hAnsi="Times New Roman"/>
                    </w:rPr>
                  </w:pPr>
                </w:p>
              </w:tc>
              <w:tc>
                <w:tcPr>
                  <w:tcW w:w="1641" w:type="dxa"/>
                  <w:vAlign w:val="center"/>
                </w:tcPr>
                <w:p w14:paraId="713EFE5D">
                  <w:pPr>
                    <w:pStyle w:val="69"/>
                    <w:autoSpaceDE/>
                    <w:autoSpaceDN/>
                    <w:adjustRightInd/>
                    <w:snapToGrid/>
                    <w:spacing w:line="280" w:lineRule="exact"/>
                  </w:pPr>
                  <w:r>
                    <w:t>臭气浓度</w:t>
                  </w:r>
                </w:p>
              </w:tc>
              <w:tc>
                <w:tcPr>
                  <w:tcW w:w="2231" w:type="dxa"/>
                  <w:vAlign w:val="center"/>
                </w:tcPr>
                <w:p w14:paraId="511C5971">
                  <w:pPr>
                    <w:pStyle w:val="69"/>
                    <w:autoSpaceDE/>
                    <w:autoSpaceDN/>
                    <w:adjustRightInd/>
                    <w:snapToGrid/>
                    <w:spacing w:line="280" w:lineRule="exact"/>
                    <w:rPr>
                      <w:rFonts w:ascii="Times New Roman" w:hAnsi="Times New Roman"/>
                      <w:snapToGrid w:val="0"/>
                      <w:kern w:val="0"/>
                    </w:rPr>
                  </w:pPr>
                  <w:r>
                    <w:rPr>
                      <w:rFonts w:ascii="Times New Roman" w:hAnsi="Times New Roman"/>
                      <w:bCs/>
                    </w:rPr>
                    <w:t>《恶臭污染物排放标准》（GB 14554-93）</w:t>
                  </w:r>
                </w:p>
              </w:tc>
              <w:tc>
                <w:tcPr>
                  <w:tcW w:w="1524" w:type="dxa"/>
                  <w:vAlign w:val="center"/>
                </w:tcPr>
                <w:p w14:paraId="5FF38261">
                  <w:pPr>
                    <w:pStyle w:val="69"/>
                    <w:autoSpaceDE/>
                    <w:autoSpaceDN/>
                    <w:adjustRightInd/>
                    <w:snapToGrid/>
                    <w:spacing w:line="280" w:lineRule="exact"/>
                    <w:rPr>
                      <w:rFonts w:ascii="Times New Roman" w:hAnsi="Times New Roman"/>
                    </w:rPr>
                  </w:pPr>
                </w:p>
              </w:tc>
            </w:tr>
          </w:tbl>
          <w:p w14:paraId="7F2EF298">
            <w:pPr>
              <w:adjustRightInd w:val="0"/>
              <w:snapToGrid w:val="0"/>
              <w:spacing w:line="360" w:lineRule="auto"/>
              <w:ind w:firstLine="440" w:firstLineChars="200"/>
              <w:rPr>
                <w:bCs/>
                <w:spacing w:val="-10"/>
                <w:sz w:val="24"/>
              </w:rPr>
            </w:pPr>
            <w:r>
              <w:rPr>
                <w:bCs/>
                <w:spacing w:val="-10"/>
                <w:sz w:val="24"/>
              </w:rPr>
              <w:t>（5）项目污染物达标排放情况和废气处理措施可行性</w:t>
            </w:r>
          </w:p>
          <w:p w14:paraId="3805343E">
            <w:pPr>
              <w:adjustRightInd w:val="0"/>
              <w:snapToGrid w:val="0"/>
              <w:spacing w:line="360" w:lineRule="auto"/>
              <w:ind w:firstLine="440" w:firstLineChars="200"/>
              <w:rPr>
                <w:bCs/>
                <w:spacing w:val="-10"/>
                <w:sz w:val="24"/>
              </w:rPr>
            </w:pPr>
            <w:r>
              <w:rPr>
                <w:rFonts w:hint="eastAsia" w:ascii="宋体" w:hAnsi="宋体" w:cs="宋体"/>
                <w:bCs/>
                <w:spacing w:val="-10"/>
                <w:sz w:val="24"/>
              </w:rPr>
              <w:t>①熔化工序废气</w:t>
            </w:r>
          </w:p>
          <w:p w14:paraId="7B7334F4">
            <w:pPr>
              <w:adjustRightInd w:val="0"/>
              <w:snapToGrid w:val="0"/>
              <w:spacing w:line="360" w:lineRule="auto"/>
              <w:ind w:firstLine="440" w:firstLineChars="200"/>
              <w:rPr>
                <w:sz w:val="24"/>
              </w:rPr>
            </w:pPr>
            <w:r>
              <w:rPr>
                <w:bCs/>
                <w:spacing w:val="-10"/>
                <w:sz w:val="24"/>
              </w:rPr>
              <w:t>项目</w:t>
            </w:r>
            <w:r>
              <w:rPr>
                <w:rFonts w:hint="eastAsia"/>
                <w:bCs/>
                <w:spacing w:val="-10"/>
                <w:sz w:val="24"/>
              </w:rPr>
              <w:t>于厂房北侧建设</w:t>
            </w:r>
            <w:r>
              <w:rPr>
                <w:bCs/>
                <w:spacing w:val="-10"/>
                <w:sz w:val="24"/>
              </w:rPr>
              <w:t>1</w:t>
            </w:r>
            <w:r>
              <w:rPr>
                <w:rFonts w:hint="eastAsia"/>
                <w:bCs/>
                <w:spacing w:val="-10"/>
                <w:sz w:val="24"/>
              </w:rPr>
              <w:t>台高温布袋除尘器，风量</w:t>
            </w:r>
            <w:r>
              <w:rPr>
                <w:bCs/>
                <w:spacing w:val="-10"/>
                <w:sz w:val="24"/>
              </w:rPr>
              <w:t>8</w:t>
            </w:r>
            <w:r>
              <w:rPr>
                <w:sz w:val="24"/>
              </w:rPr>
              <w:t>000m</w:t>
            </w:r>
            <w:r>
              <w:rPr>
                <w:sz w:val="24"/>
                <w:vertAlign w:val="superscript"/>
              </w:rPr>
              <w:t>3</w:t>
            </w:r>
            <w:r>
              <w:rPr>
                <w:sz w:val="24"/>
              </w:rPr>
              <w:t>/h</w:t>
            </w:r>
            <w:r>
              <w:rPr>
                <w:rFonts w:hint="eastAsia"/>
                <w:sz w:val="24"/>
              </w:rPr>
              <w:t>，高温布袋除尘器抽风管与熔化工序熔化炉集气罩相连，颗粒物处理效率9</w:t>
            </w:r>
            <w:r>
              <w:rPr>
                <w:sz w:val="24"/>
              </w:rPr>
              <w:t>0</w:t>
            </w:r>
            <w:r>
              <w:rPr>
                <w:rFonts w:hint="eastAsia"/>
                <w:sz w:val="24"/>
              </w:rPr>
              <w:t>%，</w:t>
            </w:r>
            <w:r>
              <w:rPr>
                <w:sz w:val="24"/>
              </w:rPr>
              <w:t>经处理后的废气通过</w:t>
            </w:r>
            <w:r>
              <w:rPr>
                <w:sz w:val="24"/>
                <w:szCs w:val="21"/>
              </w:rPr>
              <w:t>20m</w:t>
            </w:r>
            <w:r>
              <w:rPr>
                <w:sz w:val="24"/>
              </w:rPr>
              <w:t>高</w:t>
            </w:r>
            <w:r>
              <w:rPr>
                <w:rFonts w:hint="eastAsia"/>
                <w:sz w:val="24"/>
              </w:rPr>
              <w:t>1#</w:t>
            </w:r>
            <w:r>
              <w:rPr>
                <w:sz w:val="24"/>
              </w:rPr>
              <w:t>排气筒排放。</w:t>
            </w:r>
          </w:p>
          <w:p w14:paraId="4B9E54DA">
            <w:pPr>
              <w:adjustRightInd w:val="0"/>
              <w:snapToGrid w:val="0"/>
              <w:spacing w:line="360" w:lineRule="auto"/>
              <w:rPr>
                <w:bCs/>
                <w:spacing w:val="-10"/>
                <w:sz w:val="24"/>
              </w:rPr>
            </w:pPr>
            <w:r>
              <w:rPr>
                <w:bCs/>
                <w:spacing w:val="-10"/>
                <w:sz w:val="24"/>
              </w:rPr>
              <mc:AlternateContent>
                <mc:Choice Requires="wpc">
                  <w:drawing>
                    <wp:inline distT="0" distB="0" distL="0" distR="0">
                      <wp:extent cx="5328920" cy="935355"/>
                      <wp:effectExtent l="0" t="0" r="0" b="0"/>
                      <wp:docPr id="15" name="画布 295"/>
                      <wp:cNvGraphicFramePr/>
                      <a:graphic xmlns:a="http://schemas.openxmlformats.org/drawingml/2006/main">
                        <a:graphicData uri="http://schemas.microsoft.com/office/word/2010/wordprocessingCanvas">
                          <wpc:wpc>
                            <wpc:bg>
                              <a:noFill/>
                            </wpc:bg>
                            <wpc:whole>
                              <a:ln>
                                <a:noFill/>
                              </a:ln>
                            </wpc:whole>
                            <wps:wsp>
                              <wps:cNvPr id="1" name="矩形 297"/>
                              <wps:cNvSpPr>
                                <a:spLocks noChangeArrowheads="1"/>
                              </wps:cNvSpPr>
                              <wps:spPr bwMode="auto">
                                <a:xfrm>
                                  <a:off x="219075" y="140774"/>
                                  <a:ext cx="1120140" cy="429895"/>
                                </a:xfrm>
                                <a:prstGeom prst="rect">
                                  <a:avLst/>
                                </a:prstGeom>
                                <a:noFill/>
                                <a:ln>
                                  <a:noFill/>
                                </a:ln>
                                <a:effectLst/>
                              </wps:spPr>
                              <wps:txbx>
                                <w:txbxContent>
                                  <w:p w14:paraId="26022CCE">
                                    <w:pPr>
                                      <w:spacing w:line="300" w:lineRule="exact"/>
                                      <w:rPr>
                                        <w:szCs w:val="21"/>
                                      </w:rPr>
                                    </w:pPr>
                                    <w:r>
                                      <w:rPr>
                                        <w:rFonts w:hint="eastAsia"/>
                                        <w:bCs/>
                                        <w:szCs w:val="21"/>
                                      </w:rPr>
                                      <w:t>熔化炉废气</w:t>
                                    </w:r>
                                  </w:p>
                                </w:txbxContent>
                              </wps:txbx>
                              <wps:bodyPr rot="0" vert="horz" wrap="square" lIns="91440" tIns="45720" rIns="91440" bIns="45720" anchor="t" anchorCtr="0" upright="1">
                                <a:noAutofit/>
                              </wps:bodyPr>
                            </wps:wsp>
                            <wps:wsp>
                              <wps:cNvPr id="7" name="直线 304"/>
                              <wps:cNvCnPr>
                                <a:cxnSpLocks noChangeShapeType="1"/>
                              </wps:cNvCnPr>
                              <wps:spPr bwMode="auto">
                                <a:xfrm>
                                  <a:off x="1193165" y="288729"/>
                                  <a:ext cx="368300" cy="0"/>
                                </a:xfrm>
                                <a:prstGeom prst="line">
                                  <a:avLst/>
                                </a:prstGeom>
                                <a:noFill/>
                                <a:ln w="50800" cmpd="dbl">
                                  <a:solidFill>
                                    <a:srgbClr val="4F6228"/>
                                  </a:solidFill>
                                  <a:round/>
                                  <a:tailEnd type="stealth" w="med" len="med"/>
                                </a:ln>
                                <a:effectLst/>
                              </wps:spPr>
                              <wps:bodyPr/>
                            </wps:wsp>
                            <wps:wsp>
                              <wps:cNvPr id="8" name="矩形 305"/>
                              <wps:cNvSpPr>
                                <a:spLocks noChangeArrowheads="1"/>
                              </wps:cNvSpPr>
                              <wps:spPr bwMode="auto">
                                <a:xfrm>
                                  <a:off x="1551940" y="131884"/>
                                  <a:ext cx="1428750" cy="325120"/>
                                </a:xfrm>
                                <a:prstGeom prst="rect">
                                  <a:avLst/>
                                </a:prstGeom>
                                <a:noFill/>
                                <a:ln w="19050" algn="ctr">
                                  <a:solidFill>
                                    <a:srgbClr val="000000"/>
                                  </a:solidFill>
                                  <a:miter lim="800000"/>
                                </a:ln>
                                <a:effectLst/>
                              </wps:spPr>
                              <wps:txbx>
                                <w:txbxContent>
                                  <w:p w14:paraId="39D16496">
                                    <w:pPr>
                                      <w:spacing w:line="300" w:lineRule="exact"/>
                                      <w:jc w:val="center"/>
                                      <w:rPr>
                                        <w:sz w:val="20"/>
                                        <w:szCs w:val="22"/>
                                      </w:rPr>
                                    </w:pPr>
                                    <w:r>
                                      <w:rPr>
                                        <w:rFonts w:hint="eastAsia"/>
                                      </w:rPr>
                                      <w:t>高温布袋除尘器</w:t>
                                    </w:r>
                                  </w:p>
                                </w:txbxContent>
                              </wps:txbx>
                              <wps:bodyPr rot="0" vert="horz" wrap="square" lIns="91440" tIns="45720" rIns="91440" bIns="45720" anchor="t" anchorCtr="0" upright="1">
                                <a:noAutofit/>
                              </wps:bodyPr>
                            </wps:wsp>
                            <wps:wsp>
                              <wps:cNvPr id="9" name="直线 306"/>
                              <wps:cNvCnPr>
                                <a:cxnSpLocks noChangeShapeType="1"/>
                              </wps:cNvCnPr>
                              <wps:spPr bwMode="auto">
                                <a:xfrm>
                                  <a:off x="2980690" y="298254"/>
                                  <a:ext cx="317500" cy="0"/>
                                </a:xfrm>
                                <a:prstGeom prst="line">
                                  <a:avLst/>
                                </a:prstGeom>
                                <a:noFill/>
                                <a:ln w="50800" cmpd="dbl">
                                  <a:solidFill>
                                    <a:srgbClr val="4F6228"/>
                                  </a:solidFill>
                                  <a:round/>
                                  <a:tailEnd type="stealth" w="med" len="med"/>
                                </a:ln>
                                <a:effectLst/>
                              </wps:spPr>
                              <wps:bodyPr/>
                            </wps:wsp>
                            <wps:wsp>
                              <wps:cNvPr id="10" name="矩形 307"/>
                              <wps:cNvSpPr>
                                <a:spLocks noChangeArrowheads="1"/>
                              </wps:cNvSpPr>
                              <wps:spPr bwMode="auto">
                                <a:xfrm>
                                  <a:off x="3314700" y="35999"/>
                                  <a:ext cx="1266825" cy="495300"/>
                                </a:xfrm>
                                <a:prstGeom prst="rect">
                                  <a:avLst/>
                                </a:prstGeom>
                                <a:noFill/>
                                <a:ln w="19050" algn="ctr">
                                  <a:solidFill>
                                    <a:srgbClr val="000000"/>
                                  </a:solidFill>
                                  <a:miter lim="800000"/>
                                </a:ln>
                                <a:effectLst/>
                              </wps:spPr>
                              <wps:txbx>
                                <w:txbxContent>
                                  <w:p w14:paraId="2CBFC19E">
                                    <w:pPr>
                                      <w:spacing w:line="300" w:lineRule="exact"/>
                                      <w:jc w:val="center"/>
                                      <w:rPr>
                                        <w:szCs w:val="21"/>
                                      </w:rPr>
                                    </w:pPr>
                                    <w:r>
                                      <w:rPr>
                                        <w:rFonts w:hint="eastAsia"/>
                                        <w:bCs/>
                                        <w:szCs w:val="21"/>
                                      </w:rPr>
                                      <w:t>熔化炉</w:t>
                                    </w:r>
                                    <w:r>
                                      <w:rPr>
                                        <w:rFonts w:hint="eastAsia"/>
                                        <w:color w:val="000000"/>
                                        <w:szCs w:val="21"/>
                                      </w:rPr>
                                      <w:t>废气</w:t>
                                    </w:r>
                                    <w:r>
                                      <w:rPr>
                                        <w:color w:val="000000"/>
                                        <w:szCs w:val="21"/>
                                      </w:rPr>
                                      <w:t>排气筒排放</w:t>
                                    </w:r>
                                  </w:p>
                                </w:txbxContent>
                              </wps:txbx>
                              <wps:bodyPr rot="0" vert="horz" wrap="square" lIns="91440" tIns="45720" rIns="91440" bIns="45720" anchor="t" anchorCtr="0" upright="1">
                                <a:noAutofit/>
                              </wps:bodyPr>
                            </wps:wsp>
                            <wps:wsp>
                              <wps:cNvPr id="11" name="直线 308"/>
                              <wps:cNvCnPr>
                                <a:cxnSpLocks noChangeShapeType="1"/>
                              </wps:cNvCnPr>
                              <wps:spPr bwMode="auto">
                                <a:xfrm flipV="1">
                                  <a:off x="3797300" y="775774"/>
                                  <a:ext cx="367030" cy="0"/>
                                </a:xfrm>
                                <a:prstGeom prst="line">
                                  <a:avLst/>
                                </a:prstGeom>
                                <a:noFill/>
                                <a:ln w="50800" cmpd="dbl">
                                  <a:solidFill>
                                    <a:srgbClr val="4F6228"/>
                                  </a:solidFill>
                                  <a:round/>
                                </a:ln>
                                <a:effectLst/>
                              </wps:spPr>
                              <wps:bodyPr/>
                            </wps:wsp>
                            <wps:wsp>
                              <wps:cNvPr id="12" name="矩形 309"/>
                              <wps:cNvSpPr>
                                <a:spLocks noChangeArrowheads="1"/>
                              </wps:cNvSpPr>
                              <wps:spPr bwMode="auto">
                                <a:xfrm>
                                  <a:off x="4177030" y="634804"/>
                                  <a:ext cx="822960" cy="300990"/>
                                </a:xfrm>
                                <a:prstGeom prst="rect">
                                  <a:avLst/>
                                </a:prstGeom>
                                <a:noFill/>
                                <a:ln>
                                  <a:noFill/>
                                </a:ln>
                                <a:effectLst/>
                              </wps:spPr>
                              <wps:txbx>
                                <w:txbxContent>
                                  <w:p w14:paraId="6AD07F01">
                                    <w:pPr>
                                      <w:spacing w:line="300" w:lineRule="exact"/>
                                      <w:jc w:val="center"/>
                                      <w:rPr>
                                        <w:sz w:val="22"/>
                                        <w:szCs w:val="22"/>
                                      </w:rPr>
                                    </w:pPr>
                                    <w:r>
                                      <w:rPr>
                                        <w:rFonts w:hint="eastAsia"/>
                                        <w:sz w:val="22"/>
                                        <w:szCs w:val="22"/>
                                      </w:rPr>
                                      <w:t>密闭管道</w:t>
                                    </w:r>
                                  </w:p>
                                </w:txbxContent>
                              </wps:txbx>
                              <wps:bodyPr rot="0" vert="horz" wrap="square" lIns="91440" tIns="45720" rIns="91440" bIns="45720" anchor="t" anchorCtr="0" upright="1">
                                <a:noAutofit/>
                              </wps:bodyPr>
                            </wps:wsp>
                            <wps:wsp>
                              <wps:cNvPr id="14" name="矩形 310"/>
                              <wps:cNvSpPr>
                                <a:spLocks noChangeArrowheads="1"/>
                              </wps:cNvSpPr>
                              <wps:spPr bwMode="auto">
                                <a:xfrm>
                                  <a:off x="3103880" y="624644"/>
                                  <a:ext cx="642620" cy="300990"/>
                                </a:xfrm>
                                <a:prstGeom prst="rect">
                                  <a:avLst/>
                                </a:prstGeom>
                                <a:noFill/>
                                <a:ln>
                                  <a:noFill/>
                                </a:ln>
                                <a:effectLst/>
                              </wps:spPr>
                              <wps:txbx>
                                <w:txbxContent>
                                  <w:p w14:paraId="16D13AC1">
                                    <w:pPr>
                                      <w:spacing w:line="300" w:lineRule="exact"/>
                                      <w:jc w:val="center"/>
                                      <w:rPr>
                                        <w:sz w:val="22"/>
                                        <w:szCs w:val="22"/>
                                      </w:rPr>
                                    </w:pPr>
                                    <w:r>
                                      <w:rPr>
                                        <w:rFonts w:hint="eastAsia"/>
                                        <w:sz w:val="22"/>
                                        <w:szCs w:val="22"/>
                                      </w:rPr>
                                      <w:t>图例：</w:t>
                                    </w:r>
                                  </w:p>
                                </w:txbxContent>
                              </wps:txbx>
                              <wps:bodyPr rot="0" vert="horz" wrap="square" lIns="91440" tIns="45720" rIns="91440" bIns="45720" anchor="t" anchorCtr="0" upright="1">
                                <a:noAutofit/>
                              </wps:bodyPr>
                            </wps:wsp>
                          </wpc:wpc>
                        </a:graphicData>
                      </a:graphic>
                    </wp:inline>
                  </w:drawing>
                </mc:Choice>
                <mc:Fallback>
                  <w:pict>
                    <v:group id="画布 295" o:spid="_x0000_s1026" o:spt="203" style="height:73.65pt;width:419.6pt;" coordsize="5328920,935492" editas="canvas" o:gfxdata="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PAfPqPXAAAABQEAAA8AAAAAAAAAAQAgAAAA&#10;IgAAAGRycy9kb3ducmV2LnhtbFBLAQIUABQAAAAIAIdO4kC72ZKlfwQAADIVAAAOAAAAAAAAAAEA&#10;IAAAACYBAABkcnMvZTJvRG9jLnhtbFBLBQYAAAAABgAGAFkBAAAXCAAAAAA=&#10;">
                      <o:lock v:ext="edit" aspectratio="f"/>
                      <v:shape id="画布 295" o:spid="_x0000_s1026" style="position:absolute;left:0;top:0;height:935492;width:5328920;" filled="f" stroked="f" coordsize="21600,21600" o:gfxdata="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8B8+o9cAAAAFAQAADwAAAAAAAAABACAAAAAiAAAAZHJzL2Rvd25yZXYu&#10;eG1sUEsBAhQAFAAAAAgAh07iQGkbgUE2BAAArhQAAA4AAAAAAAAAAQAgAAAAJgEAAGRycy9lMm9E&#10;b2MueG1sUEsFBgAAAAAGAAYAWQEAAM4HAAAAAA==&#10;">
                        <v:fill on="f" focussize="0,0"/>
                        <v:stroke on="f"/>
                        <v:imagedata o:title=""/>
                        <o:lock v:ext="edit" aspectratio="f"/>
                      </v:shape>
                      <v:rect id="矩形 297" o:spid="_x0000_s1026" o:spt="1" style="position:absolute;left:219075;top:140774;height:429895;width:1120140;" filled="f" stroked="f" coordsize="21600,21600" o:gfxdata="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Hz6j1wAAAAUB&#10;AAAPAAAAAAAAAAEAIAAAACIAAABkcnMvZG93bnJldi54bWxQSwECFAAUAAAACACHTuJAc4O7HhwC&#10;AAAiBAAADgAAAAAAAAABACAAAAAmAQAAZHJzL2Uyb0RvYy54bWxQSwUGAAAAAAYABgBZAQAAtAUA&#10;AAAA&#10;">
                        <v:fill on="f" focussize="0,0"/>
                        <v:stroke on="f"/>
                        <v:imagedata o:title=""/>
                        <o:lock v:ext="edit" aspectratio="f"/>
                        <v:textbox>
                          <w:txbxContent>
                            <w:p w14:paraId="26022CCE">
                              <w:pPr>
                                <w:spacing w:line="300" w:lineRule="exact"/>
                                <w:rPr>
                                  <w:szCs w:val="21"/>
                                </w:rPr>
                              </w:pPr>
                              <w:r>
                                <w:rPr>
                                  <w:rFonts w:hint="eastAsia"/>
                                  <w:bCs/>
                                  <w:szCs w:val="21"/>
                                </w:rPr>
                                <w:t>熔化炉废气</w:t>
                              </w:r>
                            </w:p>
                          </w:txbxContent>
                        </v:textbox>
                      </v:rect>
                      <v:line id="直线 304" o:spid="_x0000_s1026" o:spt="20" style="position:absolute;left:1193165;top:288729;height:0;width:368300;" filled="f" stroked="t" coordsize="21600,21600" o:gfxdata="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YMpirXAAAABQEAAA8AAAAAAAAAAQAg&#10;AAAAIgAAAGRycy9kb3ducmV2LnhtbFBLAQIUABQAAAAIAIdO4kAzN0EJDwIAAPQDAAAOAAAAAAAA&#10;AAEAIAAAACYBAABkcnMvZTJvRG9jLnhtbFBLBQYAAAAABgAGAFkBAACnBQAAAAA=&#10;">
                        <v:fill on="f" focussize="0,0"/>
                        <v:stroke weight="4pt" color="#4F6228" linestyle="thinThin" joinstyle="round" endarrow="classic"/>
                        <v:imagedata o:title=""/>
                        <o:lock v:ext="edit" aspectratio="f"/>
                      </v:line>
                      <v:rect id="矩形 305" o:spid="_x0000_s1026" o:spt="1" style="position:absolute;left:1551940;top:131884;height:325120;width:1428750;" filled="f" stroked="t" coordsize="21600,21600" o:gfxdata="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wATLzXAAAABQEAAA8AAAAAAAAA&#10;AQAgAAAAIgAAAGRycy9kb3ducmV2LnhtbFBLAQIUABQAAAAIAIdO4kDjI8pMSwIAAHgEAAAOAAAA&#10;AAAAAAEAIAAAACYBAABkcnMvZTJvRG9jLnhtbFBLBQYAAAAABgAGAFkBAADjBQAAAAA=&#10;">
                        <v:fill on="f" focussize="0,0"/>
                        <v:stroke weight="1.5pt" color="#000000" miterlimit="8" joinstyle="miter"/>
                        <v:imagedata o:title=""/>
                        <o:lock v:ext="edit" aspectratio="f"/>
                        <v:textbox>
                          <w:txbxContent>
                            <w:p w14:paraId="39D16496">
                              <w:pPr>
                                <w:spacing w:line="300" w:lineRule="exact"/>
                                <w:jc w:val="center"/>
                                <w:rPr>
                                  <w:sz w:val="20"/>
                                  <w:szCs w:val="22"/>
                                </w:rPr>
                              </w:pPr>
                              <w:r>
                                <w:rPr>
                                  <w:rFonts w:hint="eastAsia"/>
                                </w:rPr>
                                <w:t>高温布袋除尘器</w:t>
                              </w:r>
                            </w:p>
                          </w:txbxContent>
                        </v:textbox>
                      </v:rect>
                      <v:line id="直线 306" o:spid="_x0000_s1026" o:spt="20" style="position:absolute;left:2980690;top:298254;height:0;width:317500;" filled="f" stroked="t" coordsize="21600,21600" o:gfxdata="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MpirXAAAABQEAAA8AAAAAAAAAAQAgAAAA&#10;IgAAAGRycy9kb3ducmV2LnhtbFBLAQIUABQAAAAIAIdO4kDM1oFXDAIAAPQDAAAOAAAAAAAAAAEA&#10;IAAAACYBAABkcnMvZTJvRG9jLnhtbFBLBQYAAAAABgAGAFkBAACkBQAAAAA=&#10;">
                        <v:fill on="f" focussize="0,0"/>
                        <v:stroke weight="4pt" color="#4F6228" linestyle="thinThin" joinstyle="round" endarrow="classic"/>
                        <v:imagedata o:title=""/>
                        <o:lock v:ext="edit" aspectratio="f"/>
                      </v:line>
                      <v:rect id="矩形 307" o:spid="_x0000_s1026" o:spt="1" style="position:absolute;left:3314700;top:35999;height:495300;width:1266825;" filled="f" stroked="t" coordsize="21600,21600" o:gfxdata="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ABMvNcAAAAFAQAADwAAAAAA&#10;AAABACAAAAAiAAAAZHJzL2Rvd25yZXYueG1sUEsBAhQAFAAAAAgAh07iQEThErtNAgAAeAQAAA4A&#10;AAAAAAAAAQAgAAAAJgEAAGRycy9lMm9Eb2MueG1sUEsFBgAAAAAGAAYAWQEAAOUFAAAAAA==&#10;">
                        <v:fill on="f" focussize="0,0"/>
                        <v:stroke weight="1.5pt" color="#000000" miterlimit="8" joinstyle="miter"/>
                        <v:imagedata o:title=""/>
                        <o:lock v:ext="edit" aspectratio="f"/>
                        <v:textbox>
                          <w:txbxContent>
                            <w:p w14:paraId="2CBFC19E">
                              <w:pPr>
                                <w:spacing w:line="300" w:lineRule="exact"/>
                                <w:jc w:val="center"/>
                                <w:rPr>
                                  <w:szCs w:val="21"/>
                                </w:rPr>
                              </w:pPr>
                              <w:r>
                                <w:rPr>
                                  <w:rFonts w:hint="eastAsia"/>
                                  <w:bCs/>
                                  <w:szCs w:val="21"/>
                                </w:rPr>
                                <w:t>熔化炉</w:t>
                              </w:r>
                              <w:r>
                                <w:rPr>
                                  <w:rFonts w:hint="eastAsia"/>
                                  <w:color w:val="000000"/>
                                  <w:szCs w:val="21"/>
                                </w:rPr>
                                <w:t>废气</w:t>
                              </w:r>
                              <w:r>
                                <w:rPr>
                                  <w:color w:val="000000"/>
                                  <w:szCs w:val="21"/>
                                </w:rPr>
                                <w:t>排气筒排放</w:t>
                              </w:r>
                            </w:p>
                          </w:txbxContent>
                        </v:textbox>
                      </v:rect>
                      <v:line id="直线 308" o:spid="_x0000_s1026" o:spt="20" style="position:absolute;left:3797300;top:775774;flip:y;height:0;width:367030;" filled="f" stroked="t" coordsize="21600,21600" o:gfxdata="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tvkO1AAAAAUBAAAPAAAAAAAAAAEAIAAAACIAAABkcnMvZG93bnJldi54bWxQ&#10;SwECFAAUAAAACACHTuJAayDqFPsBAADSAwAADgAAAAAAAAABACAAAAAjAQAAZHJzL2Uyb0RvYy54&#10;bWxQSwUGAAAAAAYABgBZAQAAkAUAAAAA&#10;">
                        <v:fill on="f" focussize="0,0"/>
                        <v:stroke weight="4pt" color="#4F6228" linestyle="thinThin" joinstyle="round"/>
                        <v:imagedata o:title=""/>
                        <o:lock v:ext="edit" aspectratio="f"/>
                      </v:line>
                      <v:rect id="矩形 309" o:spid="_x0000_s1026" o:spt="1" style="position:absolute;left:4177030;top:634804;height:300990;width:822960;" filled="f" stroked="f" coordsize="21600,21600" o:gfxdata="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wHz6j1wAA&#10;AAUBAAAPAAAAAAAAAAEAIAAAACIAAABkcnMvZG93bnJldi54bWxQSwECFAAUAAAACACHTuJAEx6v&#10;bx8CAAAjBAAADgAAAAAAAAABACAAAAAmAQAAZHJzL2Uyb0RvYy54bWxQSwUGAAAAAAYABgBZAQAA&#10;twUAAAAA&#10;">
                        <v:fill on="f" focussize="0,0"/>
                        <v:stroke on="f"/>
                        <v:imagedata o:title=""/>
                        <o:lock v:ext="edit" aspectratio="f"/>
                        <v:textbox>
                          <w:txbxContent>
                            <w:p w14:paraId="6AD07F01">
                              <w:pPr>
                                <w:spacing w:line="300" w:lineRule="exact"/>
                                <w:jc w:val="center"/>
                                <w:rPr>
                                  <w:sz w:val="22"/>
                                  <w:szCs w:val="22"/>
                                </w:rPr>
                              </w:pPr>
                              <w:r>
                                <w:rPr>
                                  <w:rFonts w:hint="eastAsia"/>
                                  <w:sz w:val="22"/>
                                  <w:szCs w:val="22"/>
                                </w:rPr>
                                <w:t>密闭管道</w:t>
                              </w:r>
                            </w:p>
                          </w:txbxContent>
                        </v:textbox>
                      </v:rect>
                      <v:rect id="矩形 310" o:spid="_x0000_s1026" o:spt="1" style="position:absolute;left:3103880;top:624644;height:300990;width:642620;" filled="f" stroked="f" coordsize="21600,21600" o:gfxdata="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B8+o9cAAAAF&#10;AQAADwAAAAAAAAABACAAAAAiAAAAZHJzL2Rvd25yZXYueG1sUEsBAhQAFAAAAAgAh07iQGMfUJ0d&#10;AgAAIwQAAA4AAAAAAAAAAQAgAAAAJgEAAGRycy9lMm9Eb2MueG1sUEsFBgAAAAAGAAYAWQEAALUF&#10;AAAAAA==&#10;">
                        <v:fill on="f" focussize="0,0"/>
                        <v:stroke on="f"/>
                        <v:imagedata o:title=""/>
                        <o:lock v:ext="edit" aspectratio="f"/>
                        <v:textbox>
                          <w:txbxContent>
                            <w:p w14:paraId="16D13AC1">
                              <w:pPr>
                                <w:spacing w:line="300" w:lineRule="exact"/>
                                <w:jc w:val="center"/>
                                <w:rPr>
                                  <w:sz w:val="22"/>
                                  <w:szCs w:val="22"/>
                                </w:rPr>
                              </w:pPr>
                              <w:r>
                                <w:rPr>
                                  <w:rFonts w:hint="eastAsia"/>
                                  <w:sz w:val="22"/>
                                  <w:szCs w:val="22"/>
                                </w:rPr>
                                <w:t>图例：</w:t>
                              </w:r>
                            </w:p>
                          </w:txbxContent>
                        </v:textbox>
                      </v:rect>
                      <w10:wrap type="none"/>
                      <w10:anchorlock/>
                    </v:group>
                  </w:pict>
                </mc:Fallback>
              </mc:AlternateContent>
            </w:r>
          </w:p>
          <w:p w14:paraId="01EFCFFB">
            <w:pPr>
              <w:adjustRightInd w:val="0"/>
              <w:snapToGrid w:val="0"/>
              <w:spacing w:line="360" w:lineRule="auto"/>
              <w:ind w:firstLine="405"/>
              <w:rPr>
                <w:snapToGrid w:val="0"/>
                <w:kern w:val="0"/>
                <w:sz w:val="24"/>
              </w:rPr>
            </w:pPr>
            <w:r>
              <w:rPr>
                <w:rFonts w:hint="eastAsia"/>
                <w:bCs/>
                <w:sz w:val="24"/>
              </w:rPr>
              <w:t>项目熔化炉废气</w:t>
            </w:r>
            <w:r>
              <w:rPr>
                <w:bCs/>
                <w:sz w:val="24"/>
              </w:rPr>
              <w:t>处理</w:t>
            </w:r>
            <w:r>
              <w:rPr>
                <w:rFonts w:hint="eastAsia"/>
                <w:bCs/>
                <w:sz w:val="24"/>
              </w:rPr>
              <w:t>设施除尘原理为袋</w:t>
            </w:r>
            <w:r>
              <w:rPr>
                <w:bCs/>
                <w:sz w:val="24"/>
              </w:rPr>
              <w:t>式</w:t>
            </w:r>
            <w:r>
              <w:rPr>
                <w:rFonts w:hint="eastAsia"/>
                <w:bCs/>
                <w:sz w:val="24"/>
              </w:rPr>
              <w:t>除尘</w:t>
            </w:r>
            <w:r>
              <w:rPr>
                <w:bCs/>
                <w:sz w:val="24"/>
              </w:rPr>
              <w:t>，</w:t>
            </w:r>
            <w:r>
              <w:rPr>
                <w:rFonts w:hint="eastAsia"/>
                <w:bCs/>
                <w:sz w:val="24"/>
              </w:rPr>
              <w:t>是一种干式高效除尘器，利用纤维编织物制作的袋式过滤捕集含尘气体，具有良好的耐腐蚀性、耐热性及较高的机械强度，目前国内广泛应用于矿山、水泥、冶金钢铁、粮食、机械和制药等行业。</w:t>
            </w:r>
            <w:r>
              <w:rPr>
                <w:bCs/>
                <w:spacing w:val="-10"/>
                <w:sz w:val="24"/>
              </w:rPr>
              <w:t>根据现有工程</w:t>
            </w:r>
            <w:r>
              <w:rPr>
                <w:rFonts w:hint="eastAsia"/>
                <w:bCs/>
                <w:sz w:val="24"/>
              </w:rPr>
              <w:t>验收</w:t>
            </w:r>
            <w:r>
              <w:rPr>
                <w:bCs/>
                <w:sz w:val="24"/>
              </w:rPr>
              <w:t>监测报告，</w:t>
            </w:r>
            <w:r>
              <w:rPr>
                <w:rFonts w:hint="eastAsia"/>
                <w:bCs/>
                <w:sz w:val="24"/>
              </w:rPr>
              <w:t>颗粒物</w:t>
            </w:r>
            <w:r>
              <w:rPr>
                <w:bCs/>
                <w:sz w:val="24"/>
              </w:rPr>
              <w:t>排放速率和浓度均满足</w:t>
            </w:r>
            <w:r>
              <w:rPr>
                <w:snapToGrid w:val="0"/>
                <w:kern w:val="0"/>
                <w:sz w:val="24"/>
              </w:rPr>
              <w:t>《大气污染物综合排放标准》（DB50/418-2016），处理措施可行，废气可实现达标排放。参照</w:t>
            </w:r>
            <w:r>
              <w:rPr>
                <w:rFonts w:hint="eastAsia"/>
                <w:snapToGrid w:val="0"/>
                <w:kern w:val="0"/>
                <w:sz w:val="24"/>
              </w:rPr>
              <w:t>《排污许可证申请与核发技术规范 金属铸造工业》，布袋除尘为燃气炉颗粒物防治可行技术。</w:t>
            </w:r>
          </w:p>
          <w:p w14:paraId="716A8142">
            <w:pPr>
              <w:adjustRightInd w:val="0"/>
              <w:snapToGrid w:val="0"/>
              <w:spacing w:line="360" w:lineRule="auto"/>
              <w:ind w:firstLine="405"/>
              <w:rPr>
                <w:b/>
                <w:sz w:val="24"/>
              </w:rPr>
            </w:pPr>
            <w:r>
              <w:rPr>
                <w:b/>
                <w:sz w:val="24"/>
              </w:rPr>
              <w:t>风量的可</w:t>
            </w:r>
            <w:r>
              <w:rPr>
                <w:rFonts w:hint="eastAsia"/>
                <w:b/>
                <w:sz w:val="24"/>
              </w:rPr>
              <w:t>性</w:t>
            </w:r>
            <w:r>
              <w:rPr>
                <w:b/>
                <w:sz w:val="24"/>
              </w:rPr>
              <w:t>性</w:t>
            </w:r>
            <w:r>
              <w:rPr>
                <w:rFonts w:hint="eastAsia"/>
                <w:b/>
                <w:sz w:val="24"/>
              </w:rPr>
              <w:t>：</w:t>
            </w:r>
          </w:p>
          <w:p w14:paraId="5FB019E6">
            <w:pPr>
              <w:adjustRightInd w:val="0"/>
              <w:snapToGrid w:val="0"/>
              <w:spacing w:line="360" w:lineRule="auto"/>
              <w:ind w:firstLine="480" w:firstLineChars="200"/>
              <w:rPr>
                <w:sz w:val="24"/>
              </w:rPr>
            </w:pPr>
            <w:r>
              <w:rPr>
                <w:rFonts w:hint="eastAsia"/>
                <w:sz w:val="24"/>
              </w:rPr>
              <w:t>根据《大气污染控制工程》中集气罩设计原则，本项目集气罩风量按照下式确定：</w:t>
            </w:r>
          </w:p>
          <w:p w14:paraId="39495918">
            <w:pPr>
              <w:adjustRightInd w:val="0"/>
              <w:snapToGrid w:val="0"/>
              <w:spacing w:line="460" w:lineRule="exact"/>
              <w:jc w:val="center"/>
              <w:rPr>
                <w:sz w:val="24"/>
              </w:rPr>
            </w:pPr>
            <w:r>
              <w:rPr>
                <w:position w:val="-12"/>
                <w:sz w:val="24"/>
              </w:rPr>
              <w:object>
                <v:shape id="_x0000_i1030" o:spt="75" type="#_x0000_t75" style="height:21.8pt;width:144pt;" o:ole="t" filled="f" o:preferrelative="t" stroked="f" coordsize="21600,21600">
                  <v:path/>
                  <v:fill on="f" focussize="0,0"/>
                  <v:stroke on="f" joinstyle="miter"/>
                  <v:imagedata r:id="rId17" o:title=""/>
                  <o:lock v:ext="edit" aspectratio="t"/>
                  <w10:wrap type="none"/>
                  <w10:anchorlock/>
                </v:shape>
                <o:OLEObject Type="Embed" ProgID="Equation.KSEE3" ShapeID="_x0000_i1030" DrawAspect="Content" ObjectID="_1468075730" r:id="rId16">
                  <o:LockedField>false</o:LockedField>
                </o:OLEObject>
              </w:object>
            </w:r>
          </w:p>
          <w:p w14:paraId="5060ED51">
            <w:pPr>
              <w:pStyle w:val="54"/>
              <w:spacing w:line="360" w:lineRule="auto"/>
              <w:ind w:firstLine="480" w:firstLineChars="200"/>
              <w:rPr>
                <w:rFonts w:ascii="Times New Roman" w:cs="Times New Roman"/>
                <w:color w:val="auto"/>
              </w:rPr>
            </w:pPr>
            <w:r>
              <w:rPr>
                <w:rFonts w:hint="eastAsia" w:ascii="Times New Roman" w:cs="Times New Roman"/>
                <w:color w:val="auto"/>
              </w:rPr>
              <w:t>式中：</w:t>
            </w:r>
            <w:r>
              <w:rPr>
                <w:rFonts w:ascii="Times New Roman" w:cs="Times New Roman"/>
                <w:color w:val="auto"/>
              </w:rPr>
              <w:t>L——</w:t>
            </w:r>
            <w:r>
              <w:rPr>
                <w:rFonts w:hint="eastAsia" w:ascii="Times New Roman" w:cs="Times New Roman"/>
                <w:color w:val="auto"/>
              </w:rPr>
              <w:t>集气罩风量，</w:t>
            </w:r>
            <w:r>
              <w:rPr>
                <w:rFonts w:ascii="Times New Roman" w:cs="Times New Roman"/>
                <w:color w:val="auto"/>
              </w:rPr>
              <w:t>m</w:t>
            </w:r>
            <w:r>
              <w:rPr>
                <w:rFonts w:ascii="Times New Roman" w:cs="Times New Roman"/>
                <w:color w:val="auto"/>
                <w:vertAlign w:val="superscript"/>
              </w:rPr>
              <w:t>3</w:t>
            </w:r>
            <w:r>
              <w:rPr>
                <w:rFonts w:ascii="Times New Roman" w:cs="Times New Roman"/>
                <w:color w:val="auto"/>
              </w:rPr>
              <w:t>/s</w:t>
            </w:r>
            <w:r>
              <w:rPr>
                <w:rFonts w:hint="eastAsia" w:ascii="Times New Roman" w:cs="Times New Roman"/>
                <w:color w:val="auto"/>
              </w:rPr>
              <w:t>；</w:t>
            </w:r>
          </w:p>
          <w:p w14:paraId="64751CE9">
            <w:pPr>
              <w:adjustRightInd w:val="0"/>
              <w:snapToGrid w:val="0"/>
              <w:spacing w:line="360" w:lineRule="auto"/>
              <w:ind w:firstLine="1200" w:firstLineChars="500"/>
              <w:rPr>
                <w:sz w:val="24"/>
              </w:rPr>
            </w:pPr>
            <w:r>
              <w:rPr>
                <w:sz w:val="24"/>
              </w:rPr>
              <w:t>V</w:t>
            </w:r>
            <w:r>
              <w:rPr>
                <w:sz w:val="24"/>
                <w:vertAlign w:val="subscript"/>
              </w:rPr>
              <w:t>0</w:t>
            </w:r>
            <w:r>
              <w:rPr>
                <w:sz w:val="24"/>
              </w:rPr>
              <w:t xml:space="preserve"> ——</w:t>
            </w:r>
            <w:r>
              <w:rPr>
                <w:rFonts w:hint="eastAsia"/>
                <w:sz w:val="24"/>
              </w:rPr>
              <w:t>吸气口的平均风速，</w:t>
            </w:r>
            <w:r>
              <w:rPr>
                <w:sz w:val="24"/>
              </w:rPr>
              <w:t>m/s</w:t>
            </w:r>
            <w:r>
              <w:rPr>
                <w:rFonts w:hint="eastAsia"/>
                <w:sz w:val="24"/>
              </w:rPr>
              <w:t>；</w:t>
            </w:r>
          </w:p>
          <w:p w14:paraId="6A58023F">
            <w:pPr>
              <w:pStyle w:val="54"/>
              <w:spacing w:line="360" w:lineRule="auto"/>
              <w:ind w:firstLine="1200" w:firstLineChars="500"/>
              <w:rPr>
                <w:rFonts w:ascii="Times New Roman" w:cs="Times New Roman"/>
                <w:color w:val="auto"/>
              </w:rPr>
            </w:pPr>
            <w:r>
              <w:rPr>
                <w:rFonts w:ascii="Times New Roman" w:cs="Times New Roman"/>
                <w:color w:val="auto"/>
              </w:rPr>
              <w:t>V</w:t>
            </w:r>
            <w:r>
              <w:rPr>
                <w:rFonts w:ascii="Times New Roman" w:cs="Times New Roman"/>
                <w:color w:val="auto"/>
                <w:vertAlign w:val="subscript"/>
              </w:rPr>
              <w:t>x</w:t>
            </w:r>
            <w:r>
              <w:rPr>
                <w:rFonts w:ascii="Times New Roman" w:cs="Times New Roman"/>
                <w:color w:val="auto"/>
              </w:rPr>
              <w:t xml:space="preserve"> ——</w:t>
            </w:r>
            <w:r>
              <w:rPr>
                <w:rFonts w:hint="eastAsia" w:ascii="Times New Roman" w:cs="Times New Roman"/>
                <w:color w:val="auto"/>
              </w:rPr>
              <w:t>控制点的吸入风速，</w:t>
            </w:r>
            <w:r>
              <w:rPr>
                <w:rFonts w:ascii="Times New Roman" w:cs="Times New Roman"/>
                <w:color w:val="auto"/>
              </w:rPr>
              <w:t>m/s</w:t>
            </w:r>
            <w:r>
              <w:rPr>
                <w:rFonts w:hint="eastAsia" w:ascii="Times New Roman" w:cs="Times New Roman"/>
                <w:color w:val="auto"/>
              </w:rPr>
              <w:t>；</w:t>
            </w:r>
          </w:p>
          <w:p w14:paraId="0F5ECB46">
            <w:pPr>
              <w:pStyle w:val="54"/>
              <w:spacing w:line="360" w:lineRule="auto"/>
              <w:ind w:firstLine="1200" w:firstLineChars="500"/>
              <w:rPr>
                <w:rFonts w:ascii="Times New Roman" w:cs="Times New Roman"/>
                <w:color w:val="auto"/>
              </w:rPr>
            </w:pPr>
            <w:r>
              <w:rPr>
                <w:rFonts w:ascii="Times New Roman" w:cs="Times New Roman"/>
                <w:color w:val="auto"/>
              </w:rPr>
              <w:t>F——</w:t>
            </w:r>
            <w:r>
              <w:rPr>
                <w:rFonts w:hint="eastAsia" w:ascii="Times New Roman" w:cs="Times New Roman"/>
                <w:color w:val="auto"/>
              </w:rPr>
              <w:t>集气罩面积，</w:t>
            </w:r>
            <w:r>
              <w:rPr>
                <w:rFonts w:ascii="Times New Roman" w:cs="Times New Roman"/>
                <w:color w:val="auto"/>
              </w:rPr>
              <w:t>m</w:t>
            </w:r>
            <w:r>
              <w:rPr>
                <w:rFonts w:ascii="Times New Roman" w:cs="Times New Roman"/>
                <w:color w:val="auto"/>
                <w:vertAlign w:val="superscript"/>
              </w:rPr>
              <w:t>2</w:t>
            </w:r>
            <w:r>
              <w:rPr>
                <w:rFonts w:hint="eastAsia" w:ascii="Times New Roman" w:cs="Times New Roman"/>
                <w:color w:val="auto"/>
              </w:rPr>
              <w:t>；</w:t>
            </w:r>
          </w:p>
          <w:p w14:paraId="4489F476">
            <w:pPr>
              <w:pStyle w:val="54"/>
              <w:spacing w:line="360" w:lineRule="auto"/>
              <w:ind w:firstLine="1200" w:firstLineChars="500"/>
              <w:rPr>
                <w:rFonts w:ascii="Times New Roman" w:cs="Times New Roman"/>
                <w:color w:val="auto"/>
              </w:rPr>
            </w:pPr>
            <w:r>
              <w:rPr>
                <w:rFonts w:ascii="Times New Roman" w:cs="Times New Roman"/>
                <w:color w:val="auto"/>
              </w:rPr>
              <w:t>x——</w:t>
            </w:r>
            <w:r>
              <w:rPr>
                <w:rFonts w:hint="eastAsia" w:ascii="Times New Roman" w:cs="Times New Roman"/>
                <w:color w:val="auto"/>
              </w:rPr>
              <w:t>控制点到吸气口的距离，</w:t>
            </w:r>
            <w:r>
              <w:rPr>
                <w:rFonts w:ascii="Times New Roman" w:cs="Times New Roman"/>
                <w:color w:val="auto"/>
              </w:rPr>
              <w:t>m</w:t>
            </w:r>
            <w:r>
              <w:rPr>
                <w:rFonts w:hint="eastAsia" w:ascii="Times New Roman" w:cs="Times New Roman"/>
                <w:color w:val="auto"/>
              </w:rPr>
              <w:t>。</w:t>
            </w:r>
          </w:p>
          <w:p w14:paraId="08B10A43">
            <w:pPr>
              <w:adjustRightInd w:val="0"/>
              <w:snapToGrid w:val="0"/>
              <w:spacing w:line="360" w:lineRule="auto"/>
              <w:ind w:firstLine="405"/>
              <w:rPr>
                <w:sz w:val="24"/>
              </w:rPr>
            </w:pPr>
            <w:r>
              <w:rPr>
                <w:rFonts w:hint="eastAsia"/>
                <w:sz w:val="24"/>
              </w:rPr>
              <w:t>项目</w:t>
            </w:r>
            <w:r>
              <w:rPr>
                <w:rFonts w:hint="eastAsia"/>
                <w:bCs/>
                <w:sz w:val="24"/>
              </w:rPr>
              <w:t>高温布袋除尘器</w:t>
            </w:r>
            <w:r>
              <w:rPr>
                <w:rFonts w:hint="eastAsia"/>
                <w:sz w:val="24"/>
              </w:rPr>
              <w:t>设计风量</w:t>
            </w:r>
            <w:r>
              <w:rPr>
                <w:sz w:val="24"/>
              </w:rPr>
              <w:t>8000</w:t>
            </w:r>
            <w:r>
              <w:rPr>
                <w:rFonts w:hint="eastAsia"/>
                <w:sz w:val="24"/>
              </w:rPr>
              <w:t>m</w:t>
            </w:r>
            <w:r>
              <w:rPr>
                <w:rFonts w:hint="eastAsia"/>
                <w:sz w:val="24"/>
                <w:vertAlign w:val="superscript"/>
              </w:rPr>
              <w:t>3</w:t>
            </w:r>
            <w:r>
              <w:rPr>
                <w:rFonts w:hint="eastAsia"/>
                <w:sz w:val="24"/>
              </w:rPr>
              <w:t>/h，各熔化炉废气经集气罩与风道相连。熔化能力为1</w:t>
            </w:r>
            <w:r>
              <w:rPr>
                <w:sz w:val="24"/>
              </w:rPr>
              <w:t>.5t/h的熔化炉铝锭进料口集气罩</w:t>
            </w:r>
            <w:r>
              <w:rPr>
                <w:rFonts w:hint="eastAsia"/>
                <w:sz w:val="24"/>
              </w:rPr>
              <w:t>尺寸为1</w:t>
            </w:r>
            <w:r>
              <w:rPr>
                <w:sz w:val="24"/>
              </w:rPr>
              <w:t>.2m</w:t>
            </w:r>
            <w:r>
              <w:rPr>
                <w:rFonts w:hint="eastAsia"/>
                <w:sz w:val="24"/>
              </w:rPr>
              <w:t>×</w:t>
            </w:r>
            <w:r>
              <w:rPr>
                <w:sz w:val="24"/>
              </w:rPr>
              <w:t>1.2m</w:t>
            </w:r>
            <w:r>
              <w:rPr>
                <w:rFonts w:hint="eastAsia"/>
                <w:sz w:val="24"/>
              </w:rPr>
              <w:t>，熔化能力为</w:t>
            </w:r>
            <w:r>
              <w:rPr>
                <w:sz w:val="24"/>
              </w:rPr>
              <w:t>0.75t/h的熔化炉铝锭进料口集气罩</w:t>
            </w:r>
            <w:r>
              <w:rPr>
                <w:rFonts w:hint="eastAsia"/>
                <w:sz w:val="24"/>
              </w:rPr>
              <w:t>尺寸为</w:t>
            </w:r>
            <w:r>
              <w:rPr>
                <w:sz w:val="24"/>
              </w:rPr>
              <w:t>0.8m</w:t>
            </w:r>
            <w:r>
              <w:rPr>
                <w:rFonts w:hint="eastAsia"/>
                <w:sz w:val="24"/>
              </w:rPr>
              <w:t>×</w:t>
            </w:r>
            <w:r>
              <w:rPr>
                <w:sz w:val="24"/>
              </w:rPr>
              <w:t>0.8m</w:t>
            </w:r>
            <w:r>
              <w:rPr>
                <w:rFonts w:hint="eastAsia"/>
                <w:sz w:val="24"/>
              </w:rPr>
              <w:t>，打渣除气剂进料口集气罩尺寸为</w:t>
            </w:r>
            <w:r>
              <w:rPr>
                <w:sz w:val="24"/>
              </w:rPr>
              <w:t>0.4m</w:t>
            </w:r>
            <w:r>
              <w:rPr>
                <w:rFonts w:hint="eastAsia"/>
                <w:sz w:val="24"/>
              </w:rPr>
              <w:t>×</w:t>
            </w:r>
            <w:r>
              <w:rPr>
                <w:sz w:val="24"/>
              </w:rPr>
              <w:t>0.4m</w:t>
            </w:r>
            <w:r>
              <w:rPr>
                <w:rFonts w:hint="eastAsia"/>
                <w:sz w:val="24"/>
              </w:rPr>
              <w:t>，则共计集气面积为</w:t>
            </w:r>
            <w:r>
              <w:rPr>
                <w:sz w:val="24"/>
              </w:rPr>
              <w:t>2.4</w:t>
            </w:r>
            <w:r>
              <w:rPr>
                <w:rFonts w:hint="eastAsia"/>
                <w:sz w:val="24"/>
              </w:rPr>
              <w:t>m</w:t>
            </w:r>
            <w:r>
              <w:rPr>
                <w:rFonts w:hint="eastAsia"/>
                <w:sz w:val="24"/>
                <w:vertAlign w:val="superscript"/>
              </w:rPr>
              <w:t>2</w:t>
            </w:r>
            <w:r>
              <w:rPr>
                <w:rFonts w:hint="eastAsia"/>
                <w:sz w:val="24"/>
              </w:rPr>
              <w:t>。根据《大气污染控制工程》中对控制点吸入风速的要求，项目污染物放散情况按“以较低的初速度放散到尚属平静的空气中”考虑，最小控制风速为0.5~1.0m/s，则最小风量为</w:t>
            </w:r>
            <w:r>
              <w:rPr>
                <w:sz w:val="24"/>
              </w:rPr>
              <w:t>4320</w:t>
            </w:r>
            <w:r>
              <w:rPr>
                <w:rFonts w:hint="eastAsia"/>
                <w:sz w:val="24"/>
              </w:rPr>
              <w:t>~</w:t>
            </w:r>
            <w:r>
              <w:rPr>
                <w:sz w:val="24"/>
              </w:rPr>
              <w:t>8640</w:t>
            </w:r>
            <w:r>
              <w:rPr>
                <w:rFonts w:hint="eastAsia"/>
                <w:sz w:val="24"/>
              </w:rPr>
              <w:t>m</w:t>
            </w:r>
            <w:r>
              <w:rPr>
                <w:rFonts w:hint="eastAsia"/>
                <w:sz w:val="24"/>
                <w:vertAlign w:val="superscript"/>
              </w:rPr>
              <w:t>3</w:t>
            </w:r>
            <w:r>
              <w:rPr>
                <w:rFonts w:hint="eastAsia"/>
                <w:sz w:val="24"/>
              </w:rPr>
              <w:t>/h，本项目风机设计风量为</w:t>
            </w:r>
            <w:r>
              <w:rPr>
                <w:sz w:val="24"/>
              </w:rPr>
              <w:t>8000</w:t>
            </w:r>
            <w:r>
              <w:rPr>
                <w:rFonts w:hint="eastAsia"/>
                <w:sz w:val="24"/>
              </w:rPr>
              <w:t>m</w:t>
            </w:r>
            <w:r>
              <w:rPr>
                <w:rFonts w:hint="eastAsia"/>
                <w:sz w:val="24"/>
                <w:vertAlign w:val="superscript"/>
              </w:rPr>
              <w:t>3</w:t>
            </w:r>
            <w:r>
              <w:rPr>
                <w:rFonts w:hint="eastAsia"/>
                <w:sz w:val="24"/>
              </w:rPr>
              <w:t>/h，因此，本次风机风量满足要求。</w:t>
            </w:r>
          </w:p>
          <w:p w14:paraId="0EC2069B">
            <w:pPr>
              <w:adjustRightInd w:val="0"/>
              <w:snapToGrid w:val="0"/>
              <w:spacing w:line="360" w:lineRule="auto"/>
              <w:ind w:firstLine="405"/>
              <w:rPr>
                <w:bCs/>
                <w:spacing w:val="-10"/>
                <w:sz w:val="24"/>
              </w:rPr>
            </w:pPr>
            <w:r>
              <w:rPr>
                <w:b/>
                <w:sz w:val="24"/>
              </w:rPr>
              <w:t>排气筒高度可行性分析：</w:t>
            </w:r>
            <w:r>
              <w:rPr>
                <w:sz w:val="24"/>
              </w:rPr>
              <w:t>根据</w:t>
            </w:r>
            <w:r>
              <w:rPr>
                <w:rFonts w:hint="eastAsia"/>
                <w:bCs/>
                <w:sz w:val="24"/>
              </w:rPr>
              <w:t>《大气污染物综合排放标准》（DB50/418-2016）</w:t>
            </w:r>
            <w:r>
              <w:rPr>
                <w:snapToGrid w:val="0"/>
                <w:kern w:val="0"/>
                <w:sz w:val="24"/>
              </w:rPr>
              <w:t>，除移动式除尘设备外，其他车间或生产设施排气筒高度不低于15m。本项目</w:t>
            </w:r>
            <w:r>
              <w:rPr>
                <w:rFonts w:hint="eastAsia"/>
                <w:bCs/>
                <w:sz w:val="24"/>
              </w:rPr>
              <w:t>高温布袋除尘器</w:t>
            </w:r>
            <w:r>
              <w:rPr>
                <w:snapToGrid w:val="0"/>
                <w:kern w:val="0"/>
                <w:sz w:val="24"/>
              </w:rPr>
              <w:t>排气筒高度为20m，满足要求。</w:t>
            </w:r>
          </w:p>
          <w:p w14:paraId="50784C95">
            <w:pPr>
              <w:adjustRightInd w:val="0"/>
              <w:snapToGrid w:val="0"/>
              <w:spacing w:line="360" w:lineRule="auto"/>
              <w:ind w:firstLine="660" w:firstLineChars="300"/>
              <w:rPr>
                <w:rFonts w:ascii="宋体" w:hAnsi="宋体" w:cs="宋体"/>
                <w:bCs/>
                <w:spacing w:val="-10"/>
                <w:sz w:val="24"/>
              </w:rPr>
            </w:pPr>
            <w:r>
              <w:rPr>
                <w:rFonts w:hint="eastAsia" w:ascii="宋体" w:hAnsi="宋体" w:cs="宋体"/>
                <w:bCs/>
                <w:spacing w:val="-10"/>
                <w:sz w:val="24"/>
              </w:rPr>
              <w:t>②压铸工序脱模废气</w:t>
            </w:r>
          </w:p>
          <w:p w14:paraId="2AA1974F">
            <w:pPr>
              <w:adjustRightInd w:val="0"/>
              <w:snapToGrid w:val="0"/>
              <w:spacing w:line="360" w:lineRule="auto"/>
              <w:ind w:firstLine="660" w:firstLineChars="300"/>
              <w:rPr>
                <w:rFonts w:ascii="宋体" w:hAnsi="宋体" w:cs="宋体"/>
                <w:bCs/>
                <w:spacing w:val="-10"/>
                <w:sz w:val="24"/>
              </w:rPr>
            </w:pPr>
            <w:r>
              <w:rPr>
                <w:rFonts w:hint="eastAsia" w:ascii="宋体" w:hAnsi="宋体" w:cs="宋体"/>
                <w:bCs/>
                <w:spacing w:val="-10"/>
                <w:sz w:val="24"/>
              </w:rPr>
              <w:t>项目压铸过程使用</w:t>
            </w:r>
            <w:r>
              <w:rPr>
                <w:sz w:val="24"/>
              </w:rPr>
              <w:t>颗粒柱塞油</w:t>
            </w:r>
            <w:r>
              <w:rPr>
                <w:rFonts w:hint="eastAsia"/>
                <w:sz w:val="24"/>
              </w:rPr>
              <w:t>及脱模剂在与高温铝液接触后将产生非甲烷总烃。项目拟在压铸机机头上方建设边长</w:t>
            </w:r>
            <w:r>
              <w:rPr>
                <w:sz w:val="24"/>
              </w:rPr>
              <w:t>0.8</w:t>
            </w:r>
            <w:r>
              <w:rPr>
                <w:rFonts w:hint="eastAsia"/>
                <w:sz w:val="24"/>
              </w:rPr>
              <w:t>m×</w:t>
            </w:r>
            <w:r>
              <w:rPr>
                <w:sz w:val="24"/>
              </w:rPr>
              <w:t>0.8</w:t>
            </w:r>
            <w:r>
              <w:rPr>
                <w:rFonts w:hint="eastAsia"/>
                <w:sz w:val="24"/>
              </w:rPr>
              <w:t>m方形集气罩，同时配套建设1套活性炭吸附装置进行处理，风量</w:t>
            </w:r>
            <w:r>
              <w:rPr>
                <w:sz w:val="24"/>
              </w:rPr>
              <w:t>15000</w:t>
            </w:r>
            <w:r>
              <w:rPr>
                <w:rFonts w:hint="eastAsia"/>
                <w:sz w:val="24"/>
              </w:rPr>
              <w:t>m</w:t>
            </w:r>
            <w:r>
              <w:rPr>
                <w:sz w:val="24"/>
                <w:vertAlign w:val="superscript"/>
              </w:rPr>
              <w:t>3</w:t>
            </w:r>
            <w:r>
              <w:rPr>
                <w:sz w:val="24"/>
              </w:rPr>
              <w:t>/</w:t>
            </w:r>
            <w:r>
              <w:rPr>
                <w:rFonts w:hint="eastAsia"/>
                <w:sz w:val="24"/>
              </w:rPr>
              <w:t>h，集气罩收集效率</w:t>
            </w:r>
            <w:r>
              <w:rPr>
                <w:sz w:val="24"/>
              </w:rPr>
              <w:t>80</w:t>
            </w:r>
            <w:r>
              <w:rPr>
                <w:rFonts w:hint="eastAsia"/>
                <w:sz w:val="24"/>
              </w:rPr>
              <w:t>%，处理效率</w:t>
            </w:r>
            <w:r>
              <w:rPr>
                <w:sz w:val="24"/>
              </w:rPr>
              <w:t>50</w:t>
            </w:r>
            <w:r>
              <w:rPr>
                <w:rFonts w:hint="eastAsia"/>
                <w:sz w:val="24"/>
              </w:rPr>
              <w:t>%，废气经“干燥+UV光解+活性炭吸附”装置处理后经</w:t>
            </w:r>
            <w:r>
              <w:rPr>
                <w:sz w:val="24"/>
                <w:szCs w:val="21"/>
              </w:rPr>
              <w:t>20m</w:t>
            </w:r>
            <w:r>
              <w:rPr>
                <w:bCs/>
                <w:sz w:val="24"/>
              </w:rPr>
              <w:t>高3</w:t>
            </w:r>
            <w:r>
              <w:rPr>
                <w:rFonts w:hint="eastAsia"/>
                <w:bCs/>
                <w:sz w:val="24"/>
              </w:rPr>
              <w:t>#</w:t>
            </w:r>
            <w:r>
              <w:rPr>
                <w:bCs/>
                <w:sz w:val="24"/>
              </w:rPr>
              <w:t>排气筒排放</w:t>
            </w:r>
            <w:r>
              <w:rPr>
                <w:rFonts w:hint="eastAsia"/>
                <w:bCs/>
                <w:sz w:val="24"/>
              </w:rPr>
              <w:t>。</w:t>
            </w:r>
          </w:p>
          <w:p w14:paraId="1BDA2737">
            <w:pPr>
              <w:adjustRightInd w:val="0"/>
              <w:snapToGrid w:val="0"/>
              <w:spacing w:line="360" w:lineRule="auto"/>
              <w:jc w:val="center"/>
              <w:rPr>
                <w:bCs/>
                <w:spacing w:val="-10"/>
                <w:sz w:val="24"/>
              </w:rPr>
            </w:pPr>
            <w:r>
              <w:rPr>
                <w:bCs/>
                <w:spacing w:val="-10"/>
                <w:sz w:val="24"/>
              </w:rPr>
              <mc:AlternateContent>
                <mc:Choice Requires="wpc">
                  <w:drawing>
                    <wp:inline distT="0" distB="0" distL="0" distR="0">
                      <wp:extent cx="5029200" cy="1116330"/>
                      <wp:effectExtent l="0" t="0" r="0" b="7620"/>
                      <wp:docPr id="533" name="画布 295"/>
                      <wp:cNvGraphicFramePr/>
                      <a:graphic xmlns:a="http://schemas.openxmlformats.org/drawingml/2006/main">
                        <a:graphicData uri="http://schemas.microsoft.com/office/word/2010/wordprocessingCanvas">
                          <wpc:wpc>
                            <wpc:bg>
                              <a:noFill/>
                            </wpc:bg>
                            <wpc:whole>
                              <a:ln>
                                <a:noFill/>
                              </a:ln>
                            </wpc:whole>
                            <wps:wsp>
                              <wps:cNvPr id="58" name="矩形 297"/>
                              <wps:cNvSpPr>
                                <a:spLocks noChangeArrowheads="1"/>
                              </wps:cNvSpPr>
                              <wps:spPr bwMode="auto">
                                <a:xfrm>
                                  <a:off x="36468" y="137795"/>
                                  <a:ext cx="890905" cy="697230"/>
                                </a:xfrm>
                                <a:prstGeom prst="rect">
                                  <a:avLst/>
                                </a:prstGeom>
                                <a:noFill/>
                                <a:ln>
                                  <a:noFill/>
                                </a:ln>
                                <a:effectLst/>
                              </wps:spPr>
                              <wps:txbx>
                                <w:txbxContent>
                                  <w:p w14:paraId="0E297122">
                                    <w:pPr>
                                      <w:spacing w:line="300" w:lineRule="exact"/>
                                      <w:jc w:val="center"/>
                                      <w:rPr>
                                        <w:szCs w:val="21"/>
                                      </w:rPr>
                                    </w:pPr>
                                    <w:r>
                                      <w:rPr>
                                        <w:rFonts w:hint="eastAsia"/>
                                        <w:szCs w:val="21"/>
                                      </w:rPr>
                                      <w:t>压铸工序脱模</w:t>
                                    </w:r>
                                    <w:r>
                                      <w:rPr>
                                        <w:szCs w:val="21"/>
                                      </w:rPr>
                                      <w:t>废气</w:t>
                                    </w:r>
                                  </w:p>
                                </w:txbxContent>
                              </wps:txbx>
                              <wps:bodyPr rot="0" vert="horz" wrap="square" lIns="91440" tIns="45720" rIns="91440" bIns="45720" anchor="t" anchorCtr="0" upright="1">
                                <a:noAutofit/>
                              </wps:bodyPr>
                            </wps:wsp>
                            <wps:wsp>
                              <wps:cNvPr id="59" name="矩形 302"/>
                              <wps:cNvSpPr>
                                <a:spLocks noChangeArrowheads="1"/>
                              </wps:cNvSpPr>
                              <wps:spPr bwMode="auto">
                                <a:xfrm>
                                  <a:off x="1229194" y="227330"/>
                                  <a:ext cx="646698" cy="317500"/>
                                </a:xfrm>
                                <a:prstGeom prst="rect">
                                  <a:avLst/>
                                </a:prstGeom>
                                <a:noFill/>
                                <a:ln w="19050" algn="ctr">
                                  <a:solidFill>
                                    <a:srgbClr val="0D0D0D"/>
                                  </a:solidFill>
                                  <a:miter lim="800000"/>
                                </a:ln>
                                <a:effectLst/>
                              </wps:spPr>
                              <wps:txbx>
                                <w:txbxContent>
                                  <w:p w14:paraId="7840CE87">
                                    <w:pPr>
                                      <w:spacing w:line="300" w:lineRule="exact"/>
                                      <w:jc w:val="center"/>
                                      <w:rPr>
                                        <w:szCs w:val="22"/>
                                      </w:rPr>
                                    </w:pPr>
                                    <w:r>
                                      <w:rPr>
                                        <w:rFonts w:hint="eastAsia"/>
                                        <w:szCs w:val="22"/>
                                      </w:rPr>
                                      <w:t>集气罩</w:t>
                                    </w:r>
                                  </w:p>
                                </w:txbxContent>
                              </wps:txbx>
                              <wps:bodyPr rot="0" vert="horz" wrap="square" lIns="91440" tIns="45720" rIns="91440" bIns="45720" anchor="t" anchorCtr="0" upright="1">
                                <a:noAutofit/>
                              </wps:bodyPr>
                            </wps:wsp>
                            <wps:wsp>
                              <wps:cNvPr id="60" name="直线 304"/>
                              <wps:cNvCnPr>
                                <a:cxnSpLocks noChangeShapeType="1"/>
                              </wps:cNvCnPr>
                              <wps:spPr bwMode="auto">
                                <a:xfrm>
                                  <a:off x="1876063" y="382270"/>
                                  <a:ext cx="368300" cy="635"/>
                                </a:xfrm>
                                <a:prstGeom prst="line">
                                  <a:avLst/>
                                </a:prstGeom>
                                <a:noFill/>
                                <a:ln w="50800" cmpd="dbl">
                                  <a:solidFill>
                                    <a:srgbClr val="0D0D0D"/>
                                  </a:solidFill>
                                  <a:round/>
                                  <a:tailEnd type="stealth" w="med" len="med"/>
                                </a:ln>
                                <a:effectLst/>
                              </wps:spPr>
                              <wps:bodyPr/>
                            </wps:wsp>
                            <wps:wsp>
                              <wps:cNvPr id="61" name="矩形 305"/>
                              <wps:cNvSpPr>
                                <a:spLocks noChangeArrowheads="1"/>
                              </wps:cNvSpPr>
                              <wps:spPr bwMode="auto">
                                <a:xfrm>
                                  <a:off x="2243952" y="118534"/>
                                  <a:ext cx="1337393" cy="524086"/>
                                </a:xfrm>
                                <a:prstGeom prst="rect">
                                  <a:avLst/>
                                </a:prstGeom>
                                <a:noFill/>
                                <a:ln w="19050" algn="ctr">
                                  <a:solidFill>
                                    <a:srgbClr val="0D0D0D"/>
                                  </a:solidFill>
                                  <a:miter lim="800000"/>
                                </a:ln>
                                <a:effectLst/>
                              </wps:spPr>
                              <wps:txbx>
                                <w:txbxContent>
                                  <w:p w14:paraId="136593F4">
                                    <w:pPr>
                                      <w:spacing w:line="300" w:lineRule="exact"/>
                                      <w:jc w:val="center"/>
                                      <w:rPr>
                                        <w:szCs w:val="21"/>
                                      </w:rPr>
                                    </w:pPr>
                                    <w:r>
                                      <w:rPr>
                                        <w:rFonts w:hint="eastAsia"/>
                                        <w:bCs/>
                                        <w:szCs w:val="21"/>
                                      </w:rPr>
                                      <w:t>干燥+UV光解+活性炭吸附</w:t>
                                    </w:r>
                                  </w:p>
                                </w:txbxContent>
                              </wps:txbx>
                              <wps:bodyPr rot="0" vert="horz" wrap="square" lIns="91440" tIns="45720" rIns="91440" bIns="45720" anchor="t" anchorCtr="0" upright="1">
                                <a:noAutofit/>
                              </wps:bodyPr>
                            </wps:wsp>
                            <wps:wsp>
                              <wps:cNvPr id="62" name="直线 308"/>
                              <wps:cNvCnPr>
                                <a:cxnSpLocks noChangeShapeType="1"/>
                              </wps:cNvCnPr>
                              <wps:spPr bwMode="auto">
                                <a:xfrm flipV="1">
                                  <a:off x="3860438" y="995680"/>
                                  <a:ext cx="367030" cy="635"/>
                                </a:xfrm>
                                <a:prstGeom prst="line">
                                  <a:avLst/>
                                </a:prstGeom>
                                <a:noFill/>
                                <a:ln w="50800" cmpd="dbl">
                                  <a:solidFill>
                                    <a:srgbClr val="0D0D0D"/>
                                  </a:solidFill>
                                  <a:round/>
                                </a:ln>
                                <a:effectLst/>
                              </wps:spPr>
                              <wps:bodyPr/>
                            </wps:wsp>
                            <wps:wsp>
                              <wps:cNvPr id="63" name="矩形 310"/>
                              <wps:cNvSpPr>
                                <a:spLocks noChangeArrowheads="1"/>
                              </wps:cNvSpPr>
                              <wps:spPr bwMode="auto">
                                <a:xfrm>
                                  <a:off x="3148603" y="815340"/>
                                  <a:ext cx="642620" cy="300990"/>
                                </a:xfrm>
                                <a:prstGeom prst="rect">
                                  <a:avLst/>
                                </a:prstGeom>
                                <a:noFill/>
                                <a:ln>
                                  <a:noFill/>
                                </a:ln>
                                <a:effectLst/>
                              </wps:spPr>
                              <wps:txbx>
                                <w:txbxContent>
                                  <w:p w14:paraId="630F661E">
                                    <w:pPr>
                                      <w:spacing w:line="300" w:lineRule="exact"/>
                                      <w:jc w:val="center"/>
                                      <w:rPr>
                                        <w:sz w:val="22"/>
                                        <w:szCs w:val="22"/>
                                      </w:rPr>
                                    </w:pPr>
                                    <w:r>
                                      <w:rPr>
                                        <w:rFonts w:hint="eastAsia"/>
                                        <w:sz w:val="22"/>
                                        <w:szCs w:val="22"/>
                                      </w:rPr>
                                      <w:t>图例：</w:t>
                                    </w:r>
                                  </w:p>
                                </w:txbxContent>
                              </wps:txbx>
                              <wps:bodyPr rot="0" vert="horz" wrap="square" lIns="91440" tIns="45720" rIns="91440" bIns="45720" anchor="t" anchorCtr="0" upright="1">
                                <a:noAutofit/>
                              </wps:bodyPr>
                            </wps:wsp>
                            <wps:wsp>
                              <wps:cNvPr id="512" name="矩形 309"/>
                              <wps:cNvSpPr>
                                <a:spLocks noChangeArrowheads="1"/>
                              </wps:cNvSpPr>
                              <wps:spPr bwMode="auto">
                                <a:xfrm>
                                  <a:off x="4195083" y="815340"/>
                                  <a:ext cx="822960" cy="300990"/>
                                </a:xfrm>
                                <a:prstGeom prst="rect">
                                  <a:avLst/>
                                </a:prstGeom>
                                <a:noFill/>
                                <a:ln>
                                  <a:noFill/>
                                </a:ln>
                                <a:effectLst/>
                              </wps:spPr>
                              <wps:txbx>
                                <w:txbxContent>
                                  <w:p w14:paraId="2C48E925">
                                    <w:pPr>
                                      <w:spacing w:line="300" w:lineRule="exact"/>
                                      <w:jc w:val="center"/>
                                      <w:rPr>
                                        <w:sz w:val="22"/>
                                        <w:szCs w:val="22"/>
                                      </w:rPr>
                                    </w:pPr>
                                    <w:r>
                                      <w:rPr>
                                        <w:rFonts w:hint="eastAsia"/>
                                        <w:sz w:val="22"/>
                                        <w:szCs w:val="22"/>
                                      </w:rPr>
                                      <w:t>密闭管道</w:t>
                                    </w:r>
                                  </w:p>
                                </w:txbxContent>
                              </wps:txbx>
                              <wps:bodyPr rot="0" vert="horz" wrap="square" lIns="91440" tIns="45720" rIns="91440" bIns="45720" anchor="t" anchorCtr="0" upright="1">
                                <a:noAutofit/>
                              </wps:bodyPr>
                            </wps:wsp>
                            <wps:wsp>
                              <wps:cNvPr id="513" name="直接箭头连接符 513"/>
                              <wps:cNvCnPr/>
                              <wps:spPr>
                                <a:xfrm flipV="1">
                                  <a:off x="816174" y="386080"/>
                                  <a:ext cx="41302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4" name="直线 304"/>
                              <wps:cNvCnPr>
                                <a:cxnSpLocks noChangeShapeType="1"/>
                              </wps:cNvCnPr>
                              <wps:spPr bwMode="auto">
                                <a:xfrm>
                                  <a:off x="3571513" y="382270"/>
                                  <a:ext cx="368300" cy="635"/>
                                </a:xfrm>
                                <a:prstGeom prst="line">
                                  <a:avLst/>
                                </a:prstGeom>
                                <a:noFill/>
                                <a:ln w="50800" cmpd="dbl">
                                  <a:solidFill>
                                    <a:srgbClr val="0D0D0D"/>
                                  </a:solidFill>
                                  <a:round/>
                                  <a:tailEnd type="stealth" w="med" len="med"/>
                                </a:ln>
                                <a:effectLst/>
                              </wps:spPr>
                              <wps:bodyPr/>
                            </wps:wsp>
                            <wps:wsp>
                              <wps:cNvPr id="515" name="矩形 307"/>
                              <wps:cNvSpPr>
                                <a:spLocks noChangeArrowheads="1"/>
                              </wps:cNvSpPr>
                              <wps:spPr bwMode="auto">
                                <a:xfrm>
                                  <a:off x="3953344" y="128692"/>
                                  <a:ext cx="1018706" cy="480060"/>
                                </a:xfrm>
                                <a:prstGeom prst="rect">
                                  <a:avLst/>
                                </a:prstGeom>
                                <a:noFill/>
                                <a:ln w="19050" algn="ctr">
                                  <a:solidFill>
                                    <a:srgbClr val="000000"/>
                                  </a:solidFill>
                                  <a:miter lim="800000"/>
                                </a:ln>
                                <a:effectLst/>
                              </wps:spPr>
                              <wps:txbx>
                                <w:txbxContent>
                                  <w:p w14:paraId="4760ED5E">
                                    <w:pPr>
                                      <w:spacing w:line="300" w:lineRule="exact"/>
                                      <w:jc w:val="center"/>
                                      <w:rPr>
                                        <w:szCs w:val="22"/>
                                      </w:rPr>
                                    </w:pPr>
                                    <w:r>
                                      <w:rPr>
                                        <w:rFonts w:hint="eastAsia"/>
                                        <w:szCs w:val="22"/>
                                      </w:rPr>
                                      <w:t>脱模</w:t>
                                    </w:r>
                                    <w:r>
                                      <w:rPr>
                                        <w:szCs w:val="22"/>
                                      </w:rPr>
                                      <w:t>废气排放筒排放</w:t>
                                    </w:r>
                                  </w:p>
                                </w:txbxContent>
                              </wps:txbx>
                              <wps:bodyPr rot="0" vert="horz" wrap="square" lIns="91440" tIns="45720" rIns="91440" bIns="45720" anchor="t" anchorCtr="0" upright="1">
                                <a:noAutofit/>
                              </wps:bodyPr>
                            </wps:wsp>
                          </wpc:wpc>
                        </a:graphicData>
                      </a:graphic>
                    </wp:inline>
                  </w:drawing>
                </mc:Choice>
                <mc:Fallback>
                  <w:pict>
                    <v:group id="画布 295" o:spid="_x0000_s1026" o:spt="203" style="height:87.9pt;width:396pt;" coordsize="5029200,1116331" editas="canvas" o:gfxdata="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DpIJmv&#10;1gAAAAUBAAAPAAAAAAAAAAEAIAAAACIAAABkcnMvZG93bnJldi54bWxQSwECFAAUAAAACACHTuJA&#10;i8XR0EEFAAD4GQAADgAAAAAAAAABACAAAAAlAQAAZHJzL2Uyb0RvYy54bWxQSwUGAAAAAAYABgBZ&#10;AQAA2AgAAAAA&#10;">
                      <o:lock v:ext="edit" aspectratio="f"/>
                      <v:shape id="画布 295" o:spid="_x0000_s1026" style="position:absolute;left:0;top:0;height:1116331;width:5029200;" filled="f" stroked="f" coordsize="21600,21600" o:gfxdata="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DpIJmv1gAAAAUB&#10;AAAPAAAAAAAAAAEAIAAAACIAAABkcnMvZG93bnJldi54bWxQSwECFAAUAAAACACHTuJA3iXCDQIF&#10;AABxGQAADgAAAAAAAAABACAAAAAlAQAAZHJzL2Uyb0RvYy54bWxQSwUGAAAAAAYABgBZAQAAmQgA&#10;AAAA&#10;">
                        <v:fill on="f" focussize="0,0"/>
                        <v:stroke on="f"/>
                        <v:imagedata o:title=""/>
                        <o:lock v:ext="edit" aspectratio="f"/>
                      </v:shape>
                      <v:rect id="矩形 297" o:spid="_x0000_s1026" o:spt="1" style="position:absolute;left:36468;top:137795;height:697230;width:890905;" filled="f" stroked="f" coordsize="21600,21600" o:gfxdata="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pIJmv1gAAAAUB&#10;AAAPAAAAAAAAAAEAIAAAACIAAABkcnMvZG93bnJldi54bWxQSwECFAAUAAAACACHTuJA01BqDh0C&#10;AAAhBAAADgAAAAAAAAABACAAAAAlAQAAZHJzL2Uyb0RvYy54bWxQSwUGAAAAAAYABgBZAQAAtAUA&#10;AAAA&#10;">
                        <v:fill on="f" focussize="0,0"/>
                        <v:stroke on="f"/>
                        <v:imagedata o:title=""/>
                        <o:lock v:ext="edit" aspectratio="f"/>
                        <v:textbox>
                          <w:txbxContent>
                            <w:p w14:paraId="0E297122">
                              <w:pPr>
                                <w:spacing w:line="300" w:lineRule="exact"/>
                                <w:jc w:val="center"/>
                                <w:rPr>
                                  <w:szCs w:val="21"/>
                                </w:rPr>
                              </w:pPr>
                              <w:r>
                                <w:rPr>
                                  <w:rFonts w:hint="eastAsia"/>
                                  <w:szCs w:val="21"/>
                                </w:rPr>
                                <w:t>压铸工序脱模</w:t>
                              </w:r>
                              <w:r>
                                <w:rPr>
                                  <w:szCs w:val="21"/>
                                </w:rPr>
                                <w:t>废气</w:t>
                              </w:r>
                            </w:p>
                          </w:txbxContent>
                        </v:textbox>
                      </v:rect>
                      <v:rect id="矩形 302" o:spid="_x0000_s1026" o:spt="1" style="position:absolute;left:1229194;top:227330;height:317500;width:646698;" filled="f" stroked="t" coordsize="21600,21600" o:gfxdata="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qAUS0gAAAAUBAAAPAAAAAAAA&#10;AAEAIAAAACIAAABkcnMvZG93bnJldi54bWxQSwECFAAUAAAACACHTuJABGbVR1ECAAB4BAAADgAA&#10;AAAAAAABACAAAAAhAQAAZHJzL2Uyb0RvYy54bWxQSwUGAAAAAAYABgBZAQAA5AUAAAAA&#10;">
                        <v:fill on="f" focussize="0,0"/>
                        <v:stroke weight="1.5pt" color="#0D0D0D" miterlimit="8" joinstyle="miter"/>
                        <v:imagedata o:title=""/>
                        <o:lock v:ext="edit" aspectratio="f"/>
                        <v:textbox>
                          <w:txbxContent>
                            <w:p w14:paraId="7840CE87">
                              <w:pPr>
                                <w:spacing w:line="300" w:lineRule="exact"/>
                                <w:jc w:val="center"/>
                                <w:rPr>
                                  <w:szCs w:val="22"/>
                                </w:rPr>
                              </w:pPr>
                              <w:r>
                                <w:rPr>
                                  <w:rFonts w:hint="eastAsia"/>
                                  <w:szCs w:val="22"/>
                                </w:rPr>
                                <w:t>集气罩</w:t>
                              </w:r>
                            </w:p>
                          </w:txbxContent>
                        </v:textbox>
                      </v:rect>
                      <v:line id="直线 304" o:spid="_x0000_s1026" o:spt="20" style="position:absolute;left:1876063;top:382270;height:635;width:368300;" filled="f" stroked="t" coordsize="21600,21600" o:gfxdata="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MEq4tYAAAAFAQAADwAAAAAAAAABACAAAAAi&#10;AAAAZHJzL2Rvd25yZXYueG1sUEsBAhQAFAAAAAgAh07iQNRE4boMAgAA9wMAAA4AAAAAAAAAAQAg&#10;AAAAJQEAAGRycy9lMm9Eb2MueG1sUEsFBgAAAAAGAAYAWQEAAKMFAAAAAA==&#10;">
                        <v:fill on="f" focussize="0,0"/>
                        <v:stroke weight="4pt" color="#0D0D0D" linestyle="thinThin" joinstyle="round" endarrow="classic"/>
                        <v:imagedata o:title=""/>
                        <o:lock v:ext="edit" aspectratio="f"/>
                      </v:line>
                      <v:rect id="矩形 305" o:spid="_x0000_s1026" o:spt="1" style="position:absolute;left:2243952;top:118534;height:524086;width:1337393;" filled="f" stroked="t" coordsize="21600,21600" o:gfxdata="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qgFEtIAAAAFAQAADwAAAAAA&#10;AAABACAAAAAiAAAAZHJzL2Rvd25yZXYueG1sUEsBAhQAFAAAAAgAh07iQO/jE/BSAgAAeQQAAA4A&#10;AAAAAAAAAQAgAAAAIQEAAGRycy9lMm9Eb2MueG1sUEsFBgAAAAAGAAYAWQEAAOUFAAAAAA==&#10;">
                        <v:fill on="f" focussize="0,0"/>
                        <v:stroke weight="1.5pt" color="#0D0D0D" miterlimit="8" joinstyle="miter"/>
                        <v:imagedata o:title=""/>
                        <o:lock v:ext="edit" aspectratio="f"/>
                        <v:textbox>
                          <w:txbxContent>
                            <w:p w14:paraId="136593F4">
                              <w:pPr>
                                <w:spacing w:line="300" w:lineRule="exact"/>
                                <w:jc w:val="center"/>
                                <w:rPr>
                                  <w:szCs w:val="21"/>
                                </w:rPr>
                              </w:pPr>
                              <w:r>
                                <w:rPr>
                                  <w:rFonts w:hint="eastAsia"/>
                                  <w:bCs/>
                                  <w:szCs w:val="21"/>
                                </w:rPr>
                                <w:t>干燥+UV光解+活性炭吸附</w:t>
                              </w:r>
                            </w:p>
                          </w:txbxContent>
                        </v:textbox>
                      </v:rect>
                      <v:line id="直线 308" o:spid="_x0000_s1026" o:spt="20" style="position:absolute;left:3860438;top:995680;flip:y;height:635;width:367030;" filled="f" stroked="t" coordsize="21600,21600" o:gfxdata="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0bL9dMAAAAFAQAADwAAAAAAAAABACAAAAAiAAAAZHJzL2Rvd25yZXYueG1sUEsB&#10;AhQAFAAAAAgAh07iQMZzqeD6AQAA1AMAAA4AAAAAAAAAAQAgAAAAIgEAAGRycy9lMm9Eb2MueG1s&#10;UEsFBgAAAAAGAAYAWQEAAI4FAAAAAA==&#10;">
                        <v:fill on="f" focussize="0,0"/>
                        <v:stroke weight="4pt" color="#0D0D0D" linestyle="thinThin" joinstyle="round"/>
                        <v:imagedata o:title=""/>
                        <o:lock v:ext="edit" aspectratio="f"/>
                      </v:line>
                      <v:rect id="矩形 310" o:spid="_x0000_s1026" o:spt="1" style="position:absolute;left:3148603;top:815340;height:300990;width:642620;" filled="f" stroked="f" coordsize="21600,21600" o:gfxdata="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SCZr9YAAAAF&#10;AQAADwAAAAAAAAABACAAAAAiAAAAZHJzL2Rvd25yZXYueG1sUEsBAhQAFAAAAAgAh07iQCuvHrke&#10;AgAAIwQAAA4AAAAAAAAAAQAgAAAAJQEAAGRycy9lMm9Eb2MueG1sUEsFBgAAAAAGAAYAWQEAALUF&#10;AAAAAA==&#10;">
                        <v:fill on="f" focussize="0,0"/>
                        <v:stroke on="f"/>
                        <v:imagedata o:title=""/>
                        <o:lock v:ext="edit" aspectratio="f"/>
                        <v:textbox>
                          <w:txbxContent>
                            <w:p w14:paraId="630F661E">
                              <w:pPr>
                                <w:spacing w:line="300" w:lineRule="exact"/>
                                <w:jc w:val="center"/>
                                <w:rPr>
                                  <w:sz w:val="22"/>
                                  <w:szCs w:val="22"/>
                                </w:rPr>
                              </w:pPr>
                              <w:r>
                                <w:rPr>
                                  <w:rFonts w:hint="eastAsia"/>
                                  <w:sz w:val="22"/>
                                  <w:szCs w:val="22"/>
                                </w:rPr>
                                <w:t>图例：</w:t>
                              </w:r>
                            </w:p>
                          </w:txbxContent>
                        </v:textbox>
                      </v:rect>
                      <v:rect id="矩形 309" o:spid="_x0000_s1026" o:spt="1" style="position:absolute;left:4195083;top:815340;height:300990;width:822960;" filled="f" stroked="f" coordsize="21600,21600" o:gfxdata="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kgma/WAAAA&#10;BQEAAA8AAAAAAAAAAQAgAAAAIgAAAGRycy9kb3ducmV2LnhtbFBLAQIUABQAAAAIAIdO4kB8EiqY&#10;HwIAACQEAAAOAAAAAAAAAAEAIAAAACUBAABkcnMvZTJvRG9jLnhtbFBLBQYAAAAABgAGAFkBAAC2&#10;BQAAAAA=&#10;">
                        <v:fill on="f" focussize="0,0"/>
                        <v:stroke on="f"/>
                        <v:imagedata o:title=""/>
                        <o:lock v:ext="edit" aspectratio="f"/>
                        <v:textbox>
                          <w:txbxContent>
                            <w:p w14:paraId="2C48E925">
                              <w:pPr>
                                <w:spacing w:line="300" w:lineRule="exact"/>
                                <w:jc w:val="center"/>
                                <w:rPr>
                                  <w:sz w:val="22"/>
                                  <w:szCs w:val="22"/>
                                </w:rPr>
                              </w:pPr>
                              <w:r>
                                <w:rPr>
                                  <w:rFonts w:hint="eastAsia"/>
                                  <w:sz w:val="22"/>
                                  <w:szCs w:val="22"/>
                                </w:rPr>
                                <w:t>密闭管道</w:t>
                              </w:r>
                            </w:p>
                          </w:txbxContent>
                        </v:textbox>
                      </v:rect>
                      <v:shape id="_x0000_s1026" o:spid="_x0000_s1026" o:spt="32" type="#_x0000_t32" style="position:absolute;left:816174;top:386080;flip:y;height:6350;width:413020;" filled="f" stroked="t" coordsize="21600,21600" o:gfxdata="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T9Y0bVAAAABQEAAA8A&#10;AAAAAAAAAQAgAAAAIgAAAGRycy9kb3ducmV2LnhtbFBLAQIUABQAAAAIAIdO4kB6xlfxGgIAAPsD&#10;AAAOAAAAAAAAAAEAIAAAACQBAABkcnMvZTJvRG9jLnhtbFBLBQYAAAAABgAGAFkBAACwBQAAAAA=&#10;">
                        <v:fill on="f" focussize="0,0"/>
                        <v:stroke weight="0.5pt" color="#000000 [3200]" miterlimit="8" joinstyle="miter" endarrow="block"/>
                        <v:imagedata o:title=""/>
                        <o:lock v:ext="edit" aspectratio="f"/>
                      </v:shape>
                      <v:line id="直线 304" o:spid="_x0000_s1026" o:spt="20" style="position:absolute;left:3571513;top:382270;height:635;width:368300;" filled="f" stroked="t" coordsize="21600,21600" o:gfxdata="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jBKuLWAAAABQEAAA8AAAAAAAAAAQAgAAAA&#10;IgAAAGRycy9kb3ducmV2LnhtbFBLAQIUABQAAAAIAIdO4kBtKEAGDQIAAPgDAAAOAAAAAAAAAAEA&#10;IAAAACUBAABkcnMvZTJvRG9jLnhtbFBLBQYAAAAABgAGAFkBAACkBQAAAAA=&#10;">
                        <v:fill on="f" focussize="0,0"/>
                        <v:stroke weight="4pt" color="#0D0D0D" linestyle="thinThin" joinstyle="round" endarrow="classic"/>
                        <v:imagedata o:title=""/>
                        <o:lock v:ext="edit" aspectratio="f"/>
                      </v:line>
                      <v:rect id="矩形 307" o:spid="_x0000_s1026" o:spt="1" style="position:absolute;left:3953344;top:128692;height:480060;width:1018706;" filled="f" stroked="t" coordsize="21600,21600" o:gfxdata="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1P+uw1gAAAAUBAAAP&#10;AAAAAAAAAAEAIAAAACIAAABkcnMvZG93bnJldi54bWxQSwECFAAUAAAACACHTuJACsq/jlMCAAB6&#10;BAAADgAAAAAAAAABACAAAAAlAQAAZHJzL2Uyb0RvYy54bWxQSwUGAAAAAAYABgBZAQAA6gUAAAAA&#10;">
                        <v:fill on="f" focussize="0,0"/>
                        <v:stroke weight="1.5pt" color="#000000" miterlimit="8" joinstyle="miter"/>
                        <v:imagedata o:title=""/>
                        <o:lock v:ext="edit" aspectratio="f"/>
                        <v:textbox>
                          <w:txbxContent>
                            <w:p w14:paraId="4760ED5E">
                              <w:pPr>
                                <w:spacing w:line="300" w:lineRule="exact"/>
                                <w:jc w:val="center"/>
                                <w:rPr>
                                  <w:szCs w:val="22"/>
                                </w:rPr>
                              </w:pPr>
                              <w:r>
                                <w:rPr>
                                  <w:rFonts w:hint="eastAsia"/>
                                  <w:szCs w:val="22"/>
                                </w:rPr>
                                <w:t>脱模</w:t>
                              </w:r>
                              <w:r>
                                <w:rPr>
                                  <w:szCs w:val="22"/>
                                </w:rPr>
                                <w:t>废气排放筒排放</w:t>
                              </w:r>
                            </w:p>
                          </w:txbxContent>
                        </v:textbox>
                      </v:rect>
                      <w10:wrap type="none"/>
                      <w10:anchorlock/>
                    </v:group>
                  </w:pict>
                </mc:Fallback>
              </mc:AlternateContent>
            </w:r>
          </w:p>
          <w:p w14:paraId="2A84DEEB">
            <w:pPr>
              <w:spacing w:line="360" w:lineRule="auto"/>
              <w:ind w:firstLine="482" w:firstLineChars="200"/>
              <w:contextualSpacing/>
              <w:rPr>
                <w:bCs/>
                <w:sz w:val="24"/>
              </w:rPr>
            </w:pPr>
            <w:r>
              <w:rPr>
                <w:rFonts w:hint="eastAsia"/>
                <w:b/>
                <w:bCs/>
                <w:sz w:val="24"/>
              </w:rPr>
              <w:t>处理措施可行性分析：</w:t>
            </w:r>
          </w:p>
          <w:p w14:paraId="6B5514C9">
            <w:pPr>
              <w:spacing w:line="360" w:lineRule="auto"/>
              <w:ind w:firstLine="480" w:firstLineChars="200"/>
              <w:contextualSpacing/>
              <w:rPr>
                <w:bCs/>
                <w:sz w:val="24"/>
              </w:rPr>
            </w:pPr>
            <w:r>
              <w:rPr>
                <w:rFonts w:hint="eastAsia"/>
                <w:bCs/>
                <w:sz w:val="24"/>
              </w:rPr>
              <w:t>项目采用“干燥+UV光解+活性炭吸附”工艺</w:t>
            </w:r>
            <w:r>
              <w:rPr>
                <w:bCs/>
                <w:sz w:val="24"/>
              </w:rPr>
              <w:t>处理有机废气</w:t>
            </w:r>
            <w:r>
              <w:rPr>
                <w:rFonts w:hint="eastAsia"/>
                <w:bCs/>
                <w:sz w:val="24"/>
              </w:rPr>
              <w:t>，参照《排污许可证申请与核发技术规范 金属铸造工业》（H</w:t>
            </w:r>
            <w:r>
              <w:rPr>
                <w:bCs/>
                <w:sz w:val="24"/>
              </w:rPr>
              <w:t>J1115-2020</w:t>
            </w:r>
            <w:r>
              <w:rPr>
                <w:rFonts w:hint="eastAsia"/>
                <w:bCs/>
                <w:sz w:val="24"/>
              </w:rPr>
              <w:t>），浇筑过程产生的非甲烷总烃推荐采用活性炭吸附或催化燃烧装置进行处理，本项目压铸工序有机废气采用活性炭吸附工艺并前置“干燥+UV光解”设施，属推荐可行技术。</w:t>
            </w:r>
          </w:p>
          <w:p w14:paraId="75449EF5">
            <w:pPr>
              <w:spacing w:line="360" w:lineRule="auto"/>
              <w:ind w:firstLine="480" w:firstLineChars="200"/>
              <w:contextualSpacing/>
              <w:rPr>
                <w:bCs/>
                <w:sz w:val="24"/>
              </w:rPr>
            </w:pPr>
            <w:r>
              <w:rPr>
                <w:rFonts w:hint="eastAsia"/>
                <w:bCs/>
                <w:sz w:val="24"/>
              </w:rPr>
              <w:t>催化氧化</w:t>
            </w:r>
            <w:r>
              <w:rPr>
                <w:sz w:val="24"/>
              </w:rPr>
              <w:t>工作原理：通过高磁发生器向设备内部发射高磁使UV光紫外灯产生紫外线和臭氧分解恶臭气体，改变恶臭气体的分子链结构，使有机或无机高分子恶臭化合物分子链，在高能紫外线光束照射下，降解转变成低分子化合物，如CO</w:t>
            </w:r>
            <w:r>
              <w:rPr>
                <w:sz w:val="24"/>
                <w:vertAlign w:val="subscript"/>
              </w:rPr>
              <w:t>2</w:t>
            </w:r>
            <w:r>
              <w:rPr>
                <w:sz w:val="24"/>
              </w:rPr>
              <w:t>、H</w:t>
            </w:r>
            <w:r>
              <w:rPr>
                <w:sz w:val="24"/>
                <w:vertAlign w:val="subscript"/>
              </w:rPr>
              <w:t>2</w:t>
            </w:r>
            <w:r>
              <w:rPr>
                <w:sz w:val="24"/>
              </w:rPr>
              <w:t>O等。即先利用超强高磁对流对有机废或无机废气进行快速裂解分裂打短，再利用高能高臭氧UV紫外线光束分解空气中的氧分子产生游离氧，即活性氧，因游离氧所携正负电子不平衡所以需与氧分子结合，进而产生臭氧。最后通过臭氧发生器制造足够的氧离子对废气进行氧化，达到让废气生成CO</w:t>
            </w:r>
            <w:r>
              <w:rPr>
                <w:sz w:val="24"/>
                <w:vertAlign w:val="subscript"/>
              </w:rPr>
              <w:t>2</w:t>
            </w:r>
            <w:r>
              <w:rPr>
                <w:sz w:val="24"/>
              </w:rPr>
              <w:t>、H</w:t>
            </w:r>
            <w:r>
              <w:rPr>
                <w:sz w:val="24"/>
                <w:vertAlign w:val="subscript"/>
              </w:rPr>
              <w:t>2</w:t>
            </w:r>
            <w:r>
              <w:rPr>
                <w:sz w:val="24"/>
              </w:rPr>
              <w:t>O的效果。该处理工艺无任何添加剂，期间产生的臭氧可全部反应，不会产生二次污染，运行成本主要为电源。</w:t>
            </w:r>
          </w:p>
          <w:p w14:paraId="7F69A8D0">
            <w:pPr>
              <w:autoSpaceDE w:val="0"/>
              <w:autoSpaceDN w:val="0"/>
              <w:spacing w:line="360" w:lineRule="auto"/>
              <w:ind w:firstLine="480" w:firstLineChars="200"/>
              <w:contextualSpacing/>
              <w:rPr>
                <w:sz w:val="24"/>
              </w:rPr>
            </w:pPr>
            <w:r>
              <w:rPr>
                <w:sz w:val="24"/>
              </w:rPr>
              <w:t>活性炭纤维在处理</w:t>
            </w:r>
            <w:r>
              <w:rPr>
                <w:rFonts w:hint="eastAsia"/>
                <w:sz w:val="24"/>
              </w:rPr>
              <w:t>涂装</w:t>
            </w:r>
            <w:r>
              <w:rPr>
                <w:sz w:val="24"/>
              </w:rPr>
              <w:t>废气净化设备中使用较为普遍，可用于吸附项目喷漆废气中的苯系物等有机废气，</w:t>
            </w:r>
            <w:r>
              <w:rPr>
                <w:rFonts w:hint="eastAsia"/>
                <w:sz w:val="24"/>
              </w:rPr>
              <w:t>项目</w:t>
            </w:r>
            <w:r>
              <w:rPr>
                <w:sz w:val="24"/>
              </w:rPr>
              <w:t>设置有前置</w:t>
            </w:r>
            <w:r>
              <w:rPr>
                <w:rFonts w:hint="eastAsia"/>
                <w:bCs/>
                <w:sz w:val="24"/>
              </w:rPr>
              <w:t>UV光解设备，废气综合处理效率取</w:t>
            </w:r>
            <w:r>
              <w:rPr>
                <w:bCs/>
                <w:sz w:val="24"/>
              </w:rPr>
              <w:t>50</w:t>
            </w:r>
            <w:r>
              <w:rPr>
                <w:rFonts w:hint="eastAsia"/>
                <w:bCs/>
                <w:sz w:val="24"/>
              </w:rPr>
              <w:t>%</w:t>
            </w:r>
            <w:r>
              <w:rPr>
                <w:rFonts w:hint="eastAsia"/>
                <w:sz w:val="24"/>
              </w:rPr>
              <w:t>。</w:t>
            </w:r>
          </w:p>
          <w:p w14:paraId="7D72E265">
            <w:pPr>
              <w:adjustRightInd w:val="0"/>
              <w:snapToGrid w:val="0"/>
              <w:spacing w:line="360" w:lineRule="auto"/>
              <w:ind w:firstLine="405"/>
              <w:rPr>
                <w:sz w:val="24"/>
              </w:rPr>
            </w:pPr>
            <w:r>
              <w:rPr>
                <w:sz w:val="24"/>
              </w:rPr>
              <w:t>综上，</w:t>
            </w:r>
            <w:r>
              <w:rPr>
                <w:rFonts w:hint="eastAsia"/>
                <w:bCs/>
                <w:sz w:val="24"/>
              </w:rPr>
              <w:t>本项目采用的“干燥+UV光解+活性炭吸附”处理工艺为推荐可行技术。根据表4-1可知，本项目脱模废气可实现达标排放，满足《大气污染物综合排放标准》（DB50/418-2016）。</w:t>
            </w:r>
          </w:p>
          <w:p w14:paraId="38C65491">
            <w:pPr>
              <w:adjustRightInd w:val="0"/>
              <w:snapToGrid w:val="0"/>
              <w:spacing w:line="360" w:lineRule="auto"/>
              <w:ind w:firstLine="405"/>
              <w:rPr>
                <w:b/>
                <w:sz w:val="24"/>
              </w:rPr>
            </w:pPr>
            <w:r>
              <w:rPr>
                <w:b/>
                <w:sz w:val="24"/>
              </w:rPr>
              <w:t>风量的可</w:t>
            </w:r>
            <w:r>
              <w:rPr>
                <w:rFonts w:hint="eastAsia"/>
                <w:b/>
                <w:sz w:val="24"/>
              </w:rPr>
              <w:t>性</w:t>
            </w:r>
            <w:r>
              <w:rPr>
                <w:b/>
                <w:sz w:val="24"/>
              </w:rPr>
              <w:t>性</w:t>
            </w:r>
            <w:r>
              <w:rPr>
                <w:rFonts w:hint="eastAsia"/>
                <w:b/>
                <w:sz w:val="24"/>
              </w:rPr>
              <w:t>：</w:t>
            </w:r>
          </w:p>
          <w:p w14:paraId="57CE0811">
            <w:pPr>
              <w:adjustRightInd w:val="0"/>
              <w:snapToGrid w:val="0"/>
              <w:spacing w:line="360" w:lineRule="auto"/>
              <w:ind w:firstLine="480" w:firstLineChars="200"/>
              <w:rPr>
                <w:sz w:val="24"/>
              </w:rPr>
            </w:pPr>
            <w:r>
              <w:rPr>
                <w:rFonts w:hint="eastAsia"/>
                <w:sz w:val="24"/>
              </w:rPr>
              <w:t>根据《大气污染控制工程》中集气罩设计原则，本项目集气罩风量按照下式确定：</w:t>
            </w:r>
          </w:p>
          <w:p w14:paraId="74EE7476">
            <w:pPr>
              <w:adjustRightInd w:val="0"/>
              <w:snapToGrid w:val="0"/>
              <w:spacing w:line="460" w:lineRule="exact"/>
              <w:jc w:val="center"/>
              <w:rPr>
                <w:sz w:val="24"/>
              </w:rPr>
            </w:pPr>
            <w:r>
              <w:rPr>
                <w:position w:val="-12"/>
                <w:sz w:val="24"/>
              </w:rPr>
              <w:object>
                <v:shape id="_x0000_i1031" o:spt="75" type="#_x0000_t75" style="height:21.8pt;width:144pt;" o:ole="t" filled="f" o:preferrelative="t" stroked="f" coordsize="21600,21600">
                  <v:path/>
                  <v:fill on="f" focussize="0,0"/>
                  <v:stroke on="f" joinstyle="miter"/>
                  <v:imagedata r:id="rId17" o:title=""/>
                  <o:lock v:ext="edit" aspectratio="t"/>
                  <w10:wrap type="none"/>
                  <w10:anchorlock/>
                </v:shape>
                <o:OLEObject Type="Embed" ProgID="Equation.KSEE3" ShapeID="_x0000_i1031" DrawAspect="Content" ObjectID="_1468075731" r:id="rId18">
                  <o:LockedField>false</o:LockedField>
                </o:OLEObject>
              </w:object>
            </w:r>
          </w:p>
          <w:p w14:paraId="054A5E86">
            <w:pPr>
              <w:pStyle w:val="54"/>
              <w:spacing w:line="360" w:lineRule="auto"/>
              <w:ind w:firstLine="480" w:firstLineChars="200"/>
              <w:rPr>
                <w:rFonts w:ascii="Times New Roman" w:cs="Times New Roman"/>
                <w:color w:val="auto"/>
              </w:rPr>
            </w:pPr>
            <w:r>
              <w:rPr>
                <w:rFonts w:hint="eastAsia" w:ascii="Times New Roman" w:cs="Times New Roman"/>
                <w:color w:val="auto"/>
              </w:rPr>
              <w:t>式中：</w:t>
            </w:r>
            <w:r>
              <w:rPr>
                <w:rFonts w:ascii="Times New Roman" w:cs="Times New Roman"/>
                <w:color w:val="auto"/>
              </w:rPr>
              <w:t>L——</w:t>
            </w:r>
            <w:r>
              <w:rPr>
                <w:rFonts w:hint="eastAsia" w:ascii="Times New Roman" w:cs="Times New Roman"/>
                <w:color w:val="auto"/>
              </w:rPr>
              <w:t>集气罩风量，</w:t>
            </w:r>
            <w:r>
              <w:rPr>
                <w:rFonts w:ascii="Times New Roman" w:cs="Times New Roman"/>
                <w:color w:val="auto"/>
              </w:rPr>
              <w:t>m</w:t>
            </w:r>
            <w:r>
              <w:rPr>
                <w:rFonts w:ascii="Times New Roman" w:cs="Times New Roman"/>
                <w:color w:val="auto"/>
                <w:vertAlign w:val="superscript"/>
              </w:rPr>
              <w:t>3</w:t>
            </w:r>
            <w:r>
              <w:rPr>
                <w:rFonts w:ascii="Times New Roman" w:cs="Times New Roman"/>
                <w:color w:val="auto"/>
              </w:rPr>
              <w:t>/s</w:t>
            </w:r>
            <w:r>
              <w:rPr>
                <w:rFonts w:hint="eastAsia" w:ascii="Times New Roman" w:cs="Times New Roman"/>
                <w:color w:val="auto"/>
              </w:rPr>
              <w:t>；</w:t>
            </w:r>
          </w:p>
          <w:p w14:paraId="5EB01F93">
            <w:pPr>
              <w:adjustRightInd w:val="0"/>
              <w:snapToGrid w:val="0"/>
              <w:spacing w:line="360" w:lineRule="auto"/>
              <w:ind w:firstLine="1200" w:firstLineChars="500"/>
              <w:rPr>
                <w:sz w:val="24"/>
              </w:rPr>
            </w:pPr>
            <w:r>
              <w:rPr>
                <w:sz w:val="24"/>
              </w:rPr>
              <w:t>V</w:t>
            </w:r>
            <w:r>
              <w:rPr>
                <w:sz w:val="24"/>
                <w:vertAlign w:val="subscript"/>
              </w:rPr>
              <w:t>0</w:t>
            </w:r>
            <w:r>
              <w:rPr>
                <w:sz w:val="24"/>
              </w:rPr>
              <w:t xml:space="preserve"> ——</w:t>
            </w:r>
            <w:r>
              <w:rPr>
                <w:rFonts w:hint="eastAsia"/>
                <w:sz w:val="24"/>
              </w:rPr>
              <w:t>吸气口的平均风速，</w:t>
            </w:r>
            <w:r>
              <w:rPr>
                <w:sz w:val="24"/>
              </w:rPr>
              <w:t>m/s</w:t>
            </w:r>
            <w:r>
              <w:rPr>
                <w:rFonts w:hint="eastAsia"/>
                <w:sz w:val="24"/>
              </w:rPr>
              <w:t>；</w:t>
            </w:r>
          </w:p>
          <w:p w14:paraId="09795E05">
            <w:pPr>
              <w:pStyle w:val="54"/>
              <w:spacing w:line="360" w:lineRule="auto"/>
              <w:ind w:firstLine="1200" w:firstLineChars="500"/>
              <w:rPr>
                <w:rFonts w:ascii="Times New Roman" w:cs="Times New Roman"/>
                <w:color w:val="auto"/>
              </w:rPr>
            </w:pPr>
            <w:r>
              <w:rPr>
                <w:rFonts w:ascii="Times New Roman" w:cs="Times New Roman"/>
                <w:color w:val="auto"/>
              </w:rPr>
              <w:t>V</w:t>
            </w:r>
            <w:r>
              <w:rPr>
                <w:rFonts w:ascii="Times New Roman" w:cs="Times New Roman"/>
                <w:color w:val="auto"/>
                <w:vertAlign w:val="subscript"/>
              </w:rPr>
              <w:t>x</w:t>
            </w:r>
            <w:r>
              <w:rPr>
                <w:rFonts w:ascii="Times New Roman" w:cs="Times New Roman"/>
                <w:color w:val="auto"/>
              </w:rPr>
              <w:t xml:space="preserve"> ——</w:t>
            </w:r>
            <w:r>
              <w:rPr>
                <w:rFonts w:hint="eastAsia" w:ascii="Times New Roman" w:cs="Times New Roman"/>
                <w:color w:val="auto"/>
              </w:rPr>
              <w:t>控制点的吸入风速，</w:t>
            </w:r>
            <w:r>
              <w:rPr>
                <w:rFonts w:ascii="Times New Roman" w:cs="Times New Roman"/>
                <w:color w:val="auto"/>
              </w:rPr>
              <w:t>m/s</w:t>
            </w:r>
            <w:r>
              <w:rPr>
                <w:rFonts w:hint="eastAsia" w:ascii="Times New Roman" w:cs="Times New Roman"/>
                <w:color w:val="auto"/>
              </w:rPr>
              <w:t>；</w:t>
            </w:r>
          </w:p>
          <w:p w14:paraId="71BBE1EA">
            <w:pPr>
              <w:pStyle w:val="54"/>
              <w:spacing w:line="360" w:lineRule="auto"/>
              <w:ind w:firstLine="1200" w:firstLineChars="500"/>
              <w:rPr>
                <w:rFonts w:ascii="Times New Roman" w:cs="Times New Roman"/>
                <w:color w:val="auto"/>
              </w:rPr>
            </w:pPr>
            <w:r>
              <w:rPr>
                <w:rFonts w:ascii="Times New Roman" w:cs="Times New Roman"/>
                <w:color w:val="auto"/>
              </w:rPr>
              <w:t>F——</w:t>
            </w:r>
            <w:r>
              <w:rPr>
                <w:rFonts w:hint="eastAsia" w:ascii="Times New Roman" w:cs="Times New Roman"/>
                <w:color w:val="auto"/>
              </w:rPr>
              <w:t>集气罩面积，</w:t>
            </w:r>
            <w:r>
              <w:rPr>
                <w:rFonts w:ascii="Times New Roman" w:cs="Times New Roman"/>
                <w:color w:val="auto"/>
              </w:rPr>
              <w:t>m</w:t>
            </w:r>
            <w:r>
              <w:rPr>
                <w:rFonts w:ascii="Times New Roman" w:cs="Times New Roman"/>
                <w:color w:val="auto"/>
                <w:vertAlign w:val="superscript"/>
              </w:rPr>
              <w:t>2</w:t>
            </w:r>
            <w:r>
              <w:rPr>
                <w:rFonts w:hint="eastAsia" w:ascii="Times New Roman" w:cs="Times New Roman"/>
                <w:color w:val="auto"/>
              </w:rPr>
              <w:t>；</w:t>
            </w:r>
          </w:p>
          <w:p w14:paraId="7A0186D2">
            <w:pPr>
              <w:pStyle w:val="54"/>
              <w:spacing w:line="360" w:lineRule="auto"/>
              <w:ind w:firstLine="1200" w:firstLineChars="500"/>
              <w:rPr>
                <w:rFonts w:ascii="Times New Roman" w:cs="Times New Roman"/>
                <w:color w:val="auto"/>
              </w:rPr>
            </w:pPr>
            <w:r>
              <w:rPr>
                <w:rFonts w:ascii="Times New Roman" w:cs="Times New Roman"/>
                <w:color w:val="auto"/>
              </w:rPr>
              <w:t>x——</w:t>
            </w:r>
            <w:r>
              <w:rPr>
                <w:rFonts w:hint="eastAsia" w:ascii="Times New Roman" w:cs="Times New Roman"/>
                <w:color w:val="auto"/>
              </w:rPr>
              <w:t>控制点到吸气口的距离，</w:t>
            </w:r>
            <w:r>
              <w:rPr>
                <w:rFonts w:ascii="Times New Roman" w:cs="Times New Roman"/>
                <w:color w:val="auto"/>
              </w:rPr>
              <w:t>m</w:t>
            </w:r>
            <w:r>
              <w:rPr>
                <w:rFonts w:hint="eastAsia" w:ascii="Times New Roman" w:cs="Times New Roman"/>
                <w:color w:val="auto"/>
              </w:rPr>
              <w:t>。</w:t>
            </w:r>
          </w:p>
          <w:p w14:paraId="62436223">
            <w:pPr>
              <w:adjustRightInd w:val="0"/>
              <w:snapToGrid w:val="0"/>
              <w:spacing w:line="360" w:lineRule="auto"/>
              <w:ind w:firstLine="405"/>
              <w:rPr>
                <w:sz w:val="24"/>
              </w:rPr>
            </w:pPr>
            <w:r>
              <w:rPr>
                <w:rFonts w:hint="eastAsia"/>
                <w:sz w:val="24"/>
              </w:rPr>
              <w:t>项目</w:t>
            </w:r>
            <w:r>
              <w:rPr>
                <w:rFonts w:hint="eastAsia"/>
                <w:bCs/>
                <w:sz w:val="24"/>
              </w:rPr>
              <w:t>“干燥+UV光解+活性炭吸附”装置</w:t>
            </w:r>
            <w:r>
              <w:rPr>
                <w:rFonts w:hint="eastAsia"/>
                <w:sz w:val="24"/>
              </w:rPr>
              <w:t>设计风量</w:t>
            </w:r>
            <w:r>
              <w:rPr>
                <w:sz w:val="24"/>
              </w:rPr>
              <w:t>15</w:t>
            </w:r>
            <w:r>
              <w:rPr>
                <w:rFonts w:hint="eastAsia"/>
                <w:sz w:val="24"/>
              </w:rPr>
              <w:t>000m</w:t>
            </w:r>
            <w:r>
              <w:rPr>
                <w:rFonts w:hint="eastAsia"/>
                <w:sz w:val="24"/>
                <w:vertAlign w:val="superscript"/>
              </w:rPr>
              <w:t>3</w:t>
            </w:r>
            <w:r>
              <w:rPr>
                <w:rFonts w:hint="eastAsia"/>
                <w:sz w:val="24"/>
              </w:rPr>
              <w:t>/h，各压铸机非甲烷总烃经集气罩与风道相连。项目共建设1</w:t>
            </w:r>
            <w:r>
              <w:rPr>
                <w:sz w:val="24"/>
              </w:rPr>
              <w:t>2</w:t>
            </w:r>
            <w:r>
              <w:rPr>
                <w:rFonts w:hint="eastAsia"/>
                <w:sz w:val="24"/>
              </w:rPr>
              <w:t>台压铸机，集气罩边长</w:t>
            </w:r>
            <w:r>
              <w:rPr>
                <w:sz w:val="24"/>
              </w:rPr>
              <w:t>0.8</w:t>
            </w:r>
            <w:r>
              <w:rPr>
                <w:rFonts w:hint="eastAsia"/>
                <w:sz w:val="24"/>
              </w:rPr>
              <w:t>m×</w:t>
            </w:r>
            <w:r>
              <w:rPr>
                <w:sz w:val="24"/>
              </w:rPr>
              <w:t>0.8</w:t>
            </w:r>
            <w:r>
              <w:rPr>
                <w:rFonts w:hint="eastAsia"/>
                <w:sz w:val="24"/>
              </w:rPr>
              <w:t>m，则共计集气面积为</w:t>
            </w:r>
            <w:r>
              <w:rPr>
                <w:sz w:val="24"/>
              </w:rPr>
              <w:t>7.68</w:t>
            </w:r>
            <w:r>
              <w:rPr>
                <w:rFonts w:hint="eastAsia"/>
                <w:sz w:val="24"/>
              </w:rPr>
              <w:t>m</w:t>
            </w:r>
            <w:r>
              <w:rPr>
                <w:rFonts w:hint="eastAsia"/>
                <w:sz w:val="24"/>
                <w:vertAlign w:val="superscript"/>
              </w:rPr>
              <w:t>2</w:t>
            </w:r>
            <w:r>
              <w:rPr>
                <w:rFonts w:hint="eastAsia"/>
                <w:sz w:val="24"/>
              </w:rPr>
              <w:t>。根据《大气污染控制工程》中对控制点吸入风速的要求，项目污染物放散情况按“以较低的初速度放散到尚属平静的空气中”考虑，最小控制风速为0.5~1.0m/s，则最小风量为</w:t>
            </w:r>
            <w:r>
              <w:rPr>
                <w:sz w:val="24"/>
              </w:rPr>
              <w:t>13824</w:t>
            </w:r>
            <w:r>
              <w:rPr>
                <w:rFonts w:hint="eastAsia"/>
                <w:sz w:val="24"/>
              </w:rPr>
              <w:t>~</w:t>
            </w:r>
            <w:r>
              <w:rPr>
                <w:sz w:val="24"/>
              </w:rPr>
              <w:t>27648</w:t>
            </w:r>
            <w:r>
              <w:rPr>
                <w:rFonts w:hint="eastAsia"/>
                <w:sz w:val="24"/>
              </w:rPr>
              <w:t>m</w:t>
            </w:r>
            <w:r>
              <w:rPr>
                <w:rFonts w:hint="eastAsia"/>
                <w:sz w:val="24"/>
                <w:vertAlign w:val="superscript"/>
              </w:rPr>
              <w:t>3</w:t>
            </w:r>
            <w:r>
              <w:rPr>
                <w:rFonts w:hint="eastAsia"/>
                <w:sz w:val="24"/>
              </w:rPr>
              <w:t>/h，本项目风机设计风量为</w:t>
            </w:r>
            <w:r>
              <w:rPr>
                <w:sz w:val="24"/>
              </w:rPr>
              <w:t>150</w:t>
            </w:r>
            <w:r>
              <w:rPr>
                <w:rFonts w:hint="eastAsia"/>
                <w:sz w:val="24"/>
              </w:rPr>
              <w:t>00m</w:t>
            </w:r>
            <w:r>
              <w:rPr>
                <w:rFonts w:hint="eastAsia"/>
                <w:sz w:val="24"/>
                <w:vertAlign w:val="superscript"/>
              </w:rPr>
              <w:t>3</w:t>
            </w:r>
            <w:r>
              <w:rPr>
                <w:rFonts w:hint="eastAsia"/>
                <w:sz w:val="24"/>
              </w:rPr>
              <w:t>/h，因此，本次风机风量满足要求。</w:t>
            </w:r>
          </w:p>
          <w:p w14:paraId="53C056AA">
            <w:pPr>
              <w:adjustRightInd w:val="0"/>
              <w:snapToGrid w:val="0"/>
              <w:spacing w:line="360" w:lineRule="auto"/>
              <w:ind w:firstLine="405"/>
              <w:rPr>
                <w:snapToGrid w:val="0"/>
                <w:kern w:val="0"/>
                <w:sz w:val="24"/>
              </w:rPr>
            </w:pPr>
            <w:r>
              <w:rPr>
                <w:b/>
                <w:sz w:val="24"/>
              </w:rPr>
              <w:t>排气筒高度可行性分析：</w:t>
            </w:r>
            <w:r>
              <w:rPr>
                <w:sz w:val="24"/>
              </w:rPr>
              <w:t>根据</w:t>
            </w:r>
            <w:r>
              <w:rPr>
                <w:rFonts w:hint="eastAsia"/>
                <w:bCs/>
                <w:sz w:val="24"/>
              </w:rPr>
              <w:t>《大气污染物综合排放标准》（DB50/418-2016）</w:t>
            </w:r>
            <w:r>
              <w:rPr>
                <w:snapToGrid w:val="0"/>
                <w:kern w:val="0"/>
                <w:sz w:val="24"/>
              </w:rPr>
              <w:t>，除移动式除尘设备外，其他车间或生产设施排气筒高度不低于15m。本项目</w:t>
            </w:r>
            <w:r>
              <w:rPr>
                <w:rFonts w:hint="eastAsia"/>
                <w:bCs/>
                <w:sz w:val="24"/>
              </w:rPr>
              <w:t>“干燥+UV光解+活性炭吸附”装置</w:t>
            </w:r>
            <w:r>
              <w:rPr>
                <w:snapToGrid w:val="0"/>
                <w:kern w:val="0"/>
                <w:sz w:val="24"/>
              </w:rPr>
              <w:t>排气筒高度为20m，满足要求。</w:t>
            </w:r>
          </w:p>
          <w:p w14:paraId="593F64D9">
            <w:pPr>
              <w:adjustRightInd w:val="0"/>
              <w:snapToGrid w:val="0"/>
              <w:spacing w:line="360" w:lineRule="auto"/>
              <w:ind w:firstLine="405"/>
              <w:rPr>
                <w:bCs/>
                <w:spacing w:val="-10"/>
                <w:sz w:val="32"/>
              </w:rPr>
            </w:pPr>
            <w:r>
              <w:rPr>
                <w:rFonts w:hint="eastAsia" w:ascii="宋体" w:hAnsi="宋体" w:cs="宋体"/>
                <w:bCs/>
                <w:spacing w:val="-10"/>
                <w:sz w:val="24"/>
              </w:rPr>
              <w:t>③</w:t>
            </w:r>
            <w:r>
              <w:rPr>
                <w:rFonts w:hint="eastAsia"/>
                <w:sz w:val="24"/>
              </w:rPr>
              <w:t>表面清理工序和抛丸工序废气</w:t>
            </w:r>
          </w:p>
          <w:p w14:paraId="3C2DB4E1">
            <w:pPr>
              <w:adjustRightInd w:val="0"/>
              <w:snapToGrid w:val="0"/>
              <w:spacing w:line="360" w:lineRule="auto"/>
              <w:ind w:firstLine="480" w:firstLineChars="200"/>
              <w:rPr>
                <w:sz w:val="24"/>
              </w:rPr>
            </w:pPr>
            <w:r>
              <w:rPr>
                <w:rFonts w:hint="eastAsia"/>
                <w:sz w:val="24"/>
              </w:rPr>
              <w:t>项目表面清理工序颗粒物和抛丸工序颗粒物经同一套布袋除尘器处理后经</w:t>
            </w:r>
            <w:r>
              <w:rPr>
                <w:sz w:val="24"/>
                <w:szCs w:val="21"/>
              </w:rPr>
              <w:t>20m</w:t>
            </w:r>
            <w:r>
              <w:rPr>
                <w:rFonts w:hint="eastAsia"/>
                <w:sz w:val="24"/>
              </w:rPr>
              <w:t>高</w:t>
            </w:r>
            <w:r>
              <w:rPr>
                <w:sz w:val="24"/>
              </w:rPr>
              <w:t>3</w:t>
            </w:r>
            <w:r>
              <w:rPr>
                <w:rFonts w:hint="eastAsia"/>
                <w:sz w:val="24"/>
              </w:rPr>
              <w:t>#排气筒排放。项目共建设1</w:t>
            </w:r>
            <w:r>
              <w:rPr>
                <w:sz w:val="24"/>
              </w:rPr>
              <w:t>8</w:t>
            </w:r>
            <w:r>
              <w:rPr>
                <w:rFonts w:hint="eastAsia"/>
                <w:sz w:val="24"/>
              </w:rPr>
              <w:t>台表面清理平台，每个平台侧方建设0</w:t>
            </w:r>
            <w:r>
              <w:rPr>
                <w:sz w:val="24"/>
              </w:rPr>
              <w:t>.3</w:t>
            </w:r>
            <w:r>
              <w:rPr>
                <w:rFonts w:hint="eastAsia"/>
                <w:sz w:val="24"/>
              </w:rPr>
              <w:t>m×1m集气罩，集气效率</w:t>
            </w:r>
            <w:r>
              <w:rPr>
                <w:sz w:val="24"/>
              </w:rPr>
              <w:t>80</w:t>
            </w:r>
            <w:r>
              <w:rPr>
                <w:rFonts w:hint="eastAsia"/>
                <w:sz w:val="24"/>
              </w:rPr>
              <w:t>%，集气罩经抽风管道与防爆布袋除尘器相连。</w:t>
            </w:r>
          </w:p>
          <w:p w14:paraId="173B6BEF">
            <w:pPr>
              <w:adjustRightInd w:val="0"/>
              <w:snapToGrid w:val="0"/>
              <w:spacing w:line="360" w:lineRule="auto"/>
              <w:ind w:firstLine="480" w:firstLineChars="200"/>
              <w:rPr>
                <w:sz w:val="24"/>
              </w:rPr>
            </w:pPr>
            <w:r>
              <w:rPr>
                <w:rFonts w:hint="eastAsia"/>
                <w:sz w:val="24"/>
              </w:rPr>
              <w:t>抛丸工序共建设4台抛丸机，抛丸机自带滤筒除尘器，除尘效率6</w:t>
            </w:r>
            <w:r>
              <w:rPr>
                <w:sz w:val="24"/>
              </w:rPr>
              <w:t>0</w:t>
            </w:r>
            <w:r>
              <w:rPr>
                <w:rFonts w:hint="eastAsia"/>
                <w:sz w:val="24"/>
              </w:rPr>
              <w:t>%，滤筒除尘器排气口通过抽风管道与防爆布袋除尘器相连。防爆布袋除尘器处理效率9</w:t>
            </w:r>
            <w:r>
              <w:rPr>
                <w:sz w:val="24"/>
              </w:rPr>
              <w:t>0</w:t>
            </w:r>
            <w:r>
              <w:rPr>
                <w:rFonts w:hint="eastAsia"/>
                <w:sz w:val="24"/>
              </w:rPr>
              <w:t>%。</w:t>
            </w:r>
          </w:p>
          <w:p w14:paraId="1C16B5C1">
            <w:pPr>
              <w:adjustRightInd w:val="0"/>
              <w:snapToGrid w:val="0"/>
              <w:spacing w:line="360" w:lineRule="auto"/>
              <w:ind w:firstLine="480" w:firstLineChars="200"/>
              <w:rPr>
                <w:sz w:val="24"/>
              </w:rPr>
            </w:pPr>
          </w:p>
          <w:p w14:paraId="551EC6C5">
            <w:pPr>
              <w:adjustRightInd w:val="0"/>
              <w:snapToGrid w:val="0"/>
              <w:spacing w:line="360" w:lineRule="auto"/>
              <w:ind w:firstLine="480" w:firstLineChars="200"/>
              <w:rPr>
                <w:sz w:val="24"/>
              </w:rPr>
            </w:pPr>
          </w:p>
          <w:p w14:paraId="364D8E57">
            <w:pPr>
              <w:adjustRightInd w:val="0"/>
              <w:snapToGrid w:val="0"/>
              <w:spacing w:line="360" w:lineRule="auto"/>
              <w:jc w:val="center"/>
              <w:rPr>
                <w:rFonts w:ascii="宋体" w:hAnsi="宋体"/>
                <w:sz w:val="24"/>
              </w:rPr>
            </w:pPr>
            <w:r>
              <w:rPr>
                <w:bCs/>
                <w:spacing w:val="-10"/>
                <w:sz w:val="24"/>
              </w:rPr>
              <mc:AlternateContent>
                <mc:Choice Requires="wpc">
                  <w:drawing>
                    <wp:inline distT="0" distB="0" distL="0" distR="0">
                      <wp:extent cx="4900930" cy="2133600"/>
                      <wp:effectExtent l="0" t="0" r="0" b="0"/>
                      <wp:docPr id="534" name="画布 295"/>
                      <wp:cNvGraphicFramePr/>
                      <a:graphic xmlns:a="http://schemas.openxmlformats.org/drawingml/2006/main">
                        <a:graphicData uri="http://schemas.microsoft.com/office/word/2010/wordprocessingCanvas">
                          <wpc:wpc>
                            <wpc:bg>
                              <a:noFill/>
                            </wpc:bg>
                            <wpc:whole>
                              <a:ln>
                                <a:noFill/>
                              </a:ln>
                            </wpc:whole>
                            <wps:wsp>
                              <wps:cNvPr id="516" name="矩形 297"/>
                              <wps:cNvSpPr>
                                <a:spLocks noChangeArrowheads="1"/>
                              </wps:cNvSpPr>
                              <wps:spPr bwMode="auto">
                                <a:xfrm>
                                  <a:off x="0" y="234950"/>
                                  <a:ext cx="752475" cy="353695"/>
                                </a:xfrm>
                                <a:prstGeom prst="rect">
                                  <a:avLst/>
                                </a:prstGeom>
                                <a:noFill/>
                                <a:ln>
                                  <a:noFill/>
                                </a:ln>
                                <a:effectLst/>
                              </wps:spPr>
                              <wps:txbx>
                                <w:txbxContent>
                                  <w:p w14:paraId="092FA7F5">
                                    <w:pPr>
                                      <w:spacing w:line="300" w:lineRule="exact"/>
                                      <w:jc w:val="center"/>
                                      <w:rPr>
                                        <w:szCs w:val="21"/>
                                      </w:rPr>
                                    </w:pPr>
                                    <w:r>
                                      <w:rPr>
                                        <w:rFonts w:hint="eastAsia"/>
                                        <w:szCs w:val="21"/>
                                      </w:rPr>
                                      <w:t>抛丸废气</w:t>
                                    </w:r>
                                  </w:p>
                                </w:txbxContent>
                              </wps:txbx>
                              <wps:bodyPr rot="0" vert="horz" wrap="square" lIns="91440" tIns="45720" rIns="91440" bIns="45720" anchor="t" anchorCtr="0" upright="1">
                                <a:noAutofit/>
                              </wps:bodyPr>
                            </wps:wsp>
                            <wps:wsp>
                              <wps:cNvPr id="517" name="矩形 302"/>
                              <wps:cNvSpPr>
                                <a:spLocks noChangeArrowheads="1"/>
                              </wps:cNvSpPr>
                              <wps:spPr bwMode="auto">
                                <a:xfrm>
                                  <a:off x="2441828" y="227330"/>
                                  <a:ext cx="571500" cy="317500"/>
                                </a:xfrm>
                                <a:prstGeom prst="rect">
                                  <a:avLst/>
                                </a:prstGeom>
                                <a:noFill/>
                                <a:ln w="19050" algn="ctr">
                                  <a:solidFill>
                                    <a:srgbClr val="0D0D0D"/>
                                  </a:solidFill>
                                  <a:miter lim="800000"/>
                                </a:ln>
                                <a:effectLst/>
                              </wps:spPr>
                              <wps:txbx>
                                <w:txbxContent>
                                  <w:p w14:paraId="7DD4C148">
                                    <w:pPr>
                                      <w:spacing w:line="300" w:lineRule="exact"/>
                                      <w:jc w:val="center"/>
                                      <w:rPr>
                                        <w:sz w:val="22"/>
                                        <w:szCs w:val="22"/>
                                      </w:rPr>
                                    </w:pPr>
                                    <w:r>
                                      <w:rPr>
                                        <w:rFonts w:hint="eastAsia"/>
                                        <w:sz w:val="22"/>
                                        <w:szCs w:val="22"/>
                                      </w:rPr>
                                      <w:t>风机</w:t>
                                    </w:r>
                                  </w:p>
                                </w:txbxContent>
                              </wps:txbx>
                              <wps:bodyPr rot="0" vert="horz" wrap="square" lIns="91440" tIns="45720" rIns="91440" bIns="45720" anchor="t" anchorCtr="0" upright="1">
                                <a:noAutofit/>
                              </wps:bodyPr>
                            </wps:wsp>
                            <wps:wsp>
                              <wps:cNvPr id="518" name="直线 303"/>
                              <wps:cNvCnPr>
                                <a:cxnSpLocks noChangeShapeType="1"/>
                              </wps:cNvCnPr>
                              <wps:spPr bwMode="auto">
                                <a:xfrm flipV="1">
                                  <a:off x="2047875" y="401320"/>
                                  <a:ext cx="393953" cy="635"/>
                                </a:xfrm>
                                <a:prstGeom prst="line">
                                  <a:avLst/>
                                </a:prstGeom>
                                <a:noFill/>
                                <a:ln w="50800" cmpd="dbl">
                                  <a:solidFill>
                                    <a:srgbClr val="0D0D0D"/>
                                  </a:solidFill>
                                  <a:round/>
                                  <a:tailEnd type="stealth" w="med" len="med"/>
                                </a:ln>
                                <a:effectLst/>
                              </wps:spPr>
                              <wps:bodyPr/>
                            </wps:wsp>
                            <wps:wsp>
                              <wps:cNvPr id="519" name="矩形 307"/>
                              <wps:cNvSpPr>
                                <a:spLocks noChangeArrowheads="1"/>
                              </wps:cNvSpPr>
                              <wps:spPr bwMode="auto">
                                <a:xfrm>
                                  <a:off x="3420550" y="1286510"/>
                                  <a:ext cx="1263650" cy="480060"/>
                                </a:xfrm>
                                <a:prstGeom prst="rect">
                                  <a:avLst/>
                                </a:prstGeom>
                                <a:noFill/>
                                <a:ln w="19050" algn="ctr">
                                  <a:solidFill>
                                    <a:srgbClr val="000000"/>
                                  </a:solidFill>
                                  <a:miter lim="800000"/>
                                </a:ln>
                                <a:effectLst/>
                              </wps:spPr>
                              <wps:txbx>
                                <w:txbxContent>
                                  <w:p w14:paraId="518EAC37">
                                    <w:pPr>
                                      <w:spacing w:line="300" w:lineRule="exact"/>
                                      <w:jc w:val="center"/>
                                      <w:rPr>
                                        <w:sz w:val="22"/>
                                        <w:szCs w:val="22"/>
                                      </w:rPr>
                                    </w:pPr>
                                    <w:r>
                                      <w:rPr>
                                        <w:rFonts w:hint="eastAsia"/>
                                        <w:sz w:val="22"/>
                                        <w:szCs w:val="22"/>
                                      </w:rPr>
                                      <w:t>表面清理废气、抛丸废气排气筒</w:t>
                                    </w:r>
                                  </w:p>
                                </w:txbxContent>
                              </wps:txbx>
                              <wps:bodyPr rot="0" vert="horz" wrap="square" lIns="91440" tIns="45720" rIns="91440" bIns="45720" anchor="t" anchorCtr="0" upright="1">
                                <a:noAutofit/>
                              </wps:bodyPr>
                            </wps:wsp>
                            <wps:wsp>
                              <wps:cNvPr id="520" name="直线 308"/>
                              <wps:cNvCnPr>
                                <a:cxnSpLocks noChangeShapeType="1"/>
                              </wps:cNvCnPr>
                              <wps:spPr bwMode="auto">
                                <a:xfrm flipV="1">
                                  <a:off x="3743765" y="1948180"/>
                                  <a:ext cx="367030" cy="635"/>
                                </a:xfrm>
                                <a:prstGeom prst="line">
                                  <a:avLst/>
                                </a:prstGeom>
                                <a:noFill/>
                                <a:ln w="50800" cmpd="dbl">
                                  <a:solidFill>
                                    <a:srgbClr val="0D0D0D"/>
                                  </a:solidFill>
                                  <a:round/>
                                </a:ln>
                                <a:effectLst/>
                              </wps:spPr>
                              <wps:bodyPr/>
                            </wps:wsp>
                            <wps:wsp>
                              <wps:cNvPr id="521" name="矩形 310"/>
                              <wps:cNvSpPr>
                                <a:spLocks noChangeArrowheads="1"/>
                              </wps:cNvSpPr>
                              <wps:spPr bwMode="auto">
                                <a:xfrm>
                                  <a:off x="3165280" y="1805940"/>
                                  <a:ext cx="642620" cy="300990"/>
                                </a:xfrm>
                                <a:prstGeom prst="rect">
                                  <a:avLst/>
                                </a:prstGeom>
                                <a:noFill/>
                                <a:ln>
                                  <a:noFill/>
                                </a:ln>
                                <a:effectLst/>
                              </wps:spPr>
                              <wps:txbx>
                                <w:txbxContent>
                                  <w:p w14:paraId="0DDF69A3">
                                    <w:pPr>
                                      <w:spacing w:line="300" w:lineRule="exact"/>
                                      <w:jc w:val="center"/>
                                      <w:rPr>
                                        <w:sz w:val="22"/>
                                        <w:szCs w:val="22"/>
                                      </w:rPr>
                                    </w:pPr>
                                    <w:r>
                                      <w:rPr>
                                        <w:rFonts w:hint="eastAsia"/>
                                        <w:sz w:val="22"/>
                                        <w:szCs w:val="22"/>
                                      </w:rPr>
                                      <w:t>图例：</w:t>
                                    </w:r>
                                  </w:p>
                                </w:txbxContent>
                              </wps:txbx>
                              <wps:bodyPr rot="0" vert="horz" wrap="square" lIns="91440" tIns="45720" rIns="91440" bIns="45720" anchor="t" anchorCtr="0" upright="1">
                                <a:noAutofit/>
                              </wps:bodyPr>
                            </wps:wsp>
                            <wps:wsp>
                              <wps:cNvPr id="522" name="矩形 305"/>
                              <wps:cNvSpPr>
                                <a:spLocks noChangeArrowheads="1"/>
                              </wps:cNvSpPr>
                              <wps:spPr bwMode="auto">
                                <a:xfrm>
                                  <a:off x="3420550" y="141604"/>
                                  <a:ext cx="1122875" cy="487046"/>
                                </a:xfrm>
                                <a:prstGeom prst="rect">
                                  <a:avLst/>
                                </a:prstGeom>
                                <a:noFill/>
                                <a:ln w="19050" algn="ctr">
                                  <a:solidFill>
                                    <a:srgbClr val="0D0D0D"/>
                                  </a:solidFill>
                                  <a:miter lim="800000"/>
                                </a:ln>
                                <a:effectLst/>
                              </wps:spPr>
                              <wps:txbx>
                                <w:txbxContent>
                                  <w:p w14:paraId="4F40DF5D">
                                    <w:pPr>
                                      <w:spacing w:line="300" w:lineRule="exact"/>
                                      <w:jc w:val="center"/>
                                      <w:rPr>
                                        <w:sz w:val="24"/>
                                      </w:rPr>
                                    </w:pPr>
                                    <w:r>
                                      <w:rPr>
                                        <w:rFonts w:hint="eastAsia"/>
                                        <w:sz w:val="24"/>
                                      </w:rPr>
                                      <w:t>防爆布袋</w:t>
                                    </w:r>
                                  </w:p>
                                  <w:p w14:paraId="03C26E55">
                                    <w:pPr>
                                      <w:spacing w:line="300" w:lineRule="exact"/>
                                      <w:jc w:val="center"/>
                                      <w:rPr>
                                        <w:sz w:val="22"/>
                                        <w:szCs w:val="22"/>
                                      </w:rPr>
                                    </w:pPr>
                                    <w:r>
                                      <w:rPr>
                                        <w:rFonts w:hint="eastAsia"/>
                                        <w:sz w:val="24"/>
                                      </w:rPr>
                                      <w:t>除尘器</w:t>
                                    </w:r>
                                  </w:p>
                                </w:txbxContent>
                              </wps:txbx>
                              <wps:bodyPr rot="0" vert="horz" wrap="square" lIns="91440" tIns="45720" rIns="91440" bIns="45720" anchor="t" anchorCtr="0" upright="1">
                                <a:noAutofit/>
                              </wps:bodyPr>
                            </wps:wsp>
                            <wps:wsp>
                              <wps:cNvPr id="523" name="直线 304"/>
                              <wps:cNvSpPr/>
                              <wps:spPr bwMode="auto">
                                <a:xfrm>
                                  <a:off x="4512361" y="382270"/>
                                  <a:ext cx="345390" cy="1123950"/>
                                </a:xfrm>
                                <a:custGeom>
                                  <a:avLst/>
                                  <a:gdLst>
                                    <a:gd name="T0" fmla="*/ 299 w 761"/>
                                    <a:gd name="T1" fmla="*/ 1576 h 1576"/>
                                    <a:gd name="T2" fmla="*/ 761 w 761"/>
                                    <a:gd name="T3" fmla="*/ 1576 h 1576"/>
                                    <a:gd name="T4" fmla="*/ 761 w 761"/>
                                    <a:gd name="T5" fmla="*/ 0 h 1576"/>
                                    <a:gd name="T6" fmla="*/ 0 w 761"/>
                                    <a:gd name="T7" fmla="*/ 0 h 1576"/>
                                  </a:gdLst>
                                  <a:ahLst/>
                                  <a:cxnLst>
                                    <a:cxn ang="0">
                                      <a:pos x="T0" y="T1"/>
                                    </a:cxn>
                                    <a:cxn ang="0">
                                      <a:pos x="T2" y="T3"/>
                                    </a:cxn>
                                    <a:cxn ang="0">
                                      <a:pos x="T4" y="T5"/>
                                    </a:cxn>
                                    <a:cxn ang="0">
                                      <a:pos x="T6" y="T7"/>
                                    </a:cxn>
                                  </a:cxnLst>
                                  <a:rect l="0" t="0" r="r" b="b"/>
                                  <a:pathLst>
                                    <a:path w="761" h="1576">
                                      <a:moveTo>
                                        <a:pt x="299" y="1576"/>
                                      </a:moveTo>
                                      <a:lnTo>
                                        <a:pt x="761" y="1576"/>
                                      </a:lnTo>
                                      <a:lnTo>
                                        <a:pt x="761" y="0"/>
                                      </a:lnTo>
                                      <a:lnTo>
                                        <a:pt x="0" y="0"/>
                                      </a:lnTo>
                                    </a:path>
                                  </a:pathLst>
                                </a:custGeom>
                                <a:noFill/>
                                <a:ln w="50800" cmpd="dbl">
                                  <a:solidFill>
                                    <a:srgbClr val="0D0D0D"/>
                                  </a:solidFill>
                                  <a:round/>
                                  <a:headEnd type="stealth" w="med" len="med"/>
                                </a:ln>
                                <a:effectLst/>
                              </wps:spPr>
                              <wps:bodyPr rot="0" vert="horz" wrap="square" lIns="91440" tIns="45720" rIns="91440" bIns="45720" anchor="t" anchorCtr="0" upright="1">
                                <a:noAutofit/>
                              </wps:bodyPr>
                            </wps:wsp>
                            <wps:wsp>
                              <wps:cNvPr id="524" name="矩形 309"/>
                              <wps:cNvSpPr>
                                <a:spLocks noChangeArrowheads="1"/>
                              </wps:cNvSpPr>
                              <wps:spPr bwMode="auto">
                                <a:xfrm>
                                  <a:off x="4063366" y="1805940"/>
                                  <a:ext cx="822960" cy="300990"/>
                                </a:xfrm>
                                <a:prstGeom prst="rect">
                                  <a:avLst/>
                                </a:prstGeom>
                                <a:noFill/>
                                <a:ln>
                                  <a:noFill/>
                                </a:ln>
                                <a:effectLst/>
                              </wps:spPr>
                              <wps:txbx>
                                <w:txbxContent>
                                  <w:p w14:paraId="2B0CBAD4">
                                    <w:pPr>
                                      <w:spacing w:line="300" w:lineRule="exact"/>
                                      <w:jc w:val="center"/>
                                      <w:rPr>
                                        <w:sz w:val="22"/>
                                        <w:szCs w:val="22"/>
                                      </w:rPr>
                                    </w:pPr>
                                    <w:r>
                                      <w:rPr>
                                        <w:rFonts w:hint="eastAsia"/>
                                        <w:sz w:val="22"/>
                                        <w:szCs w:val="22"/>
                                      </w:rPr>
                                      <w:t>密闭管道</w:t>
                                    </w:r>
                                  </w:p>
                                </w:txbxContent>
                              </wps:txbx>
                              <wps:bodyPr rot="0" vert="horz" wrap="square" lIns="91440" tIns="45720" rIns="91440" bIns="45720" anchor="t" anchorCtr="0" upright="1">
                                <a:noAutofit/>
                              </wps:bodyPr>
                            </wps:wsp>
                            <wps:wsp>
                              <wps:cNvPr id="525" name="矩形 297"/>
                              <wps:cNvSpPr>
                                <a:spLocks noChangeArrowheads="1"/>
                              </wps:cNvSpPr>
                              <wps:spPr bwMode="auto">
                                <a:xfrm>
                                  <a:off x="416317" y="695325"/>
                                  <a:ext cx="717134" cy="485775"/>
                                </a:xfrm>
                                <a:prstGeom prst="rect">
                                  <a:avLst/>
                                </a:prstGeom>
                                <a:noFill/>
                                <a:ln>
                                  <a:noFill/>
                                </a:ln>
                                <a:effectLst/>
                              </wps:spPr>
                              <wps:txbx>
                                <w:txbxContent>
                                  <w:p w14:paraId="748DE409">
                                    <w:pPr>
                                      <w:spacing w:line="300" w:lineRule="exact"/>
                                      <w:jc w:val="center"/>
                                      <w:rPr>
                                        <w:szCs w:val="21"/>
                                      </w:rPr>
                                    </w:pPr>
                                    <w:r>
                                      <w:rPr>
                                        <w:rFonts w:hint="eastAsia"/>
                                        <w:szCs w:val="21"/>
                                      </w:rPr>
                                      <w:t>表面清理</w:t>
                                    </w:r>
                                    <w:r>
                                      <w:rPr>
                                        <w:szCs w:val="21"/>
                                      </w:rPr>
                                      <w:t>废气</w:t>
                                    </w:r>
                                  </w:p>
                                </w:txbxContent>
                              </wps:txbx>
                              <wps:bodyPr rot="0" vert="horz" wrap="square" lIns="91440" tIns="45720" rIns="91440" bIns="45720" anchor="t" anchorCtr="0" upright="1">
                                <a:noAutofit/>
                              </wps:bodyPr>
                            </wps:wsp>
                            <wps:wsp>
                              <wps:cNvPr id="526" name="矩形 302"/>
                              <wps:cNvSpPr>
                                <a:spLocks noChangeArrowheads="1"/>
                              </wps:cNvSpPr>
                              <wps:spPr bwMode="auto">
                                <a:xfrm>
                                  <a:off x="1587940" y="763270"/>
                                  <a:ext cx="717550" cy="317500"/>
                                </a:xfrm>
                                <a:prstGeom prst="rect">
                                  <a:avLst/>
                                </a:prstGeom>
                                <a:noFill/>
                                <a:ln w="19050" algn="ctr">
                                  <a:solidFill>
                                    <a:srgbClr val="0D0D0D"/>
                                  </a:solidFill>
                                  <a:miter lim="800000"/>
                                </a:ln>
                                <a:effectLst/>
                              </wps:spPr>
                              <wps:txbx>
                                <w:txbxContent>
                                  <w:p w14:paraId="11BD0E77">
                                    <w:pPr>
                                      <w:spacing w:line="300" w:lineRule="exact"/>
                                      <w:jc w:val="center"/>
                                      <w:rPr>
                                        <w:sz w:val="22"/>
                                        <w:szCs w:val="22"/>
                                      </w:rPr>
                                    </w:pPr>
                                    <w:r>
                                      <w:rPr>
                                        <w:rFonts w:hint="eastAsia"/>
                                        <w:sz w:val="22"/>
                                        <w:szCs w:val="22"/>
                                      </w:rPr>
                                      <w:t>集气罩</w:t>
                                    </w:r>
                                  </w:p>
                                </w:txbxContent>
                              </wps:txbx>
                              <wps:bodyPr rot="0" vert="horz" wrap="square" lIns="91440" tIns="45720" rIns="91440" bIns="45720" anchor="t" anchorCtr="0" upright="1">
                                <a:noAutofit/>
                              </wps:bodyPr>
                            </wps:wsp>
                            <wps:wsp>
                              <wps:cNvPr id="527" name="AutoShape 586"/>
                              <wps:cNvCnPr>
                                <a:cxnSpLocks noChangeShapeType="1"/>
                              </wps:cNvCnPr>
                              <wps:spPr bwMode="auto">
                                <a:xfrm flipV="1">
                                  <a:off x="1076325" y="922020"/>
                                  <a:ext cx="511496" cy="3175"/>
                                </a:xfrm>
                                <a:prstGeom prst="straightConnector1">
                                  <a:avLst/>
                                </a:prstGeom>
                                <a:noFill/>
                                <a:ln w="9525">
                                  <a:solidFill>
                                    <a:srgbClr val="000000"/>
                                  </a:solidFill>
                                  <a:round/>
                                  <a:tailEnd type="triangle" w="med" len="med"/>
                                </a:ln>
                              </wps:spPr>
                              <wps:bodyPr/>
                            </wps:wsp>
                            <wps:wsp>
                              <wps:cNvPr id="528" name="直线 303"/>
                              <wps:cNvSpPr/>
                              <wps:spPr bwMode="auto">
                                <a:xfrm>
                                  <a:off x="2305490" y="514350"/>
                                  <a:ext cx="399610" cy="410845"/>
                                </a:xfrm>
                                <a:custGeom>
                                  <a:avLst/>
                                  <a:gdLst>
                                    <a:gd name="T0" fmla="*/ 0 w 505"/>
                                    <a:gd name="T1" fmla="*/ 559 h 564"/>
                                    <a:gd name="T2" fmla="*/ 505 w 505"/>
                                    <a:gd name="T3" fmla="*/ 564 h 564"/>
                                    <a:gd name="T4" fmla="*/ 505 w 505"/>
                                    <a:gd name="T5" fmla="*/ 0 h 564"/>
                                  </a:gdLst>
                                  <a:ahLst/>
                                  <a:cxnLst>
                                    <a:cxn ang="0">
                                      <a:pos x="T0" y="T1"/>
                                    </a:cxn>
                                    <a:cxn ang="0">
                                      <a:pos x="T2" y="T3"/>
                                    </a:cxn>
                                    <a:cxn ang="0">
                                      <a:pos x="T4" y="T5"/>
                                    </a:cxn>
                                  </a:cxnLst>
                                  <a:rect l="0" t="0" r="r" b="b"/>
                                  <a:pathLst>
                                    <a:path w="505" h="564">
                                      <a:moveTo>
                                        <a:pt x="0" y="559"/>
                                      </a:moveTo>
                                      <a:lnTo>
                                        <a:pt x="505" y="564"/>
                                      </a:lnTo>
                                      <a:lnTo>
                                        <a:pt x="505" y="0"/>
                                      </a:lnTo>
                                    </a:path>
                                  </a:pathLst>
                                </a:custGeom>
                                <a:noFill/>
                                <a:ln w="50800" cmpd="dbl">
                                  <a:solidFill>
                                    <a:srgbClr val="0D0D0D"/>
                                  </a:solidFill>
                                  <a:round/>
                                  <a:tailEnd type="stealth" w="med" len="med"/>
                                </a:ln>
                                <a:effectLst/>
                              </wps:spPr>
                              <wps:bodyPr rot="0" vert="horz" wrap="square" lIns="91440" tIns="45720" rIns="91440" bIns="45720" anchor="t" anchorCtr="0" upright="1">
                                <a:noAutofit/>
                              </wps:bodyPr>
                            </wps:wsp>
                            <wps:wsp>
                              <wps:cNvPr id="529" name="直线 303"/>
                              <wps:cNvCnPr>
                                <a:cxnSpLocks noChangeShapeType="1"/>
                              </wps:cNvCnPr>
                              <wps:spPr bwMode="auto">
                                <a:xfrm flipV="1">
                                  <a:off x="3013328" y="382905"/>
                                  <a:ext cx="407222" cy="635"/>
                                </a:xfrm>
                                <a:prstGeom prst="line">
                                  <a:avLst/>
                                </a:prstGeom>
                                <a:noFill/>
                                <a:ln w="50800" cmpd="dbl">
                                  <a:solidFill>
                                    <a:srgbClr val="0D0D0D"/>
                                  </a:solidFill>
                                  <a:round/>
                                  <a:tailEnd type="stealth" w="med" len="med"/>
                                </a:ln>
                                <a:effectLst/>
                              </wps:spPr>
                              <wps:bodyPr/>
                            </wps:wsp>
                            <wps:wsp>
                              <wps:cNvPr id="530" name="矩形 302"/>
                              <wps:cNvSpPr>
                                <a:spLocks noChangeArrowheads="1"/>
                              </wps:cNvSpPr>
                              <wps:spPr bwMode="auto">
                                <a:xfrm>
                                  <a:off x="1133451" y="234950"/>
                                  <a:ext cx="904899" cy="317500"/>
                                </a:xfrm>
                                <a:prstGeom prst="rect">
                                  <a:avLst/>
                                </a:prstGeom>
                                <a:noFill/>
                                <a:ln w="19050" algn="ctr">
                                  <a:solidFill>
                                    <a:srgbClr val="0D0D0D"/>
                                  </a:solidFill>
                                  <a:miter lim="800000"/>
                                </a:ln>
                                <a:effectLst/>
                              </wps:spPr>
                              <wps:txbx>
                                <w:txbxContent>
                                  <w:p w14:paraId="231F159D">
                                    <w:pPr>
                                      <w:spacing w:line="300" w:lineRule="exact"/>
                                      <w:jc w:val="center"/>
                                      <w:rPr>
                                        <w:sz w:val="22"/>
                                        <w:szCs w:val="22"/>
                                      </w:rPr>
                                    </w:pPr>
                                    <w:r>
                                      <w:rPr>
                                        <w:rFonts w:hint="eastAsia"/>
                                        <w:sz w:val="22"/>
                                        <w:szCs w:val="22"/>
                                      </w:rPr>
                                      <w:t>滤筒除尘器</w:t>
                                    </w:r>
                                  </w:p>
                                </w:txbxContent>
                              </wps:txbx>
                              <wps:bodyPr rot="0" vert="horz" wrap="square" lIns="91440" tIns="45720" rIns="91440" bIns="45720" anchor="t" anchorCtr="0" upright="1">
                                <a:noAutofit/>
                              </wps:bodyPr>
                            </wps:wsp>
                            <wps:wsp>
                              <wps:cNvPr id="531" name="直线 303"/>
                              <wps:cNvCnPr>
                                <a:cxnSpLocks noChangeShapeType="1"/>
                              </wps:cNvCnPr>
                              <wps:spPr bwMode="auto">
                                <a:xfrm flipV="1">
                                  <a:off x="710947" y="382905"/>
                                  <a:ext cx="393953" cy="635"/>
                                </a:xfrm>
                                <a:prstGeom prst="line">
                                  <a:avLst/>
                                </a:prstGeom>
                                <a:noFill/>
                                <a:ln w="50800" cmpd="dbl">
                                  <a:solidFill>
                                    <a:srgbClr val="0D0D0D"/>
                                  </a:solidFill>
                                  <a:round/>
                                  <a:tailEnd type="stealth" w="med" len="med"/>
                                </a:ln>
                                <a:effectLst/>
                              </wps:spPr>
                              <wps:bodyPr/>
                            </wps:wsp>
                          </wpc:wpc>
                        </a:graphicData>
                      </a:graphic>
                    </wp:inline>
                  </w:drawing>
                </mc:Choice>
                <mc:Fallback>
                  <w:pict>
                    <v:group id="画布 295" o:spid="_x0000_s1026" o:spt="203" style="height:168pt;width:385.9pt;" coordsize="4900930,2133600" editas="canvas" o:gfxdata="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Aoaqss1wAAAAUBAAAPAAAAAAAAAAEAIAAAACIA&#10;AABkcnMvZG93bnJldi54bWxQSwECFAAUAAAACACHTuJAmT7MgJsHAAAFLgAADgAAAAAAAAABACAA&#10;AAAmAQAAZHJzL2Uyb0RvYy54bWxQSwUGAAAAAAYABgBZAQAAMwsAAAAA&#10;">
                      <o:lock v:ext="edit" aspectratio="f"/>
                      <v:shape id="画布 295" o:spid="_x0000_s1026" style="position:absolute;left:0;top:0;height:2133600;width:4900930;" filled="f" stroked="f" coordsize="21600,21600" o:gfxdata="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Aoaqss1wAAAAUBAAAPAAAAAAAAAAEAIAAAACIAAABkcnMvZG93bnJl&#10;di54bWxQSwECFAAUAAAACACHTuJAHwiHk1YHAAB+LQAADgAAAAAAAAABACAAAAAmAQAAZHJzL2Uy&#10;b0RvYy54bWxQSwUGAAAAAAYABgBZAQAA7goAAAAA&#10;">
                        <v:fill on="f" focussize="0,0"/>
                        <v:stroke on="f"/>
                        <v:imagedata o:title=""/>
                        <o:lock v:ext="edit" aspectratio="f"/>
                      </v:shape>
                      <v:rect id="矩形 297" o:spid="_x0000_s1026" o:spt="1" style="position:absolute;left:0;top:234950;height:353695;width:752475;" filled="f" stroked="f" coordsize="21600,21600" o:gfxdata="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GqrLNcAAAAFAQAA&#10;DwAAAAAAAAABACAAAAAiAAAAZHJzL2Rvd25yZXYueG1sUEsBAhQAFAAAAAgAh07iQLeLWEUaAgAA&#10;HgQAAA4AAAAAAAAAAQAgAAAAJgEAAGRycy9lMm9Eb2MueG1sUEsFBgAAAAAGAAYAWQEAALIFAAAA&#10;AA==&#10;">
                        <v:fill on="f" focussize="0,0"/>
                        <v:stroke on="f"/>
                        <v:imagedata o:title=""/>
                        <o:lock v:ext="edit" aspectratio="f"/>
                        <v:textbox>
                          <w:txbxContent>
                            <w:p w14:paraId="092FA7F5">
                              <w:pPr>
                                <w:spacing w:line="300" w:lineRule="exact"/>
                                <w:jc w:val="center"/>
                                <w:rPr>
                                  <w:szCs w:val="21"/>
                                </w:rPr>
                              </w:pPr>
                              <w:r>
                                <w:rPr>
                                  <w:rFonts w:hint="eastAsia"/>
                                  <w:szCs w:val="21"/>
                                </w:rPr>
                                <w:t>抛丸废气</w:t>
                              </w:r>
                            </w:p>
                          </w:txbxContent>
                        </v:textbox>
                      </v:rect>
                      <v:rect id="矩形 302" o:spid="_x0000_s1026" o:spt="1" style="position:absolute;left:2441828;top:227330;height:317500;width:571500;" filled="f" stroked="t" coordsize="21600,21600" o:gfxdata="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T4jeR0wAAAAUBAAAPAAAAAAAAAAEA&#10;IAAAACIAAABkcnMvZG93bnJldi54bWxQSwECFAAUAAAACACHTuJAxoG24k0CAAB5BAAADgAAAAAA&#10;AAABACAAAAAiAQAAZHJzL2Uyb0RvYy54bWxQSwUGAAAAAAYABgBZAQAA4QUAAAAA&#10;">
                        <v:fill on="f" focussize="0,0"/>
                        <v:stroke weight="1.5pt" color="#0D0D0D" miterlimit="8" joinstyle="miter"/>
                        <v:imagedata o:title=""/>
                        <o:lock v:ext="edit" aspectratio="f"/>
                        <v:textbox>
                          <w:txbxContent>
                            <w:p w14:paraId="7DD4C148">
                              <w:pPr>
                                <w:spacing w:line="300" w:lineRule="exact"/>
                                <w:jc w:val="center"/>
                                <w:rPr>
                                  <w:sz w:val="22"/>
                                  <w:szCs w:val="22"/>
                                </w:rPr>
                              </w:pPr>
                              <w:r>
                                <w:rPr>
                                  <w:rFonts w:hint="eastAsia"/>
                                  <w:sz w:val="22"/>
                                  <w:szCs w:val="22"/>
                                </w:rPr>
                                <w:t>风机</w:t>
                              </w:r>
                            </w:p>
                          </w:txbxContent>
                        </v:textbox>
                      </v:rect>
                      <v:line id="直线 303" o:spid="_x0000_s1026" o:spt="20" style="position:absolute;left:2047875;top:401320;flip:y;height:635;width:393953;" filled="f" stroked="t" coordsize="21600,21600" o:gfxdata="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MjKtUAAAAFAQAADwAAAAAA&#10;AAABACAAAAAiAAAAZHJzL2Rvd25yZXYueG1sUEsBAhQAFAAAAAgAh07iQLgBaigWAgAAAgQAAA4A&#10;AAAAAAAAAQAgAAAAJAEAAGRycy9lMm9Eb2MueG1sUEsFBgAAAAAGAAYAWQEAAKwFAAAAAA==&#10;">
                        <v:fill on="f" focussize="0,0"/>
                        <v:stroke weight="4pt" color="#0D0D0D" linestyle="thinThin" joinstyle="round" endarrow="classic"/>
                        <v:imagedata o:title=""/>
                        <o:lock v:ext="edit" aspectratio="f"/>
                      </v:line>
                      <v:rect id="矩形 307" o:spid="_x0000_s1026" o:spt="1" style="position:absolute;left:3420550;top:1286510;height:480060;width:1263650;" filled="f" stroked="t" coordsize="21600,21600" o:gfxdata="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HXZM9cAAAAFAQAADwAA&#10;AAAAAAABACAAAAAiAAAAZHJzL2Rvd25yZXYueG1sUEsBAhQAFAAAAAgAh07iQKA0bJhQAgAAewQA&#10;AA4AAAAAAAAAAQAgAAAAJgEAAGRycy9lMm9Eb2MueG1sUEsFBgAAAAAGAAYAWQEAAOgFAAAAAA==&#10;">
                        <v:fill on="f" focussize="0,0"/>
                        <v:stroke weight="1.5pt" color="#000000" miterlimit="8" joinstyle="miter"/>
                        <v:imagedata o:title=""/>
                        <o:lock v:ext="edit" aspectratio="f"/>
                        <v:textbox>
                          <w:txbxContent>
                            <w:p w14:paraId="518EAC37">
                              <w:pPr>
                                <w:spacing w:line="300" w:lineRule="exact"/>
                                <w:jc w:val="center"/>
                                <w:rPr>
                                  <w:sz w:val="22"/>
                                  <w:szCs w:val="22"/>
                                </w:rPr>
                              </w:pPr>
                              <w:r>
                                <w:rPr>
                                  <w:rFonts w:hint="eastAsia"/>
                                  <w:sz w:val="22"/>
                                  <w:szCs w:val="22"/>
                                </w:rPr>
                                <w:t>表面清理废气、抛丸废气排气筒</w:t>
                              </w:r>
                            </w:p>
                          </w:txbxContent>
                        </v:textbox>
                      </v:rect>
                      <v:line id="直线 308" o:spid="_x0000_s1026" o:spt="20" style="position:absolute;left:3743765;top:1948180;flip:y;height:635;width:367030;" filled="f" stroked="t" coordsize="21600,21600" o:gfxdata="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DPl21AAAAAUBAAAPAAAAAAAAAAEAIAAAACIAAABkcnMvZG93bnJldi54bWxQ&#10;SwECFAAUAAAACACHTuJAp8HihfsBAADWAwAADgAAAAAAAAABACAAAAAjAQAAZHJzL2Uyb0RvYy54&#10;bWxQSwUGAAAAAAYABgBZAQAAkAUAAAAA&#10;">
                        <v:fill on="f" focussize="0,0"/>
                        <v:stroke weight="4pt" color="#0D0D0D" linestyle="thinThin" joinstyle="round"/>
                        <v:imagedata o:title=""/>
                        <o:lock v:ext="edit" aspectratio="f"/>
                      </v:line>
                      <v:rect id="矩形 310" o:spid="_x0000_s1026" o:spt="1" style="position:absolute;left:3165280;top:1805940;height:300990;width:642620;" filled="f" stroked="f" coordsize="21600,21600" o:gfxdata="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oaqss1wAA&#10;AAUBAAAPAAAAAAAAAAEAIAAAACIAAABkcnMvZG93bnJldi54bWxQSwECFAAUAAAACACHTuJA8T66&#10;Vx8CAAAlBAAADgAAAAAAAAABACAAAAAmAQAAZHJzL2Uyb0RvYy54bWxQSwUGAAAAAAYABgBZAQAA&#10;twUAAAAA&#10;">
                        <v:fill on="f" focussize="0,0"/>
                        <v:stroke on="f"/>
                        <v:imagedata o:title=""/>
                        <o:lock v:ext="edit" aspectratio="f"/>
                        <v:textbox>
                          <w:txbxContent>
                            <w:p w14:paraId="0DDF69A3">
                              <w:pPr>
                                <w:spacing w:line="300" w:lineRule="exact"/>
                                <w:jc w:val="center"/>
                                <w:rPr>
                                  <w:sz w:val="22"/>
                                  <w:szCs w:val="22"/>
                                </w:rPr>
                              </w:pPr>
                              <w:r>
                                <w:rPr>
                                  <w:rFonts w:hint="eastAsia"/>
                                  <w:sz w:val="22"/>
                                  <w:szCs w:val="22"/>
                                </w:rPr>
                                <w:t>图例：</w:t>
                              </w:r>
                            </w:p>
                          </w:txbxContent>
                        </v:textbox>
                      </v:rect>
                      <v:rect id="矩形 305" o:spid="_x0000_s1026" o:spt="1" style="position:absolute;left:3420550;top:141604;height:487046;width:1122875;" filled="f" stroked="t" coordsize="21600,21600" o:gfxdata="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I3kdMAAAAFAQAADwAAAAAA&#10;AAABACAAAAAiAAAAZHJzL2Rvd25yZXYueG1sUEsBAhQAFAAAAAgAh07iQBHUZwlRAgAAegQAAA4A&#10;AAAAAAAAAQAgAAAAIgEAAGRycy9lMm9Eb2MueG1sUEsFBgAAAAAGAAYAWQEAAOUFAAAAAA==&#10;">
                        <v:fill on="f" focussize="0,0"/>
                        <v:stroke weight="1.5pt" color="#0D0D0D" miterlimit="8" joinstyle="miter"/>
                        <v:imagedata o:title=""/>
                        <o:lock v:ext="edit" aspectratio="f"/>
                        <v:textbox>
                          <w:txbxContent>
                            <w:p w14:paraId="4F40DF5D">
                              <w:pPr>
                                <w:spacing w:line="300" w:lineRule="exact"/>
                                <w:jc w:val="center"/>
                                <w:rPr>
                                  <w:sz w:val="24"/>
                                </w:rPr>
                              </w:pPr>
                              <w:r>
                                <w:rPr>
                                  <w:rFonts w:hint="eastAsia"/>
                                  <w:sz w:val="24"/>
                                </w:rPr>
                                <w:t>防爆布袋</w:t>
                              </w:r>
                            </w:p>
                            <w:p w14:paraId="03C26E55">
                              <w:pPr>
                                <w:spacing w:line="300" w:lineRule="exact"/>
                                <w:jc w:val="center"/>
                                <w:rPr>
                                  <w:sz w:val="22"/>
                                  <w:szCs w:val="22"/>
                                </w:rPr>
                              </w:pPr>
                              <w:r>
                                <w:rPr>
                                  <w:rFonts w:hint="eastAsia"/>
                                  <w:sz w:val="24"/>
                                </w:rPr>
                                <w:t>除尘器</w:t>
                              </w:r>
                            </w:p>
                          </w:txbxContent>
                        </v:textbox>
                      </v:rect>
                      <v:shape id="直线 304" o:spid="_x0000_s1026" o:spt="100" style="position:absolute;left:4512361;top:382270;height:1123950;width:345390;" filled="f" stroked="t" coordsize="761,1576" o:gfxdata="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QcBLdUAAAAFAQAADwAAAAAAAAABACAAAAAiAAAAZHJzL2Rvd25y&#10;ZXYueG1sUEsBAhQAFAAAAAgAh07iQD4Q3JkeAwAAWwcAAA4AAAAAAAAAAQAgAAAAJAEAAGRycy9l&#10;Mm9Eb2MueG1sUEsFBgAAAAAGAAYAWQEAALQGAAAAAA==&#10;" path="m299,1576l761,1576,761,0,0,0e">
                        <v:path o:connectlocs="135705,1123950;345390,1123950;345390,0;0,0" o:connectangles="0,0,0,0"/>
                        <v:fill on="f" focussize="0,0"/>
                        <v:stroke weight="4pt" color="#0D0D0D" linestyle="thinThin" joinstyle="round" startarrow="classic"/>
                        <v:imagedata o:title=""/>
                        <o:lock v:ext="edit" aspectratio="f"/>
                      </v:shape>
                      <v:rect id="矩形 309" o:spid="_x0000_s1026" o:spt="1" style="position:absolute;left:4063366;top:1805940;height:300990;width:822960;" filled="f" stroked="f" coordsize="21600,21600" o:gfxdata="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GqrLNcA&#10;AAAFAQAADwAAAAAAAAABACAAAAAiAAAAZHJzL2Rvd25yZXYueG1sUEsBAhQAFAAAAAgAh07iQDrt&#10;SIQgAgAAJQQAAA4AAAAAAAAAAQAgAAAAJgEAAGRycy9lMm9Eb2MueG1sUEsFBgAAAAAGAAYAWQEA&#10;ALgFAAAAAA==&#10;">
                        <v:fill on="f" focussize="0,0"/>
                        <v:stroke on="f"/>
                        <v:imagedata o:title=""/>
                        <o:lock v:ext="edit" aspectratio="f"/>
                        <v:textbox>
                          <w:txbxContent>
                            <w:p w14:paraId="2B0CBAD4">
                              <w:pPr>
                                <w:spacing w:line="300" w:lineRule="exact"/>
                                <w:jc w:val="center"/>
                                <w:rPr>
                                  <w:sz w:val="22"/>
                                  <w:szCs w:val="22"/>
                                </w:rPr>
                              </w:pPr>
                              <w:r>
                                <w:rPr>
                                  <w:rFonts w:hint="eastAsia"/>
                                  <w:sz w:val="22"/>
                                  <w:szCs w:val="22"/>
                                </w:rPr>
                                <w:t>密闭管道</w:t>
                              </w:r>
                            </w:p>
                          </w:txbxContent>
                        </v:textbox>
                      </v:rect>
                      <v:rect id="矩形 297" o:spid="_x0000_s1026" o:spt="1" style="position:absolute;left:416317;top:695325;height:485775;width:717134;" filled="f" stroked="f" coordsize="21600,21600" o:gfxdata="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oaqss1wAA&#10;AAUBAAAPAAAAAAAAAAEAIAAAACIAAABkcnMvZG93bnJldi54bWxQSwECFAAUAAAACACHTuJAAfeJ&#10;Jx8CAAAjBAAADgAAAAAAAAABACAAAAAmAQAAZHJzL2Uyb0RvYy54bWxQSwUGAAAAAAYABgBZAQAA&#10;twUAAAAA&#10;">
                        <v:fill on="f" focussize="0,0"/>
                        <v:stroke on="f"/>
                        <v:imagedata o:title=""/>
                        <o:lock v:ext="edit" aspectratio="f"/>
                        <v:textbox>
                          <w:txbxContent>
                            <w:p w14:paraId="748DE409">
                              <w:pPr>
                                <w:spacing w:line="300" w:lineRule="exact"/>
                                <w:jc w:val="center"/>
                                <w:rPr>
                                  <w:szCs w:val="21"/>
                                </w:rPr>
                              </w:pPr>
                              <w:r>
                                <w:rPr>
                                  <w:rFonts w:hint="eastAsia"/>
                                  <w:szCs w:val="21"/>
                                </w:rPr>
                                <w:t>表面清理</w:t>
                              </w:r>
                              <w:r>
                                <w:rPr>
                                  <w:szCs w:val="21"/>
                                </w:rPr>
                                <w:t>废气</w:t>
                              </w:r>
                            </w:p>
                          </w:txbxContent>
                        </v:textbox>
                      </v:rect>
                      <v:rect id="矩形 302" o:spid="_x0000_s1026" o:spt="1" style="position:absolute;left:1587940;top:763270;height:317500;width:717550;" filled="f" stroked="t" coordsize="21600,21600" o:gfxdata="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PiN5HTAAAABQEAAA8AAAAAAAAA&#10;AQAgAAAAIgAAAGRycy9kb3ducmV2LnhtbFBLAQIUABQAAAAIAIdO4kBup2coTwIAAHkEAAAOAAAA&#10;AAAAAAEAIAAAACIBAABkcnMvZTJvRG9jLnhtbFBLBQYAAAAABgAGAFkBAADjBQAAAAA=&#10;">
                        <v:fill on="f" focussize="0,0"/>
                        <v:stroke weight="1.5pt" color="#0D0D0D" miterlimit="8" joinstyle="miter"/>
                        <v:imagedata o:title=""/>
                        <o:lock v:ext="edit" aspectratio="f"/>
                        <v:textbox>
                          <w:txbxContent>
                            <w:p w14:paraId="11BD0E77">
                              <w:pPr>
                                <w:spacing w:line="300" w:lineRule="exact"/>
                                <w:jc w:val="center"/>
                                <w:rPr>
                                  <w:sz w:val="22"/>
                                  <w:szCs w:val="22"/>
                                </w:rPr>
                              </w:pPr>
                              <w:r>
                                <w:rPr>
                                  <w:rFonts w:hint="eastAsia"/>
                                  <w:sz w:val="22"/>
                                  <w:szCs w:val="22"/>
                                </w:rPr>
                                <w:t>集气罩</w:t>
                              </w:r>
                            </w:p>
                          </w:txbxContent>
                        </v:textbox>
                      </v:rect>
                      <v:shape id="AutoShape 586" o:spid="_x0000_s1026" o:spt="32" type="#_x0000_t32" style="position:absolute;left:1076325;top:922020;flip:y;height:3175;width:511496;" filled="f" stroked="t" coordsize="21600,21600" o:gfxdata="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6mQ31gAAAAUBAAAPAAAAAAAAAAEAIAAAACIAAABkcnMv&#10;ZG93bnJldi54bWxQSwECFAAUAAAACACHTuJAqAsEBgUCAAD7AwAADgAAAAAAAAABACAAAAAlAQAA&#10;ZHJzL2Uyb0RvYy54bWxQSwUGAAAAAAYABgBZAQAAnAUAAAAA&#10;">
                        <v:fill on="f" focussize="0,0"/>
                        <v:stroke color="#000000" joinstyle="round" endarrow="block"/>
                        <v:imagedata o:title=""/>
                        <o:lock v:ext="edit" aspectratio="f"/>
                      </v:shape>
                      <v:shape id="直线 303" o:spid="_x0000_s1026" o:spt="100" style="position:absolute;left:2305490;top:514350;height:410845;width:399610;" filled="f" stroked="t" coordsize="505,564" o:gfxdata="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cqM1YNQAAAAF&#10;AQAADwAAAAAAAAABACAAAAAiAAAAZHJzL2Rvd25yZXYueG1sUEsBAhQAFAAAAAgAh07iQGrRscsE&#10;AwAAtgYAAA4AAAAAAAAAAQAgAAAAIwEAAGRycy9lMm9Eb2MueG1sUEsFBgAAAAAGAAYAWQEAAJkG&#10;AAAAAA==&#10;" path="m0,559l505,564,505,0e">
                        <v:path o:connectlocs="0,407202;399610,410845;399610,0" o:connectangles="0,0,0"/>
                        <v:fill on="f" focussize="0,0"/>
                        <v:stroke weight="4pt" color="#0D0D0D" linestyle="thinThin" joinstyle="round" endarrow="classic"/>
                        <v:imagedata o:title=""/>
                        <o:lock v:ext="edit" aspectratio="f"/>
                      </v:shape>
                      <v:line id="直线 303" o:spid="_x0000_s1026" o:spt="20" style="position:absolute;left:3013328;top:382905;flip:y;height:635;width:407222;" filled="f" stroked="t" coordsize="21600,21600" o:gfxdata="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gyMq1QAAAAUBAAAPAAAAAAAA&#10;AAEAIAAAACIAAABkcnMvZG93bnJldi54bWxQSwECFAAUAAAACACHTuJAurSjThUCAAACBAAADgAA&#10;AAAAAAABACAAAAAkAQAAZHJzL2Uyb0RvYy54bWxQSwUGAAAAAAYABgBZAQAAqwUAAAAA&#10;">
                        <v:fill on="f" focussize="0,0"/>
                        <v:stroke weight="4pt" color="#0D0D0D" linestyle="thinThin" joinstyle="round" endarrow="classic"/>
                        <v:imagedata o:title=""/>
                        <o:lock v:ext="edit" aspectratio="f"/>
                      </v:line>
                      <v:rect id="矩形 302" o:spid="_x0000_s1026" o:spt="1" style="position:absolute;left:1133451;top:234950;height:317500;width:904899;" filled="f" stroked="t" coordsize="21600,21600" o:gfxdata="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I3kdMAAAAFAQAADwAAAAAA&#10;AAABACAAAAAiAAAAZHJzL2Rvd25yZXYueG1sUEsBAhQAFAAAAAgAh07iQMPbnY9RAgAAeQQAAA4A&#10;AAAAAAAAAQAgAAAAIgEAAGRycy9lMm9Eb2MueG1sUEsFBgAAAAAGAAYAWQEAAOUFAAAAAA==&#10;">
                        <v:fill on="f" focussize="0,0"/>
                        <v:stroke weight="1.5pt" color="#0D0D0D" miterlimit="8" joinstyle="miter"/>
                        <v:imagedata o:title=""/>
                        <o:lock v:ext="edit" aspectratio="f"/>
                        <v:textbox>
                          <w:txbxContent>
                            <w:p w14:paraId="231F159D">
                              <w:pPr>
                                <w:spacing w:line="300" w:lineRule="exact"/>
                                <w:jc w:val="center"/>
                                <w:rPr>
                                  <w:sz w:val="22"/>
                                  <w:szCs w:val="22"/>
                                </w:rPr>
                              </w:pPr>
                              <w:r>
                                <w:rPr>
                                  <w:rFonts w:hint="eastAsia"/>
                                  <w:sz w:val="22"/>
                                  <w:szCs w:val="22"/>
                                </w:rPr>
                                <w:t>滤筒除尘器</w:t>
                              </w:r>
                            </w:p>
                          </w:txbxContent>
                        </v:textbox>
                      </v:rect>
                      <v:line id="直线 303" o:spid="_x0000_s1026" o:spt="20" style="position:absolute;left:710947;top:382905;flip:y;height:635;width:393953;" filled="f" stroked="t" coordsize="21600,21600" o:gfxdata="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WDIyrVAAAABQEAAA8AAAAA&#10;AAAAAQAgAAAAIgAAAGRycy9kb3ducmV2LnhtbFBLAQIUABQAAAAIAIdO4kAu3C3JFwIAAAEEAAAO&#10;AAAAAAAAAAEAIAAAACQBAABkcnMvZTJvRG9jLnhtbFBLBQYAAAAABgAGAFkBAACtBQAAAAA=&#10;">
                        <v:fill on="f" focussize="0,0"/>
                        <v:stroke weight="4pt" color="#0D0D0D" linestyle="thinThin" joinstyle="round" endarrow="classic"/>
                        <v:imagedata o:title=""/>
                        <o:lock v:ext="edit" aspectratio="f"/>
                      </v:line>
                      <w10:wrap type="none"/>
                      <w10:anchorlock/>
                    </v:group>
                  </w:pict>
                </mc:Fallback>
              </mc:AlternateContent>
            </w:r>
          </w:p>
          <w:p w14:paraId="69EBFBD6">
            <w:pPr>
              <w:adjustRightInd w:val="0"/>
              <w:snapToGrid w:val="0"/>
              <w:spacing w:line="360" w:lineRule="auto"/>
              <w:ind w:firstLine="482" w:firstLineChars="200"/>
              <w:rPr>
                <w:sz w:val="24"/>
              </w:rPr>
            </w:pPr>
            <w:r>
              <w:rPr>
                <w:rFonts w:hint="eastAsia"/>
                <w:b/>
                <w:bCs/>
                <w:sz w:val="24"/>
              </w:rPr>
              <w:t>处理措施可行性分析：</w:t>
            </w:r>
            <w:r>
              <w:rPr>
                <w:rFonts w:hint="eastAsia"/>
                <w:sz w:val="24"/>
              </w:rPr>
              <w:t>参照</w:t>
            </w:r>
            <w:r>
              <w:rPr>
                <w:rFonts w:hint="eastAsia"/>
                <w:bCs/>
                <w:sz w:val="24"/>
              </w:rPr>
              <w:t>《排污许可证申请与核发技术规范 金属铸造工业》（H</w:t>
            </w:r>
            <w:r>
              <w:rPr>
                <w:bCs/>
                <w:sz w:val="24"/>
              </w:rPr>
              <w:t>J1115-2020</w:t>
            </w:r>
            <w:r>
              <w:rPr>
                <w:rFonts w:hint="eastAsia"/>
                <w:bCs/>
                <w:sz w:val="24"/>
              </w:rPr>
              <w:t>），布袋除尘为打磨工序及抛丸工序推荐可行技术。根据表4-1可知，本项目</w:t>
            </w:r>
            <w:r>
              <w:rPr>
                <w:rFonts w:hint="eastAsia"/>
                <w:sz w:val="24"/>
              </w:rPr>
              <w:t>表面清理工序和抛丸工序废气</w:t>
            </w:r>
            <w:r>
              <w:rPr>
                <w:rFonts w:hint="eastAsia"/>
                <w:bCs/>
                <w:sz w:val="24"/>
              </w:rPr>
              <w:t>可实现达标排放，满足《铸造工业大气污染物排放标准》（GB39726-2020）。</w:t>
            </w:r>
          </w:p>
          <w:p w14:paraId="546D83A2">
            <w:pPr>
              <w:adjustRightInd w:val="0"/>
              <w:snapToGrid w:val="0"/>
              <w:spacing w:line="360" w:lineRule="auto"/>
              <w:ind w:firstLine="482" w:firstLineChars="200"/>
              <w:rPr>
                <w:sz w:val="24"/>
              </w:rPr>
            </w:pPr>
            <w:r>
              <w:rPr>
                <w:b/>
                <w:sz w:val="24"/>
              </w:rPr>
              <w:t>风量的可靠性</w:t>
            </w:r>
            <w:r>
              <w:rPr>
                <w:rFonts w:hint="eastAsia"/>
                <w:b/>
                <w:sz w:val="24"/>
              </w:rPr>
              <w:t>：</w:t>
            </w:r>
            <w:r>
              <w:rPr>
                <w:rFonts w:hint="eastAsia"/>
                <w:sz w:val="24"/>
              </w:rPr>
              <w:t>根据《大气污染控制工程》中集气罩设计原则，本项目集气罩风量按照下式确定：</w:t>
            </w:r>
          </w:p>
          <w:p w14:paraId="1FA015E4">
            <w:pPr>
              <w:adjustRightInd w:val="0"/>
              <w:snapToGrid w:val="0"/>
              <w:spacing w:line="460" w:lineRule="exact"/>
              <w:jc w:val="center"/>
              <w:rPr>
                <w:sz w:val="24"/>
              </w:rPr>
            </w:pPr>
            <w:r>
              <w:rPr>
                <w:position w:val="-12"/>
                <w:sz w:val="24"/>
              </w:rPr>
              <w:object>
                <v:shape id="_x0000_i1032" o:spt="75" type="#_x0000_t75" style="height:21.8pt;width:144pt;" o:ole="t" filled="f" o:preferrelative="t" stroked="f" coordsize="21600,21600">
                  <v:path/>
                  <v:fill on="f" focussize="0,0"/>
                  <v:stroke on="f" joinstyle="miter"/>
                  <v:imagedata r:id="rId17" o:title=""/>
                  <o:lock v:ext="edit" aspectratio="t"/>
                  <w10:wrap type="none"/>
                  <w10:anchorlock/>
                </v:shape>
                <o:OLEObject Type="Embed" ProgID="Equation.KSEE3" ShapeID="_x0000_i1032" DrawAspect="Content" ObjectID="_1468075732" r:id="rId19">
                  <o:LockedField>false</o:LockedField>
                </o:OLEObject>
              </w:object>
            </w:r>
          </w:p>
          <w:p w14:paraId="5A7A2297">
            <w:pPr>
              <w:pStyle w:val="54"/>
              <w:spacing w:line="360" w:lineRule="auto"/>
              <w:ind w:firstLine="480" w:firstLineChars="200"/>
              <w:rPr>
                <w:rFonts w:ascii="Times New Roman" w:cs="Times New Roman"/>
                <w:color w:val="auto"/>
              </w:rPr>
            </w:pPr>
            <w:r>
              <w:rPr>
                <w:rFonts w:hint="eastAsia" w:ascii="Times New Roman" w:cs="Times New Roman"/>
                <w:color w:val="auto"/>
              </w:rPr>
              <w:t>式中：</w:t>
            </w:r>
            <w:r>
              <w:rPr>
                <w:rFonts w:ascii="Times New Roman" w:cs="Times New Roman"/>
                <w:color w:val="auto"/>
              </w:rPr>
              <w:t>L——</w:t>
            </w:r>
            <w:r>
              <w:rPr>
                <w:rFonts w:hint="eastAsia" w:ascii="Times New Roman" w:cs="Times New Roman"/>
                <w:color w:val="auto"/>
              </w:rPr>
              <w:t>集气罩风量，</w:t>
            </w:r>
            <w:r>
              <w:rPr>
                <w:rFonts w:ascii="Times New Roman" w:cs="Times New Roman"/>
                <w:color w:val="auto"/>
              </w:rPr>
              <w:t>m</w:t>
            </w:r>
            <w:r>
              <w:rPr>
                <w:rFonts w:ascii="Times New Roman" w:cs="Times New Roman"/>
                <w:color w:val="auto"/>
                <w:vertAlign w:val="superscript"/>
              </w:rPr>
              <w:t>3</w:t>
            </w:r>
            <w:r>
              <w:rPr>
                <w:rFonts w:ascii="Times New Roman" w:cs="Times New Roman"/>
                <w:color w:val="auto"/>
              </w:rPr>
              <w:t>/s</w:t>
            </w:r>
            <w:r>
              <w:rPr>
                <w:rFonts w:hint="eastAsia" w:ascii="Times New Roman" w:cs="Times New Roman"/>
                <w:color w:val="auto"/>
              </w:rPr>
              <w:t>；</w:t>
            </w:r>
          </w:p>
          <w:p w14:paraId="42DFC409">
            <w:pPr>
              <w:adjustRightInd w:val="0"/>
              <w:snapToGrid w:val="0"/>
              <w:spacing w:line="360" w:lineRule="auto"/>
              <w:ind w:firstLine="1200" w:firstLineChars="500"/>
              <w:rPr>
                <w:sz w:val="24"/>
              </w:rPr>
            </w:pPr>
            <w:r>
              <w:rPr>
                <w:sz w:val="24"/>
              </w:rPr>
              <w:t>V</w:t>
            </w:r>
            <w:r>
              <w:rPr>
                <w:sz w:val="24"/>
                <w:vertAlign w:val="subscript"/>
              </w:rPr>
              <w:t>0</w:t>
            </w:r>
            <w:r>
              <w:rPr>
                <w:sz w:val="24"/>
              </w:rPr>
              <w:t xml:space="preserve"> ——</w:t>
            </w:r>
            <w:r>
              <w:rPr>
                <w:rFonts w:hint="eastAsia"/>
                <w:sz w:val="24"/>
              </w:rPr>
              <w:t>吸气口的平均风速，</w:t>
            </w:r>
            <w:r>
              <w:rPr>
                <w:sz w:val="24"/>
              </w:rPr>
              <w:t>m/s</w:t>
            </w:r>
            <w:r>
              <w:rPr>
                <w:rFonts w:hint="eastAsia"/>
                <w:sz w:val="24"/>
              </w:rPr>
              <w:t>；</w:t>
            </w:r>
          </w:p>
          <w:p w14:paraId="200B020E">
            <w:pPr>
              <w:pStyle w:val="54"/>
              <w:spacing w:line="360" w:lineRule="auto"/>
              <w:ind w:firstLine="1200" w:firstLineChars="500"/>
              <w:rPr>
                <w:rFonts w:ascii="Times New Roman" w:cs="Times New Roman"/>
                <w:color w:val="auto"/>
              </w:rPr>
            </w:pPr>
            <w:r>
              <w:rPr>
                <w:rFonts w:ascii="Times New Roman" w:cs="Times New Roman"/>
                <w:color w:val="auto"/>
              </w:rPr>
              <w:t>V</w:t>
            </w:r>
            <w:r>
              <w:rPr>
                <w:rFonts w:ascii="Times New Roman" w:cs="Times New Roman"/>
                <w:color w:val="auto"/>
                <w:vertAlign w:val="subscript"/>
              </w:rPr>
              <w:t>x</w:t>
            </w:r>
            <w:r>
              <w:rPr>
                <w:rFonts w:ascii="Times New Roman" w:cs="Times New Roman"/>
                <w:color w:val="auto"/>
              </w:rPr>
              <w:t xml:space="preserve"> ——</w:t>
            </w:r>
            <w:r>
              <w:rPr>
                <w:rFonts w:hint="eastAsia" w:ascii="Times New Roman" w:cs="Times New Roman"/>
                <w:color w:val="auto"/>
              </w:rPr>
              <w:t>控制点的吸入风速，</w:t>
            </w:r>
            <w:r>
              <w:rPr>
                <w:rFonts w:ascii="Times New Roman" w:cs="Times New Roman"/>
                <w:color w:val="auto"/>
              </w:rPr>
              <w:t>m/s</w:t>
            </w:r>
            <w:r>
              <w:rPr>
                <w:rFonts w:hint="eastAsia" w:ascii="Times New Roman" w:cs="Times New Roman"/>
                <w:color w:val="auto"/>
              </w:rPr>
              <w:t>；</w:t>
            </w:r>
          </w:p>
          <w:p w14:paraId="22462C3D">
            <w:pPr>
              <w:pStyle w:val="54"/>
              <w:spacing w:line="360" w:lineRule="auto"/>
              <w:ind w:firstLine="1200" w:firstLineChars="500"/>
              <w:rPr>
                <w:rFonts w:ascii="Times New Roman" w:cs="Times New Roman"/>
                <w:color w:val="auto"/>
              </w:rPr>
            </w:pPr>
            <w:r>
              <w:rPr>
                <w:rFonts w:ascii="Times New Roman" w:cs="Times New Roman"/>
                <w:color w:val="auto"/>
              </w:rPr>
              <w:t>F——</w:t>
            </w:r>
            <w:r>
              <w:rPr>
                <w:rFonts w:hint="eastAsia" w:ascii="Times New Roman" w:cs="Times New Roman"/>
                <w:color w:val="auto"/>
              </w:rPr>
              <w:t>集气罩面积，</w:t>
            </w:r>
            <w:r>
              <w:rPr>
                <w:rFonts w:ascii="Times New Roman" w:cs="Times New Roman"/>
                <w:color w:val="auto"/>
              </w:rPr>
              <w:t>m</w:t>
            </w:r>
            <w:r>
              <w:rPr>
                <w:rFonts w:ascii="Times New Roman" w:cs="Times New Roman"/>
                <w:color w:val="auto"/>
                <w:vertAlign w:val="superscript"/>
              </w:rPr>
              <w:t>2</w:t>
            </w:r>
            <w:r>
              <w:rPr>
                <w:rFonts w:hint="eastAsia" w:ascii="Times New Roman" w:cs="Times New Roman"/>
                <w:color w:val="auto"/>
              </w:rPr>
              <w:t>；</w:t>
            </w:r>
          </w:p>
          <w:p w14:paraId="5A5D6847">
            <w:pPr>
              <w:pStyle w:val="54"/>
              <w:spacing w:line="360" w:lineRule="auto"/>
              <w:ind w:firstLine="1200" w:firstLineChars="500"/>
              <w:rPr>
                <w:rFonts w:ascii="Times New Roman" w:cs="Times New Roman"/>
                <w:color w:val="auto"/>
              </w:rPr>
            </w:pPr>
            <w:r>
              <w:rPr>
                <w:rFonts w:ascii="Times New Roman" w:cs="Times New Roman"/>
                <w:color w:val="auto"/>
              </w:rPr>
              <w:t>x——</w:t>
            </w:r>
            <w:r>
              <w:rPr>
                <w:rFonts w:hint="eastAsia" w:ascii="Times New Roman" w:cs="Times New Roman"/>
                <w:color w:val="auto"/>
              </w:rPr>
              <w:t>控制点到吸气口的距离，</w:t>
            </w:r>
            <w:r>
              <w:rPr>
                <w:rFonts w:ascii="Times New Roman" w:cs="Times New Roman"/>
                <w:color w:val="auto"/>
              </w:rPr>
              <w:t>m</w:t>
            </w:r>
            <w:r>
              <w:rPr>
                <w:rFonts w:hint="eastAsia" w:ascii="Times New Roman" w:cs="Times New Roman"/>
                <w:color w:val="auto"/>
              </w:rPr>
              <w:t>。</w:t>
            </w:r>
          </w:p>
          <w:p w14:paraId="1256651F">
            <w:pPr>
              <w:adjustRightInd w:val="0"/>
              <w:snapToGrid w:val="0"/>
              <w:spacing w:line="360" w:lineRule="auto"/>
              <w:ind w:firstLine="405"/>
              <w:rPr>
                <w:sz w:val="24"/>
              </w:rPr>
            </w:pPr>
            <w:r>
              <w:rPr>
                <w:rFonts w:hint="eastAsia"/>
                <w:sz w:val="24"/>
              </w:rPr>
              <w:t>项目正常生产时集气罩距无组织废气散发点距离（</w:t>
            </w:r>
            <w:r>
              <w:rPr>
                <w:sz w:val="24"/>
              </w:rPr>
              <w:t>x</w:t>
            </w:r>
            <w:r>
              <w:rPr>
                <w:rFonts w:hint="eastAsia"/>
                <w:sz w:val="24"/>
              </w:rPr>
              <w:t>）可控制在约</w:t>
            </w:r>
            <w:r>
              <w:rPr>
                <w:sz w:val="24"/>
              </w:rPr>
              <w:t>0.15m</w:t>
            </w:r>
            <w:r>
              <w:rPr>
                <w:rFonts w:hint="eastAsia"/>
                <w:sz w:val="24"/>
              </w:rPr>
              <w:t>；单个集气罩面积（</w:t>
            </w:r>
            <w:r>
              <w:rPr>
                <w:sz w:val="24"/>
              </w:rPr>
              <w:t>F</w:t>
            </w:r>
            <w:r>
              <w:rPr>
                <w:rFonts w:hint="eastAsia"/>
                <w:sz w:val="24"/>
              </w:rPr>
              <w:t>）约0</w:t>
            </w:r>
            <w:r>
              <w:rPr>
                <w:sz w:val="24"/>
              </w:rPr>
              <w:t>.3m</w:t>
            </w:r>
            <w:r>
              <w:rPr>
                <w:sz w:val="24"/>
                <w:vertAlign w:val="superscript"/>
              </w:rPr>
              <w:t>2</w:t>
            </w:r>
            <w:r>
              <w:rPr>
                <w:rFonts w:hint="eastAsia"/>
                <w:sz w:val="24"/>
              </w:rPr>
              <w:t>，共1</w:t>
            </w:r>
            <w:r>
              <w:rPr>
                <w:sz w:val="24"/>
              </w:rPr>
              <w:t>8</w:t>
            </w:r>
            <w:r>
              <w:rPr>
                <w:rFonts w:hint="eastAsia"/>
                <w:sz w:val="24"/>
              </w:rPr>
              <w:t>个集气罩，共计集气罩面积为</w:t>
            </w:r>
            <w:r>
              <w:rPr>
                <w:sz w:val="24"/>
              </w:rPr>
              <w:t>5.4m</w:t>
            </w:r>
            <w:r>
              <w:rPr>
                <w:sz w:val="24"/>
                <w:vertAlign w:val="superscript"/>
              </w:rPr>
              <w:t>2</w:t>
            </w:r>
            <w:r>
              <w:rPr>
                <w:rFonts w:hint="eastAsia"/>
                <w:sz w:val="24"/>
              </w:rPr>
              <w:t>；根据《大气污染控制工程》中对控制点吸入风速的要求，项目污染物放散情况按“以较低的初速度放散到尚属平静的空气中”考虑，最小控制风速为</w:t>
            </w:r>
            <w:r>
              <w:rPr>
                <w:sz w:val="24"/>
              </w:rPr>
              <w:t>0.5~1.0m/s</w:t>
            </w:r>
            <w:r>
              <w:rPr>
                <w:rFonts w:hint="eastAsia"/>
                <w:sz w:val="24"/>
              </w:rPr>
              <w:t>，则最小风量为</w:t>
            </w:r>
            <w:r>
              <w:rPr>
                <w:sz w:val="24"/>
              </w:rPr>
              <w:t>9720</w:t>
            </w:r>
            <w:r>
              <w:rPr>
                <w:rFonts w:hint="eastAsia"/>
                <w:sz w:val="24"/>
              </w:rPr>
              <w:t>~</w:t>
            </w:r>
            <w:r>
              <w:rPr>
                <w:sz w:val="24"/>
              </w:rPr>
              <w:t>19440</w:t>
            </w:r>
            <w:r>
              <w:rPr>
                <w:rFonts w:hint="eastAsia"/>
                <w:sz w:val="24"/>
              </w:rPr>
              <w:t>m</w:t>
            </w:r>
            <w:r>
              <w:rPr>
                <w:rFonts w:hint="eastAsia"/>
                <w:sz w:val="24"/>
                <w:vertAlign w:val="superscript"/>
              </w:rPr>
              <w:t>3</w:t>
            </w:r>
            <w:r>
              <w:rPr>
                <w:rFonts w:hint="eastAsia"/>
                <w:sz w:val="24"/>
              </w:rPr>
              <w:t>/h。项目表面清理工序设置1台风机用于集气罩抽风，设计风量1</w:t>
            </w:r>
            <w:r>
              <w:rPr>
                <w:sz w:val="24"/>
              </w:rPr>
              <w:t>0000</w:t>
            </w:r>
            <w:r>
              <w:rPr>
                <w:rFonts w:hint="eastAsia"/>
                <w:sz w:val="24"/>
              </w:rPr>
              <w:t>m</w:t>
            </w:r>
            <w:r>
              <w:rPr>
                <w:rFonts w:hint="eastAsia"/>
                <w:sz w:val="24"/>
                <w:vertAlign w:val="superscript"/>
              </w:rPr>
              <w:t>3</w:t>
            </w:r>
            <w:r>
              <w:rPr>
                <w:rFonts w:hint="eastAsia"/>
                <w:sz w:val="24"/>
              </w:rPr>
              <w:t>/h，该风量具有可靠性。</w:t>
            </w:r>
          </w:p>
          <w:p w14:paraId="5B1FACCB">
            <w:pPr>
              <w:adjustRightInd w:val="0"/>
              <w:snapToGrid w:val="0"/>
              <w:spacing w:line="360" w:lineRule="auto"/>
              <w:ind w:firstLine="405"/>
              <w:rPr>
                <w:snapToGrid w:val="0"/>
                <w:kern w:val="0"/>
                <w:sz w:val="24"/>
              </w:rPr>
            </w:pPr>
            <w:r>
              <w:rPr>
                <w:rFonts w:ascii="宋体" w:hAnsi="宋体"/>
                <w:b/>
                <w:sz w:val="24"/>
              </w:rPr>
              <w:t>排气筒高度可行性分析</w:t>
            </w:r>
            <w:r>
              <w:rPr>
                <w:rFonts w:hint="eastAsia" w:ascii="宋体" w:hAnsi="宋体"/>
                <w:b/>
                <w:sz w:val="24"/>
              </w:rPr>
              <w:t>：</w:t>
            </w:r>
            <w:r>
              <w:rPr>
                <w:sz w:val="24"/>
              </w:rPr>
              <w:t>根据</w:t>
            </w:r>
            <w:r>
              <w:rPr>
                <w:bCs/>
                <w:sz w:val="24"/>
              </w:rPr>
              <w:t>《铸造工业大气污染物排放标准》（GB39726-2020）</w:t>
            </w:r>
            <w:r>
              <w:rPr>
                <w:snapToGrid w:val="0"/>
                <w:kern w:val="0"/>
                <w:sz w:val="24"/>
              </w:rPr>
              <w:t>，除移动式除尘设备外，其他车间或生产设施排气筒高度不低于15m。本项目防爆布袋除尘器排气筒高度为20m，满足要求。</w:t>
            </w:r>
          </w:p>
          <w:p w14:paraId="2CCFE0E4">
            <w:pPr>
              <w:adjustRightInd w:val="0"/>
              <w:snapToGrid w:val="0"/>
              <w:spacing w:line="360" w:lineRule="auto"/>
              <w:rPr>
                <w:b/>
                <w:bCs/>
                <w:spacing w:val="-10"/>
                <w:sz w:val="24"/>
              </w:rPr>
            </w:pPr>
            <w:r>
              <w:rPr>
                <w:b/>
                <w:bCs/>
                <w:spacing w:val="-10"/>
                <w:sz w:val="24"/>
              </w:rPr>
              <w:t>（5）非正常工况污染物排放情况</w:t>
            </w:r>
          </w:p>
          <w:p w14:paraId="01FD16A2">
            <w:pPr>
              <w:adjustRightInd w:val="0"/>
              <w:snapToGrid w:val="0"/>
              <w:spacing w:line="360" w:lineRule="auto"/>
              <w:ind w:firstLine="440" w:firstLineChars="200"/>
              <w:rPr>
                <w:bCs/>
                <w:spacing w:val="-10"/>
                <w:sz w:val="24"/>
              </w:rPr>
            </w:pPr>
            <w:r>
              <w:rPr>
                <w:bCs/>
                <w:spacing w:val="-10"/>
                <w:sz w:val="24"/>
              </w:rPr>
              <w:t>根据前文分析，本评价考虑</w:t>
            </w:r>
            <w:r>
              <w:rPr>
                <w:rFonts w:hint="eastAsia"/>
                <w:bCs/>
                <w:spacing w:val="-10"/>
                <w:sz w:val="24"/>
              </w:rPr>
              <w:t>熔化工序、表面清理及抛丸工序颗粒物</w:t>
            </w:r>
            <w:r>
              <w:rPr>
                <w:bCs/>
                <w:spacing w:val="-10"/>
                <w:sz w:val="24"/>
              </w:rPr>
              <w:t>非正常排放，相应</w:t>
            </w:r>
            <w:r>
              <w:rPr>
                <w:rFonts w:hint="eastAsia"/>
                <w:bCs/>
                <w:spacing w:val="-10"/>
                <w:sz w:val="24"/>
              </w:rPr>
              <w:t>高温</w:t>
            </w:r>
            <w:r>
              <w:rPr>
                <w:bCs/>
                <w:spacing w:val="-10"/>
                <w:sz w:val="24"/>
              </w:rPr>
              <w:t>布袋除尘器或防爆布袋除尘器过滤袋破损导致</w:t>
            </w:r>
            <w:r>
              <w:rPr>
                <w:rFonts w:hint="eastAsia"/>
                <w:bCs/>
                <w:spacing w:val="-10"/>
                <w:sz w:val="24"/>
              </w:rPr>
              <w:t>处理效率降低，处理效率仅为</w:t>
            </w:r>
            <w:r>
              <w:rPr>
                <w:bCs/>
                <w:spacing w:val="-10"/>
                <w:sz w:val="24"/>
              </w:rPr>
              <w:t>0</w:t>
            </w:r>
            <w:r>
              <w:rPr>
                <w:rFonts w:hint="eastAsia"/>
                <w:bCs/>
                <w:spacing w:val="-10"/>
                <w:sz w:val="24"/>
              </w:rPr>
              <w:t>。</w:t>
            </w:r>
            <w:r>
              <w:rPr>
                <w:bCs/>
                <w:spacing w:val="-10"/>
                <w:sz w:val="24"/>
              </w:rPr>
              <w:t>排放情况见表4-8</w:t>
            </w:r>
            <w:r>
              <w:rPr>
                <w:rFonts w:hint="eastAsia"/>
                <w:bCs/>
                <w:spacing w:val="-10"/>
                <w:sz w:val="24"/>
              </w:rPr>
              <w:t>。</w:t>
            </w:r>
          </w:p>
          <w:p w14:paraId="68200BF8">
            <w:pPr>
              <w:adjustRightInd w:val="0"/>
              <w:snapToGrid w:val="0"/>
              <w:spacing w:line="360" w:lineRule="auto"/>
              <w:jc w:val="center"/>
              <w:rPr>
                <w:bCs/>
                <w:spacing w:val="-10"/>
                <w:sz w:val="24"/>
              </w:rPr>
            </w:pPr>
            <w:r>
              <w:rPr>
                <w:bCs/>
                <w:spacing w:val="-10"/>
                <w:sz w:val="24"/>
              </w:rPr>
              <w:t>表4-8  非正常工况废气排放情况表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0"/>
              <w:gridCol w:w="1258"/>
              <w:gridCol w:w="959"/>
              <w:gridCol w:w="1199"/>
              <w:gridCol w:w="1164"/>
              <w:gridCol w:w="871"/>
              <w:gridCol w:w="725"/>
              <w:gridCol w:w="1391"/>
            </w:tblGrid>
            <w:tr w14:paraId="2BB99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489" w:type="pct"/>
                  <w:shd w:val="clear" w:color="auto" w:fill="auto"/>
                  <w:vAlign w:val="center"/>
                </w:tcPr>
                <w:p w14:paraId="53AC79AA">
                  <w:pPr>
                    <w:pStyle w:val="72"/>
                    <w:spacing w:line="240" w:lineRule="auto"/>
                    <w:rPr>
                      <w:rFonts w:ascii="Times New Roman" w:hAnsi="Times New Roman"/>
                      <w:color w:val="auto"/>
                      <w:sz w:val="21"/>
                    </w:rPr>
                  </w:pPr>
                  <w:r>
                    <w:rPr>
                      <w:rFonts w:ascii="Times New Roman" w:hAnsi="Times New Roman"/>
                      <w:color w:val="auto"/>
                      <w:sz w:val="21"/>
                    </w:rPr>
                    <w:t>污染源</w:t>
                  </w:r>
                </w:p>
              </w:tc>
              <w:tc>
                <w:tcPr>
                  <w:tcW w:w="750" w:type="pct"/>
                  <w:shd w:val="clear" w:color="auto" w:fill="auto"/>
                  <w:vAlign w:val="center"/>
                </w:tcPr>
                <w:p w14:paraId="7192F232">
                  <w:pPr>
                    <w:pStyle w:val="72"/>
                    <w:spacing w:line="240" w:lineRule="auto"/>
                    <w:rPr>
                      <w:rFonts w:ascii="Times New Roman" w:hAnsi="Times New Roman"/>
                      <w:color w:val="auto"/>
                      <w:sz w:val="21"/>
                    </w:rPr>
                  </w:pPr>
                  <w:r>
                    <w:rPr>
                      <w:rFonts w:ascii="Times New Roman" w:hAnsi="Times New Roman"/>
                      <w:color w:val="auto"/>
                      <w:sz w:val="21"/>
                    </w:rPr>
                    <w:t>非正常排放原因</w:t>
                  </w:r>
                </w:p>
              </w:tc>
              <w:tc>
                <w:tcPr>
                  <w:tcW w:w="572" w:type="pct"/>
                  <w:shd w:val="clear" w:color="auto" w:fill="auto"/>
                  <w:vAlign w:val="center"/>
                </w:tcPr>
                <w:p w14:paraId="5FE4CC63">
                  <w:pPr>
                    <w:pStyle w:val="72"/>
                    <w:spacing w:line="240" w:lineRule="auto"/>
                    <w:rPr>
                      <w:rFonts w:ascii="Times New Roman" w:hAnsi="Times New Roman"/>
                      <w:color w:val="auto"/>
                      <w:sz w:val="21"/>
                    </w:rPr>
                  </w:pPr>
                  <w:r>
                    <w:rPr>
                      <w:rFonts w:ascii="Times New Roman" w:hAnsi="Times New Roman"/>
                      <w:color w:val="auto"/>
                      <w:sz w:val="21"/>
                    </w:rPr>
                    <w:t>污染物</w:t>
                  </w:r>
                </w:p>
              </w:tc>
              <w:tc>
                <w:tcPr>
                  <w:tcW w:w="715" w:type="pct"/>
                  <w:shd w:val="clear" w:color="auto" w:fill="auto"/>
                  <w:vAlign w:val="center"/>
                </w:tcPr>
                <w:p w14:paraId="70D27AF8">
                  <w:pPr>
                    <w:pStyle w:val="72"/>
                    <w:spacing w:line="240" w:lineRule="auto"/>
                    <w:rPr>
                      <w:rFonts w:ascii="Times New Roman" w:hAnsi="Times New Roman"/>
                      <w:color w:val="auto"/>
                      <w:sz w:val="21"/>
                    </w:rPr>
                  </w:pPr>
                  <w:r>
                    <w:rPr>
                      <w:rFonts w:ascii="Times New Roman" w:hAnsi="Times New Roman"/>
                      <w:color w:val="auto"/>
                      <w:sz w:val="21"/>
                    </w:rPr>
                    <w:t>非正常排放浓度mg/m</w:t>
                  </w:r>
                  <w:r>
                    <w:rPr>
                      <w:rFonts w:ascii="Times New Roman" w:hAnsi="Times New Roman"/>
                      <w:color w:val="auto"/>
                      <w:sz w:val="21"/>
                      <w:vertAlign w:val="superscript"/>
                    </w:rPr>
                    <w:t>3</w:t>
                  </w:r>
                </w:p>
              </w:tc>
              <w:tc>
                <w:tcPr>
                  <w:tcW w:w="694" w:type="pct"/>
                  <w:shd w:val="clear" w:color="auto" w:fill="auto"/>
                  <w:vAlign w:val="center"/>
                </w:tcPr>
                <w:p w14:paraId="4FC36F98">
                  <w:pPr>
                    <w:pStyle w:val="72"/>
                    <w:spacing w:line="240" w:lineRule="auto"/>
                    <w:rPr>
                      <w:rFonts w:ascii="Times New Roman" w:hAnsi="Times New Roman"/>
                      <w:color w:val="auto"/>
                      <w:sz w:val="21"/>
                    </w:rPr>
                  </w:pPr>
                  <w:r>
                    <w:rPr>
                      <w:rFonts w:ascii="Times New Roman" w:hAnsi="Times New Roman"/>
                      <w:color w:val="auto"/>
                      <w:sz w:val="21"/>
                    </w:rPr>
                    <w:t>非正常排放速率</w:t>
                  </w:r>
                </w:p>
                <w:p w14:paraId="74FF54E5">
                  <w:pPr>
                    <w:pStyle w:val="72"/>
                    <w:spacing w:line="240" w:lineRule="auto"/>
                    <w:rPr>
                      <w:rFonts w:ascii="Times New Roman" w:hAnsi="Times New Roman"/>
                      <w:color w:val="auto"/>
                      <w:sz w:val="21"/>
                    </w:rPr>
                  </w:pPr>
                  <w:r>
                    <w:rPr>
                      <w:rFonts w:ascii="Times New Roman" w:hAnsi="Times New Roman"/>
                      <w:color w:val="auto"/>
                      <w:sz w:val="21"/>
                    </w:rPr>
                    <w:t>kg/h</w:t>
                  </w:r>
                </w:p>
              </w:tc>
              <w:tc>
                <w:tcPr>
                  <w:tcW w:w="519" w:type="pct"/>
                  <w:shd w:val="clear" w:color="auto" w:fill="auto"/>
                  <w:vAlign w:val="center"/>
                </w:tcPr>
                <w:p w14:paraId="07081D08">
                  <w:pPr>
                    <w:pStyle w:val="72"/>
                    <w:spacing w:line="240" w:lineRule="auto"/>
                    <w:rPr>
                      <w:rFonts w:ascii="Times New Roman" w:hAnsi="Times New Roman"/>
                      <w:color w:val="auto"/>
                      <w:sz w:val="21"/>
                    </w:rPr>
                  </w:pPr>
                  <w:r>
                    <w:rPr>
                      <w:rFonts w:ascii="Times New Roman" w:hAnsi="Times New Roman"/>
                      <w:color w:val="auto"/>
                      <w:sz w:val="21"/>
                    </w:rPr>
                    <w:t>单次持续时间</w:t>
                  </w:r>
                </w:p>
                <w:p w14:paraId="12869FE4">
                  <w:pPr>
                    <w:pStyle w:val="72"/>
                    <w:spacing w:line="240" w:lineRule="auto"/>
                    <w:rPr>
                      <w:rFonts w:ascii="Times New Roman" w:hAnsi="Times New Roman"/>
                      <w:color w:val="auto"/>
                      <w:sz w:val="21"/>
                    </w:rPr>
                  </w:pPr>
                  <w:r>
                    <w:rPr>
                      <w:rFonts w:ascii="Times New Roman" w:hAnsi="Times New Roman"/>
                      <w:color w:val="auto"/>
                      <w:sz w:val="21"/>
                    </w:rPr>
                    <w:t>h</w:t>
                  </w:r>
                </w:p>
              </w:tc>
              <w:tc>
                <w:tcPr>
                  <w:tcW w:w="432" w:type="pct"/>
                  <w:shd w:val="clear" w:color="auto" w:fill="auto"/>
                  <w:vAlign w:val="center"/>
                </w:tcPr>
                <w:p w14:paraId="2A6A9FA4">
                  <w:pPr>
                    <w:pStyle w:val="72"/>
                    <w:spacing w:line="240" w:lineRule="auto"/>
                    <w:rPr>
                      <w:rFonts w:ascii="Times New Roman" w:hAnsi="Times New Roman"/>
                      <w:color w:val="auto"/>
                      <w:sz w:val="21"/>
                    </w:rPr>
                  </w:pPr>
                  <w:r>
                    <w:rPr>
                      <w:rFonts w:ascii="Times New Roman" w:hAnsi="Times New Roman"/>
                      <w:color w:val="auto"/>
                      <w:sz w:val="21"/>
                    </w:rPr>
                    <w:t>年发生频次/次</w:t>
                  </w:r>
                </w:p>
              </w:tc>
              <w:tc>
                <w:tcPr>
                  <w:tcW w:w="829" w:type="pct"/>
                  <w:shd w:val="clear" w:color="auto" w:fill="auto"/>
                  <w:vAlign w:val="center"/>
                </w:tcPr>
                <w:p w14:paraId="097998A0">
                  <w:pPr>
                    <w:pStyle w:val="72"/>
                    <w:spacing w:line="240" w:lineRule="auto"/>
                    <w:rPr>
                      <w:rFonts w:ascii="Times New Roman" w:hAnsi="Times New Roman"/>
                      <w:color w:val="auto"/>
                      <w:sz w:val="21"/>
                    </w:rPr>
                  </w:pPr>
                  <w:r>
                    <w:rPr>
                      <w:rFonts w:ascii="Times New Roman" w:hAnsi="Times New Roman"/>
                      <w:color w:val="auto"/>
                      <w:sz w:val="21"/>
                    </w:rPr>
                    <w:t>应对措施</w:t>
                  </w:r>
                </w:p>
              </w:tc>
            </w:tr>
            <w:tr w14:paraId="0F02E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489" w:type="pct"/>
                  <w:shd w:val="clear" w:color="auto" w:fill="auto"/>
                  <w:vAlign w:val="center"/>
                </w:tcPr>
                <w:p w14:paraId="374502E2">
                  <w:pPr>
                    <w:pStyle w:val="72"/>
                    <w:spacing w:line="240" w:lineRule="auto"/>
                    <w:rPr>
                      <w:rFonts w:ascii="Times New Roman" w:hAnsi="Times New Roman"/>
                      <w:color w:val="auto"/>
                      <w:sz w:val="21"/>
                    </w:rPr>
                  </w:pPr>
                  <w:r>
                    <w:rPr>
                      <w:rFonts w:ascii="Times New Roman" w:hAnsi="Times New Roman"/>
                      <w:color w:val="auto"/>
                      <w:sz w:val="21"/>
                    </w:rPr>
                    <w:t>熔化工序</w:t>
                  </w:r>
                </w:p>
              </w:tc>
              <w:tc>
                <w:tcPr>
                  <w:tcW w:w="750" w:type="pct"/>
                  <w:shd w:val="clear" w:color="auto" w:fill="auto"/>
                  <w:vAlign w:val="center"/>
                </w:tcPr>
                <w:p w14:paraId="5CC5B31E">
                  <w:pPr>
                    <w:pStyle w:val="72"/>
                    <w:spacing w:line="240" w:lineRule="auto"/>
                    <w:rPr>
                      <w:rFonts w:ascii="Times New Roman" w:hAnsi="Times New Roman"/>
                      <w:color w:val="auto"/>
                      <w:sz w:val="21"/>
                    </w:rPr>
                  </w:pPr>
                  <w:r>
                    <w:rPr>
                      <w:rFonts w:hint="eastAsia"/>
                      <w:bCs/>
                      <w:color w:val="auto"/>
                      <w:spacing w:val="-10"/>
                    </w:rPr>
                    <w:t>高温</w:t>
                  </w:r>
                  <w:r>
                    <w:rPr>
                      <w:bCs/>
                      <w:color w:val="auto"/>
                      <w:spacing w:val="-10"/>
                    </w:rPr>
                    <w:t>布袋除尘器过滤袋破损导致</w:t>
                  </w:r>
                  <w:r>
                    <w:rPr>
                      <w:rFonts w:ascii="Times New Roman" w:hAnsi="Times New Roman"/>
                      <w:bCs/>
                      <w:color w:val="auto"/>
                      <w:spacing w:val="-10"/>
                    </w:rPr>
                    <w:t>处理效率降低</w:t>
                  </w:r>
                </w:p>
              </w:tc>
              <w:tc>
                <w:tcPr>
                  <w:tcW w:w="572" w:type="pct"/>
                  <w:shd w:val="clear" w:color="auto" w:fill="auto"/>
                  <w:vAlign w:val="center"/>
                </w:tcPr>
                <w:p w14:paraId="50815AAD">
                  <w:pPr>
                    <w:pStyle w:val="72"/>
                    <w:spacing w:line="240" w:lineRule="auto"/>
                    <w:rPr>
                      <w:rFonts w:ascii="Times New Roman" w:hAnsi="Times New Roman"/>
                      <w:color w:val="auto"/>
                      <w:sz w:val="21"/>
                    </w:rPr>
                  </w:pPr>
                  <w:r>
                    <w:rPr>
                      <w:rFonts w:hint="eastAsia" w:ascii="Times New Roman" w:hAnsi="Times New Roman"/>
                      <w:color w:val="auto"/>
                    </w:rPr>
                    <w:t>颗粒物</w:t>
                  </w:r>
                </w:p>
              </w:tc>
              <w:tc>
                <w:tcPr>
                  <w:tcW w:w="715" w:type="pct"/>
                  <w:shd w:val="clear" w:color="auto" w:fill="auto"/>
                  <w:vAlign w:val="center"/>
                </w:tcPr>
                <w:p w14:paraId="0C71574A">
                  <w:pPr>
                    <w:pStyle w:val="72"/>
                    <w:spacing w:line="240" w:lineRule="auto"/>
                    <w:rPr>
                      <w:rFonts w:ascii="Times New Roman" w:hAnsi="Times New Roman"/>
                      <w:color w:val="auto"/>
                      <w:sz w:val="21"/>
                    </w:rPr>
                  </w:pPr>
                  <w:r>
                    <w:rPr>
                      <w:rFonts w:ascii="Times New Roman" w:hAnsi="Times New Roman"/>
                      <w:color w:val="auto"/>
                      <w:sz w:val="21"/>
                    </w:rPr>
                    <w:t xml:space="preserve">220.75  </w:t>
                  </w:r>
                </w:p>
              </w:tc>
              <w:tc>
                <w:tcPr>
                  <w:tcW w:w="694" w:type="pct"/>
                  <w:shd w:val="clear" w:color="auto" w:fill="auto"/>
                  <w:vAlign w:val="center"/>
                </w:tcPr>
                <w:p w14:paraId="75E831FD">
                  <w:pPr>
                    <w:pStyle w:val="72"/>
                    <w:spacing w:line="240" w:lineRule="auto"/>
                    <w:rPr>
                      <w:rFonts w:ascii="Times New Roman" w:hAnsi="Times New Roman"/>
                      <w:color w:val="auto"/>
                      <w:sz w:val="21"/>
                    </w:rPr>
                  </w:pPr>
                  <w:r>
                    <w:rPr>
                      <w:rFonts w:ascii="Times New Roman" w:hAnsi="Times New Roman"/>
                      <w:color w:val="auto"/>
                      <w:sz w:val="21"/>
                    </w:rPr>
                    <w:t xml:space="preserve">1.766 </w:t>
                  </w:r>
                </w:p>
              </w:tc>
              <w:tc>
                <w:tcPr>
                  <w:tcW w:w="519" w:type="pct"/>
                  <w:shd w:val="clear" w:color="auto" w:fill="auto"/>
                  <w:vAlign w:val="center"/>
                </w:tcPr>
                <w:p w14:paraId="2A832177">
                  <w:pPr>
                    <w:pStyle w:val="72"/>
                    <w:spacing w:line="240" w:lineRule="auto"/>
                    <w:rPr>
                      <w:rFonts w:ascii="Times New Roman" w:hAnsi="Times New Roman"/>
                      <w:color w:val="auto"/>
                      <w:sz w:val="21"/>
                    </w:rPr>
                  </w:pPr>
                  <w:r>
                    <w:rPr>
                      <w:rFonts w:hint="eastAsia" w:ascii="Times New Roman" w:hAnsi="Times New Roman"/>
                      <w:color w:val="auto"/>
                      <w:sz w:val="21"/>
                    </w:rPr>
                    <w:t>1</w:t>
                  </w:r>
                </w:p>
              </w:tc>
              <w:tc>
                <w:tcPr>
                  <w:tcW w:w="432" w:type="pct"/>
                  <w:shd w:val="clear" w:color="auto" w:fill="auto"/>
                  <w:vAlign w:val="center"/>
                </w:tcPr>
                <w:p w14:paraId="1D789940">
                  <w:pPr>
                    <w:pStyle w:val="72"/>
                    <w:spacing w:line="240" w:lineRule="auto"/>
                    <w:rPr>
                      <w:rFonts w:ascii="Times New Roman" w:hAnsi="Times New Roman"/>
                      <w:color w:val="auto"/>
                      <w:sz w:val="21"/>
                    </w:rPr>
                  </w:pPr>
                  <w:r>
                    <w:rPr>
                      <w:rFonts w:ascii="Times New Roman" w:hAnsi="Times New Roman"/>
                      <w:color w:val="auto"/>
                      <w:kern w:val="0"/>
                      <w:sz w:val="21"/>
                    </w:rPr>
                    <w:t>最多一年1次</w:t>
                  </w:r>
                </w:p>
              </w:tc>
              <w:tc>
                <w:tcPr>
                  <w:tcW w:w="829" w:type="pct"/>
                  <w:vMerge w:val="restart"/>
                  <w:shd w:val="clear" w:color="auto" w:fill="auto"/>
                  <w:vAlign w:val="center"/>
                </w:tcPr>
                <w:p w14:paraId="61F20787">
                  <w:pPr>
                    <w:jc w:val="center"/>
                  </w:pPr>
                  <w:r>
                    <w:rPr>
                      <w:kern w:val="0"/>
                      <w:szCs w:val="21"/>
                    </w:rPr>
                    <w:t>日常加强检修</w:t>
                  </w:r>
                  <w:r>
                    <w:rPr>
                      <w:rFonts w:hint="eastAsia"/>
                      <w:kern w:val="0"/>
                      <w:szCs w:val="21"/>
                    </w:rPr>
                    <w:t>，</w:t>
                  </w:r>
                  <w:r>
                    <w:rPr>
                      <w:kern w:val="0"/>
                      <w:szCs w:val="21"/>
                    </w:rPr>
                    <w:t>及时更换滤袋</w:t>
                  </w:r>
                </w:p>
              </w:tc>
            </w:tr>
            <w:tr w14:paraId="01EC0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489" w:type="pct"/>
                  <w:shd w:val="clear" w:color="auto" w:fill="auto"/>
                  <w:vAlign w:val="center"/>
                </w:tcPr>
                <w:p w14:paraId="201E31C2">
                  <w:pPr>
                    <w:pStyle w:val="69"/>
                    <w:autoSpaceDE/>
                    <w:autoSpaceDN/>
                    <w:adjustRightInd/>
                    <w:snapToGrid/>
                    <w:spacing w:line="240" w:lineRule="auto"/>
                    <w:rPr>
                      <w:rFonts w:ascii="Times New Roman" w:hAnsi="Times New Roman"/>
                    </w:rPr>
                  </w:pPr>
                  <w:r>
                    <w:rPr>
                      <w:rFonts w:hint="eastAsia" w:ascii="Times New Roman" w:hAnsi="Times New Roman"/>
                    </w:rPr>
                    <w:t>表面清理、抛丸工序</w:t>
                  </w:r>
                </w:p>
              </w:tc>
              <w:tc>
                <w:tcPr>
                  <w:tcW w:w="750" w:type="pct"/>
                  <w:shd w:val="clear" w:color="auto" w:fill="auto"/>
                  <w:vAlign w:val="center"/>
                </w:tcPr>
                <w:p w14:paraId="433F5C8C">
                  <w:pPr>
                    <w:pStyle w:val="69"/>
                    <w:autoSpaceDE/>
                    <w:autoSpaceDN/>
                    <w:adjustRightInd/>
                    <w:snapToGrid/>
                    <w:spacing w:line="240" w:lineRule="auto"/>
                    <w:rPr>
                      <w:rFonts w:ascii="Times New Roman" w:hAnsi="Times New Roman"/>
                    </w:rPr>
                  </w:pPr>
                  <w:r>
                    <w:rPr>
                      <w:rFonts w:ascii="Times New Roman" w:hAnsi="Times New Roman"/>
                    </w:rPr>
                    <w:t>防爆布袋除尘器</w:t>
                  </w:r>
                  <w:r>
                    <w:rPr>
                      <w:bCs/>
                      <w:spacing w:val="-10"/>
                    </w:rPr>
                    <w:t>过滤袋破损导致</w:t>
                  </w:r>
                  <w:r>
                    <w:rPr>
                      <w:rFonts w:ascii="Times New Roman" w:hAnsi="Times New Roman"/>
                      <w:bCs/>
                      <w:spacing w:val="-10"/>
                    </w:rPr>
                    <w:t>处理效率降低</w:t>
                  </w:r>
                </w:p>
              </w:tc>
              <w:tc>
                <w:tcPr>
                  <w:tcW w:w="572" w:type="pct"/>
                  <w:tcBorders>
                    <w:bottom w:val="single" w:color="auto" w:sz="4" w:space="0"/>
                  </w:tcBorders>
                  <w:shd w:val="clear" w:color="auto" w:fill="auto"/>
                  <w:vAlign w:val="center"/>
                </w:tcPr>
                <w:p w14:paraId="00AE7867">
                  <w:pPr>
                    <w:pStyle w:val="69"/>
                    <w:spacing w:line="240" w:lineRule="auto"/>
                    <w:rPr>
                      <w:rFonts w:ascii="Times New Roman" w:hAnsi="Times New Roman"/>
                    </w:rPr>
                  </w:pPr>
                  <w:r>
                    <w:rPr>
                      <w:rFonts w:hint="eastAsia" w:ascii="Times New Roman" w:hAnsi="Times New Roman"/>
                    </w:rPr>
                    <w:t>颗粒物</w:t>
                  </w:r>
                </w:p>
              </w:tc>
              <w:tc>
                <w:tcPr>
                  <w:tcW w:w="715" w:type="pct"/>
                  <w:tcBorders>
                    <w:bottom w:val="single" w:color="auto" w:sz="4" w:space="0"/>
                  </w:tcBorders>
                  <w:shd w:val="clear" w:color="auto" w:fill="auto"/>
                  <w:vAlign w:val="center"/>
                </w:tcPr>
                <w:p w14:paraId="6D523577">
                  <w:pPr>
                    <w:pStyle w:val="72"/>
                    <w:spacing w:line="240" w:lineRule="auto"/>
                    <w:rPr>
                      <w:rFonts w:ascii="Times New Roman" w:hAnsi="Times New Roman"/>
                      <w:color w:val="auto"/>
                      <w:sz w:val="21"/>
                    </w:rPr>
                  </w:pPr>
                  <w:r>
                    <w:rPr>
                      <w:rFonts w:hint="eastAsia" w:ascii="Times New Roman" w:hAnsi="Times New Roman"/>
                      <w:color w:val="auto"/>
                      <w:sz w:val="21"/>
                    </w:rPr>
                    <w:t xml:space="preserve">193.75 </w:t>
                  </w:r>
                </w:p>
              </w:tc>
              <w:tc>
                <w:tcPr>
                  <w:tcW w:w="694" w:type="pct"/>
                  <w:tcBorders>
                    <w:bottom w:val="single" w:color="auto" w:sz="4" w:space="0"/>
                  </w:tcBorders>
                  <w:shd w:val="clear" w:color="auto" w:fill="auto"/>
                  <w:vAlign w:val="center"/>
                </w:tcPr>
                <w:p w14:paraId="66C4C0D4">
                  <w:pPr>
                    <w:pStyle w:val="72"/>
                    <w:spacing w:line="240" w:lineRule="auto"/>
                    <w:rPr>
                      <w:rFonts w:ascii="Times New Roman" w:hAnsi="Times New Roman"/>
                      <w:color w:val="auto"/>
                      <w:sz w:val="21"/>
                    </w:rPr>
                  </w:pPr>
                  <w:r>
                    <w:rPr>
                      <w:rFonts w:hint="eastAsia" w:ascii="Times New Roman" w:hAnsi="Times New Roman"/>
                      <w:color w:val="auto"/>
                      <w:sz w:val="21"/>
                    </w:rPr>
                    <w:t xml:space="preserve">3.875 </w:t>
                  </w:r>
                </w:p>
              </w:tc>
              <w:tc>
                <w:tcPr>
                  <w:tcW w:w="519" w:type="pct"/>
                  <w:shd w:val="clear" w:color="auto" w:fill="auto"/>
                  <w:vAlign w:val="center"/>
                </w:tcPr>
                <w:p w14:paraId="1D4BA756">
                  <w:pPr>
                    <w:jc w:val="center"/>
                    <w:rPr>
                      <w:szCs w:val="21"/>
                    </w:rPr>
                  </w:pPr>
                  <w:r>
                    <w:rPr>
                      <w:szCs w:val="21"/>
                    </w:rPr>
                    <w:t>1</w:t>
                  </w:r>
                </w:p>
              </w:tc>
              <w:tc>
                <w:tcPr>
                  <w:tcW w:w="432" w:type="pct"/>
                  <w:shd w:val="clear" w:color="auto" w:fill="auto"/>
                  <w:vAlign w:val="center"/>
                </w:tcPr>
                <w:p w14:paraId="00B73424">
                  <w:pPr>
                    <w:pStyle w:val="72"/>
                    <w:spacing w:line="240" w:lineRule="auto"/>
                    <w:rPr>
                      <w:rFonts w:ascii="Times New Roman" w:hAnsi="Times New Roman"/>
                      <w:color w:val="auto"/>
                      <w:sz w:val="21"/>
                    </w:rPr>
                  </w:pPr>
                  <w:r>
                    <w:rPr>
                      <w:rFonts w:ascii="Times New Roman" w:hAnsi="Times New Roman"/>
                      <w:color w:val="auto"/>
                      <w:kern w:val="0"/>
                      <w:sz w:val="21"/>
                    </w:rPr>
                    <w:t>最多一年1次</w:t>
                  </w:r>
                </w:p>
              </w:tc>
              <w:tc>
                <w:tcPr>
                  <w:tcW w:w="829" w:type="pct"/>
                  <w:vMerge w:val="continue"/>
                  <w:shd w:val="clear" w:color="auto" w:fill="auto"/>
                  <w:vAlign w:val="center"/>
                </w:tcPr>
                <w:p w14:paraId="5EBFCB2B">
                  <w:pPr>
                    <w:widowControl/>
                    <w:jc w:val="center"/>
                    <w:rPr>
                      <w:kern w:val="0"/>
                      <w:szCs w:val="21"/>
                    </w:rPr>
                  </w:pPr>
                </w:p>
              </w:tc>
            </w:tr>
          </w:tbl>
          <w:p w14:paraId="24DF3D38">
            <w:pPr>
              <w:adjustRightInd w:val="0"/>
              <w:snapToGrid w:val="0"/>
              <w:spacing w:line="360" w:lineRule="auto"/>
              <w:rPr>
                <w:b/>
                <w:bCs/>
                <w:spacing w:val="-10"/>
                <w:sz w:val="24"/>
              </w:rPr>
            </w:pPr>
            <w:r>
              <w:rPr>
                <w:b/>
                <w:bCs/>
                <w:spacing w:val="-10"/>
                <w:sz w:val="24"/>
              </w:rPr>
              <w:t>（6）大气环境影响分析</w:t>
            </w:r>
          </w:p>
          <w:p w14:paraId="40EB5C76">
            <w:pPr>
              <w:adjustRightInd w:val="0"/>
              <w:snapToGrid w:val="0"/>
              <w:spacing w:line="360" w:lineRule="auto"/>
              <w:ind w:firstLine="480" w:firstLineChars="200"/>
              <w:rPr>
                <w:sz w:val="24"/>
              </w:rPr>
            </w:pPr>
            <w:r>
              <w:rPr>
                <w:sz w:val="24"/>
              </w:rPr>
              <w:t>项目所在地属于环境空气二类区，所在区域</w:t>
            </w:r>
            <w:r>
              <w:rPr>
                <w:rFonts w:hint="eastAsia"/>
                <w:sz w:val="24"/>
              </w:rPr>
              <w:t>P</w:t>
            </w:r>
            <w:r>
              <w:rPr>
                <w:sz w:val="24"/>
              </w:rPr>
              <w:t>M</w:t>
            </w:r>
            <w:r>
              <w:rPr>
                <w:sz w:val="24"/>
                <w:vertAlign w:val="subscript"/>
              </w:rPr>
              <w:t>10</w:t>
            </w:r>
            <w:r>
              <w:rPr>
                <w:rFonts w:hint="eastAsia"/>
                <w:sz w:val="24"/>
              </w:rPr>
              <w:t>、S</w:t>
            </w:r>
            <w:r>
              <w:rPr>
                <w:sz w:val="24"/>
              </w:rPr>
              <w:t>O</w:t>
            </w:r>
            <w:r>
              <w:rPr>
                <w:sz w:val="24"/>
                <w:vertAlign w:val="subscript"/>
              </w:rPr>
              <w:t>2</w:t>
            </w:r>
            <w:r>
              <w:rPr>
                <w:rFonts w:hint="eastAsia"/>
                <w:sz w:val="24"/>
              </w:rPr>
              <w:t>、N</w:t>
            </w:r>
            <w:r>
              <w:rPr>
                <w:sz w:val="24"/>
              </w:rPr>
              <w:t>O</w:t>
            </w:r>
            <w:r>
              <w:rPr>
                <w:sz w:val="24"/>
                <w:vertAlign w:val="subscript"/>
              </w:rPr>
              <w:t>2</w:t>
            </w:r>
            <w:r>
              <w:rPr>
                <w:sz w:val="24"/>
              </w:rPr>
              <w:t>和特征污染物均能满足相应质量标准，项目所在地具有一定的环境容量可接纳本项目废气污染物的排放。同时项目位于园区内，周边500m范围内主要大气环境保护目标为</w:t>
            </w:r>
            <w:r>
              <w:rPr>
                <w:rFonts w:hint="eastAsia"/>
                <w:sz w:val="24"/>
              </w:rPr>
              <w:t>涪陵区第十三小学、双溪5组团公租房及配套廉租房小区及规划居住用地</w:t>
            </w:r>
            <w:r>
              <w:rPr>
                <w:bCs/>
                <w:spacing w:val="-10"/>
                <w:sz w:val="24"/>
              </w:rPr>
              <w:t>，均位于项目主导风</w:t>
            </w:r>
            <w:r>
              <w:rPr>
                <w:rFonts w:hint="eastAsia"/>
                <w:bCs/>
                <w:spacing w:val="-10"/>
                <w:sz w:val="24"/>
              </w:rPr>
              <w:t>侧风向</w:t>
            </w:r>
            <w:r>
              <w:rPr>
                <w:bCs/>
                <w:spacing w:val="-10"/>
                <w:sz w:val="24"/>
              </w:rPr>
              <w:t>，项目周围</w:t>
            </w:r>
            <w:r>
              <w:rPr>
                <w:sz w:val="24"/>
              </w:rPr>
              <w:t>不存在自然保护区、风景名胜区、森林公园等需要特殊保护的区域。可见</w:t>
            </w:r>
            <w:r>
              <w:rPr>
                <w:rFonts w:hint="eastAsia"/>
                <w:sz w:val="24"/>
              </w:rPr>
              <w:t>，</w:t>
            </w:r>
            <w:r>
              <w:rPr>
                <w:sz w:val="24"/>
              </w:rPr>
              <w:t>项目营运期产生的废气对大气环境的影响较小</w:t>
            </w:r>
            <w:r>
              <w:rPr>
                <w:rFonts w:hint="eastAsia"/>
                <w:sz w:val="24"/>
              </w:rPr>
              <w:t>。</w:t>
            </w:r>
          </w:p>
          <w:p w14:paraId="4FF57203">
            <w:pPr>
              <w:adjustRightInd w:val="0"/>
              <w:snapToGrid w:val="0"/>
              <w:spacing w:line="360" w:lineRule="auto"/>
              <w:ind w:firstLine="440" w:firstLineChars="200"/>
              <w:rPr>
                <w:bCs/>
                <w:spacing w:val="-10"/>
                <w:sz w:val="24"/>
              </w:rPr>
            </w:pPr>
            <w:r>
              <w:rPr>
                <w:bCs/>
                <w:spacing w:val="-10"/>
                <w:sz w:val="24"/>
              </w:rPr>
              <w:t>根据前文核算，项目各项废气污染物排放量均较小，通过项目采取的有效废气治理措施后，大部分以有组织形式排放，废气均实现达标排放，对大气环境影响较小。</w:t>
            </w:r>
          </w:p>
          <w:p w14:paraId="2665EE0A">
            <w:pPr>
              <w:adjustRightInd w:val="0"/>
              <w:snapToGrid w:val="0"/>
              <w:spacing w:line="360" w:lineRule="auto"/>
              <w:rPr>
                <w:b/>
                <w:bCs/>
                <w:spacing w:val="-10"/>
                <w:sz w:val="24"/>
              </w:rPr>
            </w:pPr>
            <w:r>
              <w:rPr>
                <w:b/>
                <w:bCs/>
                <w:spacing w:val="-10"/>
                <w:sz w:val="24"/>
              </w:rPr>
              <w:t>2、废水</w:t>
            </w:r>
          </w:p>
          <w:p w14:paraId="2C4AD23D">
            <w:pPr>
              <w:autoSpaceDE w:val="0"/>
              <w:autoSpaceDN w:val="0"/>
              <w:spacing w:line="360" w:lineRule="auto"/>
              <w:ind w:firstLine="480" w:firstLineChars="200"/>
              <w:rPr>
                <w:rFonts w:cs="宋体"/>
                <w:kern w:val="0"/>
                <w:sz w:val="24"/>
                <w:szCs w:val="21"/>
              </w:rPr>
            </w:pPr>
            <w:r>
              <w:rPr>
                <w:rFonts w:hint="eastAsia" w:cs="宋体"/>
                <w:kern w:val="0"/>
                <w:sz w:val="24"/>
                <w:szCs w:val="21"/>
              </w:rPr>
              <w:t>（1）废水产生情况</w:t>
            </w:r>
          </w:p>
          <w:p w14:paraId="460C9719">
            <w:pPr>
              <w:spacing w:line="360" w:lineRule="auto"/>
              <w:ind w:firstLine="480" w:firstLineChars="200"/>
              <w:rPr>
                <w:sz w:val="24"/>
                <w:szCs w:val="21"/>
              </w:rPr>
            </w:pPr>
            <w:r>
              <w:rPr>
                <w:rFonts w:hint="eastAsia"/>
                <w:sz w:val="24"/>
                <w:szCs w:val="21"/>
              </w:rPr>
              <w:t>项目废水包括生产废水、食堂废水和生活污水。</w:t>
            </w:r>
          </w:p>
          <w:p w14:paraId="17ABF991">
            <w:pPr>
              <w:spacing w:line="360" w:lineRule="auto"/>
              <w:ind w:firstLine="480" w:firstLineChars="200"/>
              <w:rPr>
                <w:rFonts w:cs="宋体"/>
                <w:sz w:val="24"/>
              </w:rPr>
            </w:pPr>
            <w:r>
              <w:rPr>
                <w:rFonts w:hint="eastAsia"/>
                <w:sz w:val="24"/>
              </w:rPr>
              <w:t>项目生产废水日最大产生量为</w:t>
            </w:r>
            <w:r>
              <w:rPr>
                <w:sz w:val="24"/>
              </w:rPr>
              <w:t>20.23</w:t>
            </w:r>
            <w:r>
              <w:rPr>
                <w:rFonts w:hint="eastAsia"/>
                <w:sz w:val="24"/>
              </w:rPr>
              <w:t>m</w:t>
            </w:r>
            <w:r>
              <w:rPr>
                <w:rFonts w:hint="eastAsia"/>
                <w:sz w:val="24"/>
                <w:vertAlign w:val="superscript"/>
              </w:rPr>
              <w:t>3</w:t>
            </w:r>
            <w:r>
              <w:rPr>
                <w:rFonts w:hint="eastAsia"/>
                <w:sz w:val="24"/>
              </w:rPr>
              <w:t>/d，年产生量为</w:t>
            </w:r>
            <w:r>
              <w:rPr>
                <w:sz w:val="24"/>
              </w:rPr>
              <w:t>5578.06</w:t>
            </w:r>
            <w:r>
              <w:rPr>
                <w:rFonts w:hint="eastAsia"/>
                <w:sz w:val="24"/>
              </w:rPr>
              <w:t>m</w:t>
            </w:r>
            <w:r>
              <w:rPr>
                <w:rFonts w:hint="eastAsia"/>
                <w:sz w:val="24"/>
                <w:vertAlign w:val="superscript"/>
              </w:rPr>
              <w:t>3</w:t>
            </w:r>
            <w:r>
              <w:rPr>
                <w:rFonts w:hint="eastAsia"/>
                <w:sz w:val="24"/>
              </w:rPr>
              <w:t>/a，主要污染物为氨氮、悬浮物、石油类、化学需氧量、五日生化需氧量、阴离子表面活性剂等。类比现有工程竣工环境保护验收监测结果，</w:t>
            </w:r>
            <w:r>
              <w:rPr>
                <w:rFonts w:hint="eastAsia" w:cs="宋体"/>
                <w:sz w:val="24"/>
              </w:rPr>
              <w:t>污染物浓度为</w:t>
            </w:r>
            <w:r>
              <w:rPr>
                <w:rFonts w:hint="eastAsia"/>
                <w:sz w:val="24"/>
              </w:rPr>
              <w:t>氨氮</w:t>
            </w:r>
            <w:r>
              <w:rPr>
                <w:rFonts w:cs="宋体"/>
                <w:sz w:val="24"/>
              </w:rPr>
              <w:t>9.55mg/L</w:t>
            </w:r>
            <w:r>
              <w:rPr>
                <w:rFonts w:hint="eastAsia"/>
                <w:sz w:val="24"/>
              </w:rPr>
              <w:t>、悬浮物</w:t>
            </w:r>
            <w:r>
              <w:rPr>
                <w:rFonts w:cs="宋体"/>
                <w:sz w:val="24"/>
              </w:rPr>
              <w:t>288mg/L</w:t>
            </w:r>
            <w:r>
              <w:rPr>
                <w:rFonts w:hint="eastAsia"/>
                <w:sz w:val="24"/>
              </w:rPr>
              <w:t>、石油类</w:t>
            </w:r>
            <w:r>
              <w:rPr>
                <w:rFonts w:cs="宋体"/>
                <w:sz w:val="24"/>
              </w:rPr>
              <w:t>90.2mg/L</w:t>
            </w:r>
            <w:r>
              <w:rPr>
                <w:rFonts w:hint="eastAsia"/>
                <w:sz w:val="24"/>
              </w:rPr>
              <w:t>、化学需氧量</w:t>
            </w:r>
            <w:r>
              <w:rPr>
                <w:rFonts w:cs="宋体"/>
                <w:sz w:val="24"/>
              </w:rPr>
              <w:t>1.09×10</w:t>
            </w:r>
            <w:r>
              <w:rPr>
                <w:rFonts w:cs="宋体"/>
                <w:sz w:val="24"/>
                <w:vertAlign w:val="superscript"/>
              </w:rPr>
              <w:t>3</w:t>
            </w:r>
            <w:r>
              <w:rPr>
                <w:rFonts w:cs="宋体"/>
                <w:sz w:val="24"/>
              </w:rPr>
              <w:t>mg/L</w:t>
            </w:r>
            <w:r>
              <w:rPr>
                <w:rFonts w:hint="eastAsia"/>
                <w:sz w:val="24"/>
              </w:rPr>
              <w:t>、五日生化需氧量</w:t>
            </w:r>
            <w:r>
              <w:rPr>
                <w:rFonts w:cs="宋体"/>
                <w:sz w:val="24"/>
              </w:rPr>
              <w:t>481mg/L</w:t>
            </w:r>
            <w:r>
              <w:rPr>
                <w:rFonts w:hint="eastAsia"/>
                <w:sz w:val="24"/>
              </w:rPr>
              <w:t>、阴离子表面活性剂</w:t>
            </w:r>
            <w:r>
              <w:rPr>
                <w:rFonts w:cs="宋体"/>
                <w:sz w:val="24"/>
              </w:rPr>
              <w:t>2.141mg/L</w:t>
            </w:r>
            <w:r>
              <w:rPr>
                <w:rFonts w:hint="eastAsia" w:cs="宋体"/>
                <w:sz w:val="24"/>
              </w:rPr>
              <w:t>。</w:t>
            </w:r>
          </w:p>
          <w:p w14:paraId="4EBCAECC">
            <w:pPr>
              <w:spacing w:line="360" w:lineRule="auto"/>
              <w:ind w:firstLine="480" w:firstLineChars="200"/>
              <w:rPr>
                <w:rFonts w:cs="宋体"/>
                <w:sz w:val="24"/>
                <w:szCs w:val="21"/>
              </w:rPr>
            </w:pPr>
            <w:r>
              <w:rPr>
                <w:rFonts w:hint="eastAsia"/>
                <w:sz w:val="24"/>
                <w:szCs w:val="21"/>
              </w:rPr>
              <w:t>食堂废水产生量为6</w:t>
            </w:r>
            <w:r>
              <w:rPr>
                <w:sz w:val="24"/>
                <w:szCs w:val="21"/>
              </w:rPr>
              <w:t>.98</w:t>
            </w:r>
            <w:r>
              <w:rPr>
                <w:rFonts w:hint="eastAsia"/>
                <w:sz w:val="24"/>
                <w:szCs w:val="21"/>
              </w:rPr>
              <w:t>m</w:t>
            </w:r>
            <w:r>
              <w:rPr>
                <w:rFonts w:hint="eastAsia"/>
                <w:sz w:val="24"/>
                <w:szCs w:val="21"/>
                <w:vertAlign w:val="superscript"/>
              </w:rPr>
              <w:t>3</w:t>
            </w:r>
            <w:r>
              <w:rPr>
                <w:rFonts w:hint="eastAsia"/>
                <w:sz w:val="24"/>
                <w:szCs w:val="21"/>
              </w:rPr>
              <w:t>/d，</w:t>
            </w:r>
            <w:r>
              <w:rPr>
                <w:kern w:val="0"/>
                <w:sz w:val="24"/>
                <w:szCs w:val="21"/>
              </w:rPr>
              <w:t>2094</w:t>
            </w:r>
            <w:r>
              <w:rPr>
                <w:rFonts w:hint="eastAsia"/>
                <w:sz w:val="24"/>
                <w:szCs w:val="21"/>
              </w:rPr>
              <w:t>m</w:t>
            </w:r>
            <w:r>
              <w:rPr>
                <w:rFonts w:hint="eastAsia"/>
                <w:sz w:val="24"/>
                <w:szCs w:val="21"/>
                <w:vertAlign w:val="superscript"/>
              </w:rPr>
              <w:t>3</w:t>
            </w:r>
            <w:r>
              <w:rPr>
                <w:rFonts w:hint="eastAsia"/>
                <w:sz w:val="24"/>
                <w:szCs w:val="21"/>
              </w:rPr>
              <w:t>/a，主要污染物为氨氮、悬浮物、化学需氧量、五日生化需氧量及动植物油，类比同类项目食堂废水污染物浓度，污染物浓度为氨氮</w:t>
            </w:r>
            <w:r>
              <w:rPr>
                <w:sz w:val="24"/>
                <w:szCs w:val="21"/>
              </w:rPr>
              <w:t>30</w:t>
            </w:r>
            <w:r>
              <w:rPr>
                <w:rFonts w:cs="宋体"/>
                <w:sz w:val="24"/>
                <w:szCs w:val="21"/>
              </w:rPr>
              <w:t>mg/L</w:t>
            </w:r>
            <w:r>
              <w:rPr>
                <w:rFonts w:hint="eastAsia"/>
                <w:sz w:val="24"/>
                <w:szCs w:val="21"/>
              </w:rPr>
              <w:t>、悬浮物</w:t>
            </w:r>
            <w:r>
              <w:rPr>
                <w:sz w:val="24"/>
                <w:szCs w:val="21"/>
              </w:rPr>
              <w:t>450</w:t>
            </w:r>
            <w:r>
              <w:rPr>
                <w:rFonts w:cs="宋体"/>
                <w:sz w:val="24"/>
                <w:szCs w:val="21"/>
              </w:rPr>
              <w:t>mg/L</w:t>
            </w:r>
            <w:r>
              <w:rPr>
                <w:rFonts w:hint="eastAsia"/>
                <w:sz w:val="24"/>
                <w:szCs w:val="21"/>
              </w:rPr>
              <w:t>、化学需氧量</w:t>
            </w:r>
            <w:r>
              <w:rPr>
                <w:sz w:val="24"/>
                <w:szCs w:val="21"/>
              </w:rPr>
              <w:t>750</w:t>
            </w:r>
            <w:r>
              <w:rPr>
                <w:rFonts w:cs="宋体"/>
                <w:sz w:val="24"/>
                <w:szCs w:val="21"/>
              </w:rPr>
              <w:t>mg/L</w:t>
            </w:r>
            <w:r>
              <w:rPr>
                <w:rFonts w:hint="eastAsia"/>
                <w:sz w:val="24"/>
                <w:szCs w:val="21"/>
              </w:rPr>
              <w:t>、五日生化需氧量</w:t>
            </w:r>
            <w:r>
              <w:rPr>
                <w:sz w:val="24"/>
                <w:szCs w:val="21"/>
              </w:rPr>
              <w:t>400</w:t>
            </w:r>
            <w:r>
              <w:rPr>
                <w:rFonts w:cs="宋体"/>
                <w:sz w:val="24"/>
                <w:szCs w:val="21"/>
              </w:rPr>
              <w:t>mg/L</w:t>
            </w:r>
            <w:r>
              <w:rPr>
                <w:rFonts w:hint="eastAsia" w:cs="宋体"/>
                <w:sz w:val="24"/>
                <w:szCs w:val="21"/>
              </w:rPr>
              <w:t>，动植物油</w:t>
            </w:r>
            <w:r>
              <w:rPr>
                <w:rFonts w:cs="宋体"/>
                <w:sz w:val="24"/>
                <w:szCs w:val="21"/>
              </w:rPr>
              <w:t>150mg/L</w:t>
            </w:r>
            <w:r>
              <w:rPr>
                <w:rFonts w:hint="eastAsia" w:cs="宋体"/>
                <w:sz w:val="24"/>
                <w:szCs w:val="21"/>
              </w:rPr>
              <w:t>。</w:t>
            </w:r>
          </w:p>
          <w:p w14:paraId="58D7A362">
            <w:pPr>
              <w:spacing w:line="360" w:lineRule="auto"/>
              <w:ind w:firstLine="480" w:firstLineChars="200"/>
              <w:rPr>
                <w:rFonts w:cs="宋体"/>
                <w:sz w:val="24"/>
                <w:szCs w:val="21"/>
              </w:rPr>
            </w:pPr>
            <w:r>
              <w:rPr>
                <w:rFonts w:hint="eastAsia" w:cs="宋体"/>
                <w:sz w:val="24"/>
                <w:szCs w:val="21"/>
              </w:rPr>
              <w:t>项目生活污水产生量为</w:t>
            </w:r>
            <w:r>
              <w:rPr>
                <w:rFonts w:cs="宋体"/>
                <w:sz w:val="24"/>
                <w:szCs w:val="21"/>
              </w:rPr>
              <w:t>37.94</w:t>
            </w:r>
            <w:r>
              <w:rPr>
                <w:rFonts w:hint="eastAsia"/>
                <w:sz w:val="24"/>
                <w:szCs w:val="21"/>
              </w:rPr>
              <w:t>m</w:t>
            </w:r>
            <w:r>
              <w:rPr>
                <w:rFonts w:hint="eastAsia"/>
                <w:sz w:val="24"/>
                <w:szCs w:val="21"/>
                <w:vertAlign w:val="superscript"/>
              </w:rPr>
              <w:t>3</w:t>
            </w:r>
            <w:r>
              <w:rPr>
                <w:rFonts w:hint="eastAsia"/>
                <w:sz w:val="24"/>
                <w:szCs w:val="21"/>
              </w:rPr>
              <w:t>/d，</w:t>
            </w:r>
            <w:r>
              <w:rPr>
                <w:kern w:val="0"/>
                <w:sz w:val="24"/>
                <w:szCs w:val="21"/>
              </w:rPr>
              <w:t>12520.2</w:t>
            </w:r>
            <w:r>
              <w:rPr>
                <w:rFonts w:hint="eastAsia"/>
                <w:sz w:val="24"/>
                <w:szCs w:val="21"/>
              </w:rPr>
              <w:t>m</w:t>
            </w:r>
            <w:r>
              <w:rPr>
                <w:rFonts w:hint="eastAsia"/>
                <w:sz w:val="24"/>
                <w:szCs w:val="21"/>
                <w:vertAlign w:val="superscript"/>
              </w:rPr>
              <w:t>3</w:t>
            </w:r>
            <w:r>
              <w:rPr>
                <w:rFonts w:hint="eastAsia"/>
                <w:sz w:val="24"/>
                <w:szCs w:val="21"/>
              </w:rPr>
              <w:t>/a，主要污染物为氨氮、悬浮物、化学需氧量、五日生化需氧量，类比现有工程竣工环境保护验收监测结果，污染物浓度为氨氮</w:t>
            </w:r>
            <w:r>
              <w:rPr>
                <w:sz w:val="24"/>
                <w:szCs w:val="21"/>
              </w:rPr>
              <w:t>17.6</w:t>
            </w:r>
            <w:r>
              <w:rPr>
                <w:rFonts w:cs="宋体"/>
                <w:sz w:val="24"/>
                <w:szCs w:val="21"/>
              </w:rPr>
              <w:t>mg/L</w:t>
            </w:r>
            <w:r>
              <w:rPr>
                <w:rFonts w:hint="eastAsia"/>
                <w:sz w:val="24"/>
                <w:szCs w:val="21"/>
              </w:rPr>
              <w:t>、悬浮物</w:t>
            </w:r>
            <w:r>
              <w:rPr>
                <w:sz w:val="24"/>
                <w:szCs w:val="21"/>
              </w:rPr>
              <w:t>121</w:t>
            </w:r>
            <w:r>
              <w:rPr>
                <w:rFonts w:cs="宋体"/>
                <w:sz w:val="24"/>
                <w:szCs w:val="21"/>
              </w:rPr>
              <w:t>mg/L</w:t>
            </w:r>
            <w:r>
              <w:rPr>
                <w:rFonts w:hint="eastAsia"/>
                <w:sz w:val="24"/>
                <w:szCs w:val="21"/>
              </w:rPr>
              <w:t>、化学需氧量</w:t>
            </w:r>
            <w:r>
              <w:rPr>
                <w:sz w:val="24"/>
                <w:szCs w:val="21"/>
              </w:rPr>
              <w:t>698</w:t>
            </w:r>
            <w:r>
              <w:rPr>
                <w:rFonts w:cs="宋体"/>
                <w:sz w:val="24"/>
                <w:szCs w:val="21"/>
              </w:rPr>
              <w:t>mg/L</w:t>
            </w:r>
            <w:r>
              <w:rPr>
                <w:rFonts w:hint="eastAsia"/>
                <w:sz w:val="24"/>
                <w:szCs w:val="21"/>
              </w:rPr>
              <w:t>、五日生化需氧量</w:t>
            </w:r>
            <w:r>
              <w:rPr>
                <w:sz w:val="24"/>
                <w:szCs w:val="21"/>
              </w:rPr>
              <w:t>324</w:t>
            </w:r>
            <w:r>
              <w:rPr>
                <w:rFonts w:cs="宋体"/>
                <w:sz w:val="24"/>
                <w:szCs w:val="21"/>
              </w:rPr>
              <w:t>mg/L</w:t>
            </w:r>
            <w:r>
              <w:rPr>
                <w:rFonts w:hint="eastAsia" w:cs="宋体"/>
                <w:sz w:val="24"/>
                <w:szCs w:val="21"/>
              </w:rPr>
              <w:t>。</w:t>
            </w:r>
          </w:p>
          <w:p w14:paraId="1042CA99">
            <w:pPr>
              <w:adjustRightInd w:val="0"/>
              <w:snapToGrid w:val="0"/>
              <w:spacing w:line="360" w:lineRule="auto"/>
              <w:ind w:firstLine="480"/>
              <w:rPr>
                <w:sz w:val="24"/>
              </w:rPr>
            </w:pPr>
            <w:r>
              <w:rPr>
                <w:rFonts w:hint="eastAsia"/>
                <w:sz w:val="24"/>
              </w:rPr>
              <w:t>项目生产废水收集后经“隔油+调节池+破乳+气浮”预处理后进入污水处理设施生化处理系统，食堂废水经隔油池、化粪池处理后进入污水处理设施生化处理系统，生活污水经化粪池处理后进入污水处理设施生化处理系统。项目污水处理设施生化处理系统采用“水解酸化+生物接触氧化”工艺，废水经生化处理系统处理达《污水综合排放标准》（GB8978-1996）三级标准后排入园区市政污水管网，最终经李渡大耍坝污水处理厂处理达《城镇污水处理厂污染物排放标准》（GB18918-2002）的一级B标准后排入长江。</w:t>
            </w:r>
          </w:p>
          <w:p w14:paraId="5F63AF7D">
            <w:pPr>
              <w:adjustRightInd w:val="0"/>
              <w:snapToGrid w:val="0"/>
              <w:spacing w:line="360" w:lineRule="auto"/>
              <w:ind w:firstLine="480"/>
              <w:rPr>
                <w:bCs/>
                <w:spacing w:val="-10"/>
                <w:sz w:val="24"/>
              </w:rPr>
            </w:pPr>
            <w:r>
              <w:rPr>
                <w:rFonts w:hint="eastAsia"/>
                <w:bCs/>
                <w:spacing w:val="-10"/>
                <w:sz w:val="24"/>
              </w:rPr>
              <w:t>项目废水污染物产排污情况详见表4-6~表4-7。</w:t>
            </w:r>
          </w:p>
          <w:p w14:paraId="51778799">
            <w:pPr>
              <w:adjustRightInd w:val="0"/>
              <w:snapToGrid w:val="0"/>
              <w:spacing w:line="360" w:lineRule="auto"/>
              <w:ind w:firstLine="480"/>
              <w:rPr>
                <w:sz w:val="28"/>
                <w:szCs w:val="28"/>
              </w:rPr>
            </w:pPr>
          </w:p>
          <w:p w14:paraId="60C22436">
            <w:pPr>
              <w:adjustRightInd w:val="0"/>
              <w:snapToGrid w:val="0"/>
              <w:spacing w:line="360" w:lineRule="auto"/>
              <w:ind w:firstLine="480"/>
              <w:rPr>
                <w:sz w:val="28"/>
                <w:szCs w:val="28"/>
              </w:rPr>
            </w:pPr>
          </w:p>
          <w:p w14:paraId="132EF3D8">
            <w:pPr>
              <w:adjustRightInd w:val="0"/>
              <w:snapToGrid w:val="0"/>
              <w:spacing w:line="360" w:lineRule="auto"/>
              <w:ind w:firstLine="480"/>
              <w:rPr>
                <w:sz w:val="28"/>
                <w:szCs w:val="28"/>
              </w:rPr>
            </w:pPr>
          </w:p>
          <w:p w14:paraId="24DA9C2C">
            <w:pPr>
              <w:adjustRightInd w:val="0"/>
              <w:snapToGrid w:val="0"/>
              <w:spacing w:line="360" w:lineRule="auto"/>
              <w:ind w:firstLine="480"/>
              <w:rPr>
                <w:sz w:val="28"/>
                <w:szCs w:val="28"/>
              </w:rPr>
            </w:pPr>
          </w:p>
          <w:p w14:paraId="6E716F2D">
            <w:pPr>
              <w:adjustRightInd w:val="0"/>
              <w:snapToGrid w:val="0"/>
              <w:spacing w:line="360" w:lineRule="auto"/>
              <w:ind w:firstLine="480"/>
              <w:rPr>
                <w:sz w:val="28"/>
                <w:szCs w:val="28"/>
              </w:rPr>
            </w:pPr>
          </w:p>
          <w:p w14:paraId="4382EEDB">
            <w:pPr>
              <w:adjustRightInd w:val="0"/>
              <w:snapToGrid w:val="0"/>
              <w:spacing w:line="360" w:lineRule="auto"/>
              <w:ind w:firstLine="480"/>
              <w:rPr>
                <w:sz w:val="28"/>
                <w:szCs w:val="28"/>
              </w:rPr>
            </w:pPr>
          </w:p>
          <w:p w14:paraId="49036BA3">
            <w:pPr>
              <w:adjustRightInd w:val="0"/>
              <w:snapToGrid w:val="0"/>
              <w:spacing w:line="360" w:lineRule="auto"/>
              <w:ind w:firstLine="480"/>
              <w:rPr>
                <w:sz w:val="28"/>
                <w:szCs w:val="28"/>
              </w:rPr>
            </w:pPr>
          </w:p>
          <w:p w14:paraId="66906EF9">
            <w:pPr>
              <w:adjustRightInd w:val="0"/>
              <w:snapToGrid w:val="0"/>
              <w:spacing w:line="360" w:lineRule="auto"/>
              <w:ind w:firstLine="480"/>
              <w:rPr>
                <w:sz w:val="28"/>
                <w:szCs w:val="28"/>
              </w:rPr>
            </w:pPr>
          </w:p>
        </w:tc>
      </w:tr>
    </w:tbl>
    <w:p w14:paraId="6FEEF036">
      <w:pPr>
        <w:sectPr>
          <w:pgSz w:w="11907" w:h="16840"/>
          <w:pgMar w:top="1701" w:right="1531" w:bottom="2127" w:left="1531" w:header="851" w:footer="851" w:gutter="0"/>
          <w:cols w:space="720" w:num="1"/>
          <w:docGrid w:linePitch="312" w:charSpace="0"/>
        </w:sect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2591"/>
      </w:tblGrid>
      <w:tr w14:paraId="4F37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14:paraId="59582C5D">
            <w:pPr>
              <w:jc w:val="center"/>
            </w:pPr>
            <w:r>
              <w:rPr>
                <w:rFonts w:hint="eastAsia"/>
              </w:rPr>
              <w:t>运营</w:t>
            </w:r>
          </w:p>
          <w:p w14:paraId="2D83BD8D">
            <w:pPr>
              <w:jc w:val="center"/>
            </w:pPr>
            <w:r>
              <w:rPr>
                <w:rFonts w:hint="eastAsia"/>
              </w:rPr>
              <w:t>期环</w:t>
            </w:r>
          </w:p>
          <w:p w14:paraId="71867AE4">
            <w:pPr>
              <w:jc w:val="center"/>
            </w:pPr>
            <w:r>
              <w:rPr>
                <w:rFonts w:hint="eastAsia"/>
              </w:rPr>
              <w:t>境影</w:t>
            </w:r>
          </w:p>
          <w:p w14:paraId="626A686A">
            <w:pPr>
              <w:jc w:val="center"/>
            </w:pPr>
            <w:r>
              <w:rPr>
                <w:rFonts w:hint="eastAsia"/>
              </w:rPr>
              <w:t>响和</w:t>
            </w:r>
          </w:p>
          <w:p w14:paraId="50CE6D29">
            <w:pPr>
              <w:jc w:val="center"/>
            </w:pPr>
            <w:r>
              <w:rPr>
                <w:rFonts w:hint="eastAsia"/>
              </w:rPr>
              <w:t>保护</w:t>
            </w:r>
          </w:p>
          <w:p w14:paraId="6A63CA1D">
            <w:pPr>
              <w:jc w:val="center"/>
            </w:pPr>
            <w:r>
              <w:rPr>
                <w:rFonts w:hint="eastAsia"/>
              </w:rPr>
              <w:t>措施</w:t>
            </w:r>
          </w:p>
        </w:tc>
        <w:tc>
          <w:tcPr>
            <w:tcW w:w="8414" w:type="dxa"/>
          </w:tcPr>
          <w:p w14:paraId="6E94B72F">
            <w:pPr>
              <w:pStyle w:val="54"/>
              <w:spacing w:line="400" w:lineRule="exact"/>
              <w:jc w:val="center"/>
              <w:rPr>
                <w:rFonts w:ascii="Times New Roman" w:hAnsi="Times New Roman" w:cs="Times New Roman"/>
                <w:color w:val="auto"/>
              </w:rPr>
            </w:pPr>
            <w:r>
              <w:rPr>
                <w:rFonts w:ascii="Times New Roman" w:hAnsi="Times New Roman" w:cs="Times New Roman"/>
                <w:color w:val="auto"/>
              </w:rPr>
              <w:t xml:space="preserve">表4-9  </w:t>
            </w:r>
            <w:r>
              <w:rPr>
                <w:rFonts w:hint="eastAsia" w:ascii="Times New Roman" w:hAnsi="Times New Roman" w:cs="Times New Roman"/>
                <w:color w:val="auto"/>
              </w:rPr>
              <w:t>迁建</w:t>
            </w:r>
            <w:r>
              <w:rPr>
                <w:rFonts w:ascii="Times New Roman" w:hAnsi="Times New Roman" w:cs="Times New Roman"/>
                <w:color w:val="auto"/>
              </w:rPr>
              <w:t>后项目</w:t>
            </w:r>
            <w:r>
              <w:rPr>
                <w:rFonts w:hint="eastAsia" w:ascii="Times New Roman" w:hAnsi="Times New Roman" w:cs="Times New Roman"/>
                <w:color w:val="auto"/>
              </w:rPr>
              <w:t>废水污染物产排污情况一览表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710"/>
              <w:gridCol w:w="1103"/>
              <w:gridCol w:w="1073"/>
              <w:gridCol w:w="1405"/>
              <w:gridCol w:w="1063"/>
              <w:gridCol w:w="863"/>
              <w:gridCol w:w="720"/>
              <w:gridCol w:w="1150"/>
              <w:gridCol w:w="1387"/>
              <w:gridCol w:w="1014"/>
              <w:gridCol w:w="1197"/>
            </w:tblGrid>
            <w:tr w14:paraId="34FF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restart"/>
                  <w:shd w:val="clear" w:color="auto" w:fill="auto"/>
                  <w:vAlign w:val="center"/>
                </w:tcPr>
                <w:p w14:paraId="7B4E798C">
                  <w:pPr>
                    <w:jc w:val="center"/>
                    <w:rPr>
                      <w:szCs w:val="21"/>
                    </w:rPr>
                  </w:pPr>
                  <w:r>
                    <w:rPr>
                      <w:szCs w:val="21"/>
                    </w:rPr>
                    <w:t>产排污环节</w:t>
                  </w:r>
                </w:p>
              </w:tc>
              <w:tc>
                <w:tcPr>
                  <w:tcW w:w="287" w:type="pct"/>
                  <w:vMerge w:val="restart"/>
                  <w:vAlign w:val="center"/>
                </w:tcPr>
                <w:p w14:paraId="66711FF2">
                  <w:pPr>
                    <w:jc w:val="center"/>
                    <w:rPr>
                      <w:szCs w:val="21"/>
                    </w:rPr>
                  </w:pPr>
                  <w:r>
                    <w:rPr>
                      <w:szCs w:val="21"/>
                    </w:rPr>
                    <w:t>类别</w:t>
                  </w:r>
                </w:p>
              </w:tc>
              <w:tc>
                <w:tcPr>
                  <w:tcW w:w="446" w:type="pct"/>
                  <w:vMerge w:val="restart"/>
                  <w:shd w:val="clear" w:color="auto" w:fill="auto"/>
                  <w:vAlign w:val="center"/>
                </w:tcPr>
                <w:p w14:paraId="5DF592D5">
                  <w:pPr>
                    <w:jc w:val="center"/>
                    <w:rPr>
                      <w:szCs w:val="21"/>
                    </w:rPr>
                  </w:pPr>
                  <w:r>
                    <w:rPr>
                      <w:szCs w:val="21"/>
                    </w:rPr>
                    <w:t>污染物种类</w:t>
                  </w:r>
                </w:p>
              </w:tc>
              <w:tc>
                <w:tcPr>
                  <w:tcW w:w="434" w:type="pct"/>
                  <w:vMerge w:val="restart"/>
                  <w:shd w:val="clear" w:color="auto" w:fill="auto"/>
                  <w:vAlign w:val="center"/>
                </w:tcPr>
                <w:p w14:paraId="5CE7F994">
                  <w:pPr>
                    <w:jc w:val="center"/>
                    <w:rPr>
                      <w:szCs w:val="21"/>
                    </w:rPr>
                  </w:pPr>
                  <w:r>
                    <w:rPr>
                      <w:szCs w:val="21"/>
                    </w:rPr>
                    <w:t>污染物产生浓度</w:t>
                  </w:r>
                  <w:r>
                    <w:rPr>
                      <w:kern w:val="0"/>
                      <w:szCs w:val="21"/>
                    </w:rPr>
                    <w:t>mg/L</w:t>
                  </w:r>
                </w:p>
              </w:tc>
              <w:tc>
                <w:tcPr>
                  <w:tcW w:w="568" w:type="pct"/>
                  <w:vMerge w:val="restart"/>
                  <w:shd w:val="clear" w:color="auto" w:fill="auto"/>
                  <w:vAlign w:val="center"/>
                </w:tcPr>
                <w:p w14:paraId="0ECBD2BA">
                  <w:pPr>
                    <w:jc w:val="center"/>
                    <w:rPr>
                      <w:szCs w:val="21"/>
                    </w:rPr>
                  </w:pPr>
                  <w:r>
                    <w:rPr>
                      <w:szCs w:val="21"/>
                    </w:rPr>
                    <w:t>污染物产生量</w:t>
                  </w:r>
                  <w:r>
                    <w:rPr>
                      <w:kern w:val="0"/>
                      <w:szCs w:val="21"/>
                    </w:rPr>
                    <w:t>t/a</w:t>
                  </w:r>
                </w:p>
              </w:tc>
              <w:tc>
                <w:tcPr>
                  <w:tcW w:w="1535" w:type="pct"/>
                  <w:gridSpan w:val="4"/>
                  <w:shd w:val="clear" w:color="auto" w:fill="auto"/>
                  <w:vAlign w:val="center"/>
                </w:tcPr>
                <w:p w14:paraId="1AF5A3A6">
                  <w:pPr>
                    <w:jc w:val="center"/>
                    <w:rPr>
                      <w:szCs w:val="21"/>
                    </w:rPr>
                  </w:pPr>
                  <w:r>
                    <w:rPr>
                      <w:szCs w:val="21"/>
                    </w:rPr>
                    <w:t>治理设施</w:t>
                  </w:r>
                </w:p>
              </w:tc>
              <w:tc>
                <w:tcPr>
                  <w:tcW w:w="561" w:type="pct"/>
                  <w:vMerge w:val="restart"/>
                  <w:shd w:val="clear" w:color="auto" w:fill="auto"/>
                  <w:vAlign w:val="center"/>
                </w:tcPr>
                <w:p w14:paraId="2ED26DC0">
                  <w:pPr>
                    <w:jc w:val="center"/>
                    <w:rPr>
                      <w:szCs w:val="21"/>
                    </w:rPr>
                  </w:pPr>
                  <w:r>
                    <w:rPr>
                      <w:szCs w:val="21"/>
                    </w:rPr>
                    <w:t>废水排放量</w:t>
                  </w:r>
                </w:p>
              </w:tc>
              <w:tc>
                <w:tcPr>
                  <w:tcW w:w="410" w:type="pct"/>
                  <w:vMerge w:val="restart"/>
                  <w:shd w:val="clear" w:color="auto" w:fill="auto"/>
                  <w:vAlign w:val="center"/>
                </w:tcPr>
                <w:p w14:paraId="04A47534">
                  <w:pPr>
                    <w:jc w:val="center"/>
                    <w:rPr>
                      <w:szCs w:val="21"/>
                    </w:rPr>
                  </w:pPr>
                  <w:r>
                    <w:rPr>
                      <w:szCs w:val="21"/>
                    </w:rPr>
                    <w:t>污染物排放浓度</w:t>
                  </w:r>
                  <w:r>
                    <w:rPr>
                      <w:kern w:val="0"/>
                      <w:szCs w:val="21"/>
                    </w:rPr>
                    <w:t>mg/L</w:t>
                  </w:r>
                </w:p>
              </w:tc>
              <w:tc>
                <w:tcPr>
                  <w:tcW w:w="484" w:type="pct"/>
                  <w:vMerge w:val="restart"/>
                  <w:shd w:val="clear" w:color="auto" w:fill="auto"/>
                  <w:vAlign w:val="center"/>
                </w:tcPr>
                <w:p w14:paraId="17E892E0">
                  <w:pPr>
                    <w:jc w:val="center"/>
                    <w:rPr>
                      <w:szCs w:val="21"/>
                    </w:rPr>
                  </w:pPr>
                  <w:r>
                    <w:rPr>
                      <w:szCs w:val="21"/>
                    </w:rPr>
                    <w:t>污染物排放量</w:t>
                  </w:r>
                  <w:r>
                    <w:rPr>
                      <w:kern w:val="0"/>
                      <w:szCs w:val="21"/>
                    </w:rPr>
                    <w:t>t/a</w:t>
                  </w:r>
                </w:p>
              </w:tc>
            </w:tr>
            <w:tr w14:paraId="6E59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5EE62F3F">
                  <w:pPr>
                    <w:jc w:val="center"/>
                    <w:rPr>
                      <w:szCs w:val="21"/>
                    </w:rPr>
                  </w:pPr>
                </w:p>
              </w:tc>
              <w:tc>
                <w:tcPr>
                  <w:tcW w:w="287" w:type="pct"/>
                  <w:vMerge w:val="continue"/>
                  <w:vAlign w:val="center"/>
                </w:tcPr>
                <w:p w14:paraId="7324AEA4">
                  <w:pPr>
                    <w:jc w:val="center"/>
                    <w:rPr>
                      <w:szCs w:val="21"/>
                    </w:rPr>
                  </w:pPr>
                </w:p>
              </w:tc>
              <w:tc>
                <w:tcPr>
                  <w:tcW w:w="446" w:type="pct"/>
                  <w:vMerge w:val="continue"/>
                  <w:shd w:val="clear" w:color="auto" w:fill="auto"/>
                  <w:vAlign w:val="center"/>
                </w:tcPr>
                <w:p w14:paraId="0158E3C3">
                  <w:pPr>
                    <w:jc w:val="center"/>
                    <w:rPr>
                      <w:szCs w:val="21"/>
                    </w:rPr>
                  </w:pPr>
                </w:p>
              </w:tc>
              <w:tc>
                <w:tcPr>
                  <w:tcW w:w="434" w:type="pct"/>
                  <w:vMerge w:val="continue"/>
                  <w:shd w:val="clear" w:color="auto" w:fill="auto"/>
                  <w:vAlign w:val="center"/>
                </w:tcPr>
                <w:p w14:paraId="0DEBD192">
                  <w:pPr>
                    <w:jc w:val="center"/>
                    <w:rPr>
                      <w:szCs w:val="21"/>
                    </w:rPr>
                  </w:pPr>
                </w:p>
              </w:tc>
              <w:tc>
                <w:tcPr>
                  <w:tcW w:w="568" w:type="pct"/>
                  <w:vMerge w:val="continue"/>
                  <w:shd w:val="clear" w:color="auto" w:fill="auto"/>
                  <w:vAlign w:val="center"/>
                </w:tcPr>
                <w:p w14:paraId="6495F0AB">
                  <w:pPr>
                    <w:jc w:val="center"/>
                    <w:rPr>
                      <w:szCs w:val="21"/>
                    </w:rPr>
                  </w:pPr>
                </w:p>
              </w:tc>
              <w:tc>
                <w:tcPr>
                  <w:tcW w:w="430" w:type="pct"/>
                  <w:shd w:val="clear" w:color="auto" w:fill="auto"/>
                  <w:vAlign w:val="center"/>
                </w:tcPr>
                <w:p w14:paraId="78F5E443">
                  <w:pPr>
                    <w:jc w:val="center"/>
                    <w:rPr>
                      <w:szCs w:val="21"/>
                    </w:rPr>
                  </w:pPr>
                  <w:r>
                    <w:rPr>
                      <w:szCs w:val="21"/>
                    </w:rPr>
                    <w:t>处理能力</w:t>
                  </w:r>
                </w:p>
              </w:tc>
              <w:tc>
                <w:tcPr>
                  <w:tcW w:w="349" w:type="pct"/>
                  <w:shd w:val="clear" w:color="auto" w:fill="auto"/>
                  <w:vAlign w:val="center"/>
                </w:tcPr>
                <w:p w14:paraId="348E75E7">
                  <w:pPr>
                    <w:jc w:val="center"/>
                    <w:rPr>
                      <w:szCs w:val="21"/>
                    </w:rPr>
                  </w:pPr>
                  <w:r>
                    <w:rPr>
                      <w:szCs w:val="21"/>
                    </w:rPr>
                    <w:t>处理工艺</w:t>
                  </w:r>
                </w:p>
              </w:tc>
              <w:tc>
                <w:tcPr>
                  <w:tcW w:w="291" w:type="pct"/>
                  <w:shd w:val="clear" w:color="auto" w:fill="auto"/>
                  <w:vAlign w:val="center"/>
                </w:tcPr>
                <w:p w14:paraId="29F3DCE6">
                  <w:pPr>
                    <w:jc w:val="center"/>
                    <w:rPr>
                      <w:szCs w:val="21"/>
                    </w:rPr>
                  </w:pPr>
                  <w:r>
                    <w:rPr>
                      <w:szCs w:val="21"/>
                    </w:rPr>
                    <w:t>治理效率</w:t>
                  </w:r>
                </w:p>
              </w:tc>
              <w:tc>
                <w:tcPr>
                  <w:tcW w:w="465" w:type="pct"/>
                  <w:shd w:val="clear" w:color="auto" w:fill="auto"/>
                  <w:vAlign w:val="center"/>
                </w:tcPr>
                <w:p w14:paraId="6617FA2D">
                  <w:pPr>
                    <w:jc w:val="center"/>
                    <w:rPr>
                      <w:szCs w:val="21"/>
                    </w:rPr>
                  </w:pPr>
                  <w:r>
                    <w:rPr>
                      <w:szCs w:val="21"/>
                    </w:rPr>
                    <w:t>是否为可行技术</w:t>
                  </w:r>
                </w:p>
              </w:tc>
              <w:tc>
                <w:tcPr>
                  <w:tcW w:w="561" w:type="pct"/>
                  <w:vMerge w:val="continue"/>
                  <w:shd w:val="clear" w:color="auto" w:fill="auto"/>
                  <w:vAlign w:val="center"/>
                </w:tcPr>
                <w:p w14:paraId="2337B493">
                  <w:pPr>
                    <w:jc w:val="center"/>
                    <w:rPr>
                      <w:szCs w:val="21"/>
                    </w:rPr>
                  </w:pPr>
                </w:p>
              </w:tc>
              <w:tc>
                <w:tcPr>
                  <w:tcW w:w="410" w:type="pct"/>
                  <w:vMerge w:val="continue"/>
                  <w:shd w:val="clear" w:color="auto" w:fill="auto"/>
                  <w:vAlign w:val="center"/>
                </w:tcPr>
                <w:p w14:paraId="3333B2FE">
                  <w:pPr>
                    <w:jc w:val="center"/>
                    <w:rPr>
                      <w:szCs w:val="21"/>
                    </w:rPr>
                  </w:pPr>
                </w:p>
              </w:tc>
              <w:tc>
                <w:tcPr>
                  <w:tcW w:w="484" w:type="pct"/>
                  <w:vMerge w:val="continue"/>
                  <w:shd w:val="clear" w:color="auto" w:fill="auto"/>
                  <w:vAlign w:val="center"/>
                </w:tcPr>
                <w:p w14:paraId="61D73D31">
                  <w:pPr>
                    <w:jc w:val="center"/>
                    <w:rPr>
                      <w:szCs w:val="21"/>
                    </w:rPr>
                  </w:pPr>
                </w:p>
              </w:tc>
            </w:tr>
            <w:tr w14:paraId="03A7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restart"/>
                  <w:shd w:val="clear" w:color="auto" w:fill="auto"/>
                  <w:vAlign w:val="center"/>
                </w:tcPr>
                <w:p w14:paraId="03078440">
                  <w:pPr>
                    <w:jc w:val="center"/>
                    <w:rPr>
                      <w:szCs w:val="21"/>
                    </w:rPr>
                  </w:pPr>
                  <w:r>
                    <w:rPr>
                      <w:szCs w:val="21"/>
                    </w:rPr>
                    <w:t>车间生产</w:t>
                  </w:r>
                </w:p>
              </w:tc>
              <w:tc>
                <w:tcPr>
                  <w:tcW w:w="287" w:type="pct"/>
                  <w:vMerge w:val="restart"/>
                  <w:vAlign w:val="center"/>
                </w:tcPr>
                <w:p w14:paraId="1B0DA3C1">
                  <w:pPr>
                    <w:jc w:val="center"/>
                    <w:rPr>
                      <w:szCs w:val="21"/>
                    </w:rPr>
                  </w:pPr>
                  <w:r>
                    <w:rPr>
                      <w:szCs w:val="21"/>
                    </w:rPr>
                    <w:t>生产废水</w:t>
                  </w:r>
                </w:p>
              </w:tc>
              <w:tc>
                <w:tcPr>
                  <w:tcW w:w="446" w:type="pct"/>
                  <w:shd w:val="clear" w:color="auto" w:fill="auto"/>
                  <w:vAlign w:val="center"/>
                </w:tcPr>
                <w:p w14:paraId="0368DE1F">
                  <w:pPr>
                    <w:jc w:val="center"/>
                    <w:rPr>
                      <w:bCs/>
                      <w:szCs w:val="21"/>
                    </w:rPr>
                  </w:pPr>
                  <w:r>
                    <w:rPr>
                      <w:bCs/>
                      <w:szCs w:val="21"/>
                    </w:rPr>
                    <w:t>氨氮</w:t>
                  </w:r>
                </w:p>
              </w:tc>
              <w:tc>
                <w:tcPr>
                  <w:tcW w:w="434" w:type="pct"/>
                  <w:shd w:val="clear" w:color="auto" w:fill="auto"/>
                  <w:vAlign w:val="center"/>
                </w:tcPr>
                <w:p w14:paraId="6A2CC515">
                  <w:pPr>
                    <w:widowControl/>
                    <w:jc w:val="center"/>
                    <w:rPr>
                      <w:rFonts w:eastAsia="等线"/>
                      <w:kern w:val="0"/>
                      <w:szCs w:val="21"/>
                    </w:rPr>
                  </w:pPr>
                  <w:r>
                    <w:rPr>
                      <w:rFonts w:eastAsia="等线"/>
                      <w:szCs w:val="21"/>
                    </w:rPr>
                    <w:t>9.55</w:t>
                  </w:r>
                </w:p>
              </w:tc>
              <w:tc>
                <w:tcPr>
                  <w:tcW w:w="568" w:type="pct"/>
                  <w:shd w:val="clear" w:color="auto" w:fill="auto"/>
                  <w:vAlign w:val="center"/>
                </w:tcPr>
                <w:p w14:paraId="553F0F29">
                  <w:pPr>
                    <w:widowControl/>
                    <w:jc w:val="center"/>
                    <w:rPr>
                      <w:rFonts w:eastAsia="等线"/>
                      <w:kern w:val="0"/>
                      <w:sz w:val="22"/>
                      <w:szCs w:val="22"/>
                    </w:rPr>
                  </w:pPr>
                  <w:r>
                    <w:rPr>
                      <w:rFonts w:eastAsia="等线"/>
                      <w:sz w:val="22"/>
                      <w:szCs w:val="22"/>
                    </w:rPr>
                    <w:t xml:space="preserve">0.053 </w:t>
                  </w:r>
                </w:p>
              </w:tc>
              <w:tc>
                <w:tcPr>
                  <w:tcW w:w="430" w:type="pct"/>
                  <w:vMerge w:val="restart"/>
                  <w:shd w:val="clear" w:color="auto" w:fill="auto"/>
                  <w:vAlign w:val="center"/>
                </w:tcPr>
                <w:p w14:paraId="5B879553">
                  <w:pPr>
                    <w:jc w:val="center"/>
                    <w:rPr>
                      <w:szCs w:val="21"/>
                    </w:rPr>
                  </w:pPr>
                  <w:r>
                    <w:rPr>
                      <w:szCs w:val="21"/>
                    </w:rPr>
                    <w:t>100m</w:t>
                  </w:r>
                  <w:r>
                    <w:rPr>
                      <w:szCs w:val="21"/>
                      <w:vertAlign w:val="superscript"/>
                    </w:rPr>
                    <w:t>3</w:t>
                  </w:r>
                  <w:r>
                    <w:rPr>
                      <w:szCs w:val="21"/>
                    </w:rPr>
                    <w:t>/d</w:t>
                  </w:r>
                </w:p>
              </w:tc>
              <w:tc>
                <w:tcPr>
                  <w:tcW w:w="349" w:type="pct"/>
                  <w:vMerge w:val="restart"/>
                  <w:shd w:val="clear" w:color="auto" w:fill="auto"/>
                  <w:vAlign w:val="center"/>
                </w:tcPr>
                <w:p w14:paraId="558528B6">
                  <w:pPr>
                    <w:jc w:val="center"/>
                    <w:rPr>
                      <w:szCs w:val="21"/>
                    </w:rPr>
                  </w:pPr>
                  <w:r>
                    <w:rPr>
                      <w:szCs w:val="21"/>
                    </w:rPr>
                    <w:t>预处理+生化处理</w:t>
                  </w:r>
                </w:p>
              </w:tc>
              <w:tc>
                <w:tcPr>
                  <w:tcW w:w="291" w:type="pct"/>
                  <w:vMerge w:val="restart"/>
                  <w:shd w:val="clear" w:color="auto" w:fill="auto"/>
                  <w:vAlign w:val="center"/>
                </w:tcPr>
                <w:p w14:paraId="0ACE56F9">
                  <w:pPr>
                    <w:jc w:val="center"/>
                    <w:rPr>
                      <w:szCs w:val="21"/>
                    </w:rPr>
                  </w:pPr>
                  <w:r>
                    <w:rPr>
                      <w:szCs w:val="21"/>
                    </w:rPr>
                    <w:t>约80%</w:t>
                  </w:r>
                </w:p>
              </w:tc>
              <w:tc>
                <w:tcPr>
                  <w:tcW w:w="465" w:type="pct"/>
                  <w:vMerge w:val="restart"/>
                  <w:shd w:val="clear" w:color="auto" w:fill="auto"/>
                  <w:vAlign w:val="center"/>
                </w:tcPr>
                <w:p w14:paraId="4ECDD137">
                  <w:pPr>
                    <w:jc w:val="center"/>
                    <w:rPr>
                      <w:szCs w:val="21"/>
                    </w:rPr>
                  </w:pPr>
                  <w:r>
                    <w:rPr>
                      <w:szCs w:val="21"/>
                    </w:rPr>
                    <w:t>是</w:t>
                  </w:r>
                </w:p>
              </w:tc>
              <w:tc>
                <w:tcPr>
                  <w:tcW w:w="561" w:type="pct"/>
                  <w:vMerge w:val="restart"/>
                  <w:shd w:val="clear" w:color="auto" w:fill="auto"/>
                  <w:vAlign w:val="center"/>
                </w:tcPr>
                <w:p w14:paraId="5F6ABCCF">
                  <w:pPr>
                    <w:jc w:val="center"/>
                    <w:rPr>
                      <w:szCs w:val="21"/>
                    </w:rPr>
                  </w:pPr>
                  <w:r>
                    <w:rPr>
                      <w:szCs w:val="21"/>
                    </w:rPr>
                    <w:t>20.23m</w:t>
                  </w:r>
                  <w:r>
                    <w:rPr>
                      <w:szCs w:val="21"/>
                      <w:vertAlign w:val="superscript"/>
                    </w:rPr>
                    <w:t>3</w:t>
                  </w:r>
                  <w:r>
                    <w:rPr>
                      <w:szCs w:val="21"/>
                    </w:rPr>
                    <w:t>/d</w:t>
                  </w:r>
                </w:p>
                <w:p w14:paraId="7257F43D">
                  <w:pPr>
                    <w:jc w:val="center"/>
                    <w:rPr>
                      <w:szCs w:val="21"/>
                    </w:rPr>
                  </w:pPr>
                  <w:r>
                    <w:rPr>
                      <w:szCs w:val="21"/>
                    </w:rPr>
                    <w:t>5578.06m</w:t>
                  </w:r>
                  <w:r>
                    <w:rPr>
                      <w:szCs w:val="21"/>
                      <w:vertAlign w:val="superscript"/>
                    </w:rPr>
                    <w:t>3</w:t>
                  </w:r>
                  <w:r>
                    <w:rPr>
                      <w:szCs w:val="21"/>
                    </w:rPr>
                    <w:t>/a</w:t>
                  </w:r>
                </w:p>
              </w:tc>
              <w:tc>
                <w:tcPr>
                  <w:tcW w:w="410" w:type="pct"/>
                  <w:shd w:val="clear" w:color="auto" w:fill="auto"/>
                  <w:vAlign w:val="center"/>
                </w:tcPr>
                <w:p w14:paraId="2E11AC66">
                  <w:pPr>
                    <w:spacing w:line="280" w:lineRule="exact"/>
                    <w:jc w:val="center"/>
                    <w:rPr>
                      <w:szCs w:val="21"/>
                    </w:rPr>
                  </w:pPr>
                  <w:r>
                    <w:rPr>
                      <w:szCs w:val="21"/>
                    </w:rPr>
                    <w:t>45</w:t>
                  </w:r>
                </w:p>
              </w:tc>
              <w:tc>
                <w:tcPr>
                  <w:tcW w:w="484" w:type="pct"/>
                  <w:shd w:val="clear" w:color="auto" w:fill="auto"/>
                  <w:vAlign w:val="center"/>
                </w:tcPr>
                <w:p w14:paraId="6D2E9A3C">
                  <w:pPr>
                    <w:widowControl/>
                    <w:jc w:val="center"/>
                    <w:rPr>
                      <w:rFonts w:eastAsia="等线"/>
                      <w:kern w:val="0"/>
                      <w:sz w:val="22"/>
                      <w:szCs w:val="22"/>
                    </w:rPr>
                  </w:pPr>
                  <w:r>
                    <w:rPr>
                      <w:rFonts w:eastAsia="等线"/>
                      <w:sz w:val="22"/>
                      <w:szCs w:val="22"/>
                    </w:rPr>
                    <w:t xml:space="preserve">0.053 </w:t>
                  </w:r>
                </w:p>
              </w:tc>
            </w:tr>
            <w:tr w14:paraId="7B06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41566547">
                  <w:pPr>
                    <w:jc w:val="center"/>
                    <w:rPr>
                      <w:szCs w:val="21"/>
                    </w:rPr>
                  </w:pPr>
                </w:p>
              </w:tc>
              <w:tc>
                <w:tcPr>
                  <w:tcW w:w="287" w:type="pct"/>
                  <w:vMerge w:val="continue"/>
                  <w:vAlign w:val="center"/>
                </w:tcPr>
                <w:p w14:paraId="501C52A4">
                  <w:pPr>
                    <w:jc w:val="center"/>
                    <w:rPr>
                      <w:szCs w:val="21"/>
                    </w:rPr>
                  </w:pPr>
                </w:p>
              </w:tc>
              <w:tc>
                <w:tcPr>
                  <w:tcW w:w="446" w:type="pct"/>
                  <w:shd w:val="clear" w:color="auto" w:fill="auto"/>
                  <w:vAlign w:val="center"/>
                </w:tcPr>
                <w:p w14:paraId="4D64F97F">
                  <w:pPr>
                    <w:jc w:val="center"/>
                    <w:rPr>
                      <w:bCs/>
                      <w:szCs w:val="21"/>
                    </w:rPr>
                  </w:pPr>
                  <w:r>
                    <w:rPr>
                      <w:bCs/>
                      <w:szCs w:val="21"/>
                    </w:rPr>
                    <w:t>SS</w:t>
                  </w:r>
                </w:p>
              </w:tc>
              <w:tc>
                <w:tcPr>
                  <w:tcW w:w="434" w:type="pct"/>
                  <w:shd w:val="clear" w:color="auto" w:fill="auto"/>
                  <w:vAlign w:val="center"/>
                </w:tcPr>
                <w:p w14:paraId="3F3DBA9C">
                  <w:pPr>
                    <w:jc w:val="center"/>
                    <w:rPr>
                      <w:rFonts w:eastAsia="等线"/>
                      <w:szCs w:val="21"/>
                    </w:rPr>
                  </w:pPr>
                  <w:r>
                    <w:rPr>
                      <w:rFonts w:eastAsia="等线"/>
                      <w:szCs w:val="21"/>
                    </w:rPr>
                    <w:t>288</w:t>
                  </w:r>
                </w:p>
              </w:tc>
              <w:tc>
                <w:tcPr>
                  <w:tcW w:w="568" w:type="pct"/>
                  <w:shd w:val="clear" w:color="auto" w:fill="auto"/>
                  <w:vAlign w:val="center"/>
                </w:tcPr>
                <w:p w14:paraId="6943FD3C">
                  <w:pPr>
                    <w:jc w:val="center"/>
                    <w:rPr>
                      <w:rFonts w:eastAsia="等线"/>
                      <w:sz w:val="22"/>
                      <w:szCs w:val="22"/>
                    </w:rPr>
                  </w:pPr>
                  <w:r>
                    <w:rPr>
                      <w:rFonts w:eastAsia="等线"/>
                      <w:sz w:val="22"/>
                      <w:szCs w:val="22"/>
                    </w:rPr>
                    <w:t xml:space="preserve">1.606 </w:t>
                  </w:r>
                </w:p>
              </w:tc>
              <w:tc>
                <w:tcPr>
                  <w:tcW w:w="430" w:type="pct"/>
                  <w:vMerge w:val="continue"/>
                  <w:shd w:val="clear" w:color="auto" w:fill="auto"/>
                  <w:vAlign w:val="center"/>
                </w:tcPr>
                <w:p w14:paraId="5101E7ED">
                  <w:pPr>
                    <w:jc w:val="center"/>
                    <w:rPr>
                      <w:szCs w:val="21"/>
                    </w:rPr>
                  </w:pPr>
                </w:p>
              </w:tc>
              <w:tc>
                <w:tcPr>
                  <w:tcW w:w="349" w:type="pct"/>
                  <w:vMerge w:val="continue"/>
                  <w:shd w:val="clear" w:color="auto" w:fill="auto"/>
                  <w:vAlign w:val="center"/>
                </w:tcPr>
                <w:p w14:paraId="3F61D638">
                  <w:pPr>
                    <w:jc w:val="center"/>
                    <w:rPr>
                      <w:szCs w:val="21"/>
                    </w:rPr>
                  </w:pPr>
                </w:p>
              </w:tc>
              <w:tc>
                <w:tcPr>
                  <w:tcW w:w="291" w:type="pct"/>
                  <w:vMerge w:val="continue"/>
                  <w:shd w:val="clear" w:color="auto" w:fill="auto"/>
                  <w:vAlign w:val="center"/>
                </w:tcPr>
                <w:p w14:paraId="0982A74E">
                  <w:pPr>
                    <w:jc w:val="center"/>
                    <w:rPr>
                      <w:szCs w:val="21"/>
                    </w:rPr>
                  </w:pPr>
                </w:p>
              </w:tc>
              <w:tc>
                <w:tcPr>
                  <w:tcW w:w="465" w:type="pct"/>
                  <w:vMerge w:val="continue"/>
                  <w:shd w:val="clear" w:color="auto" w:fill="auto"/>
                  <w:vAlign w:val="center"/>
                </w:tcPr>
                <w:p w14:paraId="3627BA7F">
                  <w:pPr>
                    <w:jc w:val="center"/>
                    <w:rPr>
                      <w:szCs w:val="21"/>
                    </w:rPr>
                  </w:pPr>
                </w:p>
              </w:tc>
              <w:tc>
                <w:tcPr>
                  <w:tcW w:w="561" w:type="pct"/>
                  <w:vMerge w:val="continue"/>
                  <w:shd w:val="clear" w:color="auto" w:fill="auto"/>
                  <w:vAlign w:val="center"/>
                </w:tcPr>
                <w:p w14:paraId="07C3C77E">
                  <w:pPr>
                    <w:jc w:val="center"/>
                    <w:rPr>
                      <w:szCs w:val="21"/>
                    </w:rPr>
                  </w:pPr>
                </w:p>
              </w:tc>
              <w:tc>
                <w:tcPr>
                  <w:tcW w:w="410" w:type="pct"/>
                  <w:shd w:val="clear" w:color="auto" w:fill="auto"/>
                  <w:vAlign w:val="center"/>
                </w:tcPr>
                <w:p w14:paraId="34AA13CC">
                  <w:pPr>
                    <w:spacing w:line="280" w:lineRule="exact"/>
                    <w:jc w:val="center"/>
                    <w:rPr>
                      <w:szCs w:val="21"/>
                    </w:rPr>
                  </w:pPr>
                  <w:r>
                    <w:rPr>
                      <w:szCs w:val="21"/>
                    </w:rPr>
                    <w:t>400</w:t>
                  </w:r>
                </w:p>
              </w:tc>
              <w:tc>
                <w:tcPr>
                  <w:tcW w:w="484" w:type="pct"/>
                  <w:shd w:val="clear" w:color="auto" w:fill="auto"/>
                  <w:vAlign w:val="center"/>
                </w:tcPr>
                <w:p w14:paraId="7AFE61D9">
                  <w:pPr>
                    <w:jc w:val="center"/>
                    <w:rPr>
                      <w:rFonts w:eastAsia="等线"/>
                      <w:sz w:val="22"/>
                      <w:szCs w:val="22"/>
                    </w:rPr>
                  </w:pPr>
                  <w:r>
                    <w:rPr>
                      <w:rFonts w:eastAsia="等线"/>
                      <w:sz w:val="22"/>
                      <w:szCs w:val="22"/>
                    </w:rPr>
                    <w:t xml:space="preserve">1.606 </w:t>
                  </w:r>
                </w:p>
              </w:tc>
            </w:tr>
            <w:tr w14:paraId="0437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570C89D7">
                  <w:pPr>
                    <w:jc w:val="center"/>
                    <w:rPr>
                      <w:szCs w:val="21"/>
                    </w:rPr>
                  </w:pPr>
                </w:p>
              </w:tc>
              <w:tc>
                <w:tcPr>
                  <w:tcW w:w="287" w:type="pct"/>
                  <w:vMerge w:val="continue"/>
                  <w:vAlign w:val="center"/>
                </w:tcPr>
                <w:p w14:paraId="68E0978E">
                  <w:pPr>
                    <w:jc w:val="center"/>
                    <w:rPr>
                      <w:szCs w:val="21"/>
                    </w:rPr>
                  </w:pPr>
                </w:p>
              </w:tc>
              <w:tc>
                <w:tcPr>
                  <w:tcW w:w="446" w:type="pct"/>
                  <w:shd w:val="clear" w:color="auto" w:fill="auto"/>
                  <w:vAlign w:val="center"/>
                </w:tcPr>
                <w:p w14:paraId="70D20BF3">
                  <w:pPr>
                    <w:jc w:val="center"/>
                    <w:rPr>
                      <w:bCs/>
                      <w:szCs w:val="21"/>
                    </w:rPr>
                  </w:pPr>
                  <w:r>
                    <w:rPr>
                      <w:bCs/>
                      <w:szCs w:val="21"/>
                    </w:rPr>
                    <w:t>石油类</w:t>
                  </w:r>
                </w:p>
              </w:tc>
              <w:tc>
                <w:tcPr>
                  <w:tcW w:w="434" w:type="pct"/>
                  <w:shd w:val="clear" w:color="auto" w:fill="auto"/>
                  <w:vAlign w:val="center"/>
                </w:tcPr>
                <w:p w14:paraId="2C3F1EE4">
                  <w:pPr>
                    <w:jc w:val="center"/>
                    <w:rPr>
                      <w:rFonts w:eastAsia="等线"/>
                      <w:szCs w:val="21"/>
                    </w:rPr>
                  </w:pPr>
                  <w:r>
                    <w:rPr>
                      <w:rFonts w:eastAsia="等线"/>
                      <w:szCs w:val="21"/>
                    </w:rPr>
                    <w:t>90.2</w:t>
                  </w:r>
                </w:p>
              </w:tc>
              <w:tc>
                <w:tcPr>
                  <w:tcW w:w="568" w:type="pct"/>
                  <w:shd w:val="clear" w:color="auto" w:fill="auto"/>
                  <w:vAlign w:val="center"/>
                </w:tcPr>
                <w:p w14:paraId="6A3B225D">
                  <w:pPr>
                    <w:jc w:val="center"/>
                    <w:rPr>
                      <w:rFonts w:eastAsia="等线"/>
                      <w:sz w:val="22"/>
                      <w:szCs w:val="22"/>
                    </w:rPr>
                  </w:pPr>
                  <w:r>
                    <w:rPr>
                      <w:rFonts w:eastAsia="等线"/>
                      <w:sz w:val="22"/>
                      <w:szCs w:val="22"/>
                    </w:rPr>
                    <w:t xml:space="preserve">0.503 </w:t>
                  </w:r>
                </w:p>
              </w:tc>
              <w:tc>
                <w:tcPr>
                  <w:tcW w:w="430" w:type="pct"/>
                  <w:vMerge w:val="continue"/>
                  <w:shd w:val="clear" w:color="auto" w:fill="auto"/>
                  <w:vAlign w:val="center"/>
                </w:tcPr>
                <w:p w14:paraId="24212B8E">
                  <w:pPr>
                    <w:jc w:val="center"/>
                    <w:rPr>
                      <w:szCs w:val="21"/>
                    </w:rPr>
                  </w:pPr>
                </w:p>
              </w:tc>
              <w:tc>
                <w:tcPr>
                  <w:tcW w:w="349" w:type="pct"/>
                  <w:vMerge w:val="continue"/>
                  <w:shd w:val="clear" w:color="auto" w:fill="auto"/>
                  <w:vAlign w:val="center"/>
                </w:tcPr>
                <w:p w14:paraId="2A50871D">
                  <w:pPr>
                    <w:jc w:val="center"/>
                    <w:rPr>
                      <w:szCs w:val="21"/>
                    </w:rPr>
                  </w:pPr>
                </w:p>
              </w:tc>
              <w:tc>
                <w:tcPr>
                  <w:tcW w:w="291" w:type="pct"/>
                  <w:vMerge w:val="continue"/>
                  <w:shd w:val="clear" w:color="auto" w:fill="auto"/>
                  <w:vAlign w:val="center"/>
                </w:tcPr>
                <w:p w14:paraId="1FA966AE">
                  <w:pPr>
                    <w:jc w:val="center"/>
                    <w:rPr>
                      <w:szCs w:val="21"/>
                    </w:rPr>
                  </w:pPr>
                </w:p>
              </w:tc>
              <w:tc>
                <w:tcPr>
                  <w:tcW w:w="465" w:type="pct"/>
                  <w:vMerge w:val="continue"/>
                  <w:shd w:val="clear" w:color="auto" w:fill="auto"/>
                  <w:vAlign w:val="center"/>
                </w:tcPr>
                <w:p w14:paraId="0C96F384">
                  <w:pPr>
                    <w:jc w:val="center"/>
                    <w:rPr>
                      <w:szCs w:val="21"/>
                    </w:rPr>
                  </w:pPr>
                </w:p>
              </w:tc>
              <w:tc>
                <w:tcPr>
                  <w:tcW w:w="561" w:type="pct"/>
                  <w:vMerge w:val="continue"/>
                  <w:shd w:val="clear" w:color="auto" w:fill="auto"/>
                  <w:vAlign w:val="center"/>
                </w:tcPr>
                <w:p w14:paraId="0BDA9AB9">
                  <w:pPr>
                    <w:jc w:val="center"/>
                    <w:rPr>
                      <w:szCs w:val="21"/>
                    </w:rPr>
                  </w:pPr>
                </w:p>
              </w:tc>
              <w:tc>
                <w:tcPr>
                  <w:tcW w:w="410" w:type="pct"/>
                  <w:shd w:val="clear" w:color="auto" w:fill="auto"/>
                  <w:vAlign w:val="center"/>
                </w:tcPr>
                <w:p w14:paraId="3EDF63AE">
                  <w:pPr>
                    <w:spacing w:line="280" w:lineRule="exact"/>
                    <w:jc w:val="center"/>
                    <w:rPr>
                      <w:szCs w:val="21"/>
                    </w:rPr>
                  </w:pPr>
                  <w:r>
                    <w:rPr>
                      <w:szCs w:val="21"/>
                    </w:rPr>
                    <w:t>30</w:t>
                  </w:r>
                </w:p>
              </w:tc>
              <w:tc>
                <w:tcPr>
                  <w:tcW w:w="484" w:type="pct"/>
                  <w:shd w:val="clear" w:color="auto" w:fill="auto"/>
                  <w:vAlign w:val="center"/>
                </w:tcPr>
                <w:p w14:paraId="194C3D1F">
                  <w:pPr>
                    <w:jc w:val="center"/>
                    <w:rPr>
                      <w:rFonts w:eastAsia="等线"/>
                      <w:sz w:val="22"/>
                      <w:szCs w:val="22"/>
                    </w:rPr>
                  </w:pPr>
                  <w:r>
                    <w:rPr>
                      <w:rFonts w:eastAsia="等线"/>
                      <w:sz w:val="22"/>
                      <w:szCs w:val="22"/>
                    </w:rPr>
                    <w:t xml:space="preserve">0.167 </w:t>
                  </w:r>
                </w:p>
              </w:tc>
            </w:tr>
            <w:tr w14:paraId="3A4D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3D4529C3">
                  <w:pPr>
                    <w:jc w:val="center"/>
                    <w:rPr>
                      <w:szCs w:val="21"/>
                    </w:rPr>
                  </w:pPr>
                </w:p>
              </w:tc>
              <w:tc>
                <w:tcPr>
                  <w:tcW w:w="287" w:type="pct"/>
                  <w:vMerge w:val="continue"/>
                  <w:vAlign w:val="center"/>
                </w:tcPr>
                <w:p w14:paraId="23282860">
                  <w:pPr>
                    <w:jc w:val="center"/>
                    <w:rPr>
                      <w:szCs w:val="21"/>
                    </w:rPr>
                  </w:pPr>
                </w:p>
              </w:tc>
              <w:tc>
                <w:tcPr>
                  <w:tcW w:w="446" w:type="pct"/>
                  <w:shd w:val="clear" w:color="auto" w:fill="auto"/>
                  <w:vAlign w:val="center"/>
                </w:tcPr>
                <w:p w14:paraId="2F2E2CC6">
                  <w:pPr>
                    <w:jc w:val="center"/>
                    <w:rPr>
                      <w:bCs/>
                      <w:szCs w:val="21"/>
                    </w:rPr>
                  </w:pPr>
                  <w:r>
                    <w:rPr>
                      <w:bCs/>
                      <w:szCs w:val="21"/>
                    </w:rPr>
                    <w:t>COD</w:t>
                  </w:r>
                </w:p>
              </w:tc>
              <w:tc>
                <w:tcPr>
                  <w:tcW w:w="434" w:type="pct"/>
                  <w:shd w:val="clear" w:color="auto" w:fill="auto"/>
                  <w:vAlign w:val="center"/>
                </w:tcPr>
                <w:p w14:paraId="06BB20D9">
                  <w:pPr>
                    <w:jc w:val="center"/>
                    <w:rPr>
                      <w:rFonts w:eastAsia="等线"/>
                      <w:szCs w:val="21"/>
                    </w:rPr>
                  </w:pPr>
                  <w:r>
                    <w:rPr>
                      <w:rFonts w:eastAsia="等线"/>
                      <w:szCs w:val="21"/>
                    </w:rPr>
                    <w:t>1090</w:t>
                  </w:r>
                </w:p>
              </w:tc>
              <w:tc>
                <w:tcPr>
                  <w:tcW w:w="568" w:type="pct"/>
                  <w:shd w:val="clear" w:color="auto" w:fill="auto"/>
                  <w:vAlign w:val="center"/>
                </w:tcPr>
                <w:p w14:paraId="16D0AD3E">
                  <w:pPr>
                    <w:jc w:val="center"/>
                    <w:rPr>
                      <w:rFonts w:eastAsia="等线"/>
                      <w:sz w:val="22"/>
                      <w:szCs w:val="22"/>
                    </w:rPr>
                  </w:pPr>
                  <w:r>
                    <w:rPr>
                      <w:rFonts w:eastAsia="等线"/>
                      <w:sz w:val="22"/>
                      <w:szCs w:val="22"/>
                    </w:rPr>
                    <w:t xml:space="preserve">6.080 </w:t>
                  </w:r>
                </w:p>
              </w:tc>
              <w:tc>
                <w:tcPr>
                  <w:tcW w:w="430" w:type="pct"/>
                  <w:vMerge w:val="continue"/>
                  <w:shd w:val="clear" w:color="auto" w:fill="auto"/>
                  <w:vAlign w:val="center"/>
                </w:tcPr>
                <w:p w14:paraId="3866F0F9">
                  <w:pPr>
                    <w:jc w:val="center"/>
                    <w:rPr>
                      <w:szCs w:val="21"/>
                    </w:rPr>
                  </w:pPr>
                </w:p>
              </w:tc>
              <w:tc>
                <w:tcPr>
                  <w:tcW w:w="349" w:type="pct"/>
                  <w:vMerge w:val="continue"/>
                  <w:shd w:val="clear" w:color="auto" w:fill="auto"/>
                  <w:vAlign w:val="center"/>
                </w:tcPr>
                <w:p w14:paraId="7EC95AE4">
                  <w:pPr>
                    <w:jc w:val="center"/>
                    <w:rPr>
                      <w:szCs w:val="21"/>
                    </w:rPr>
                  </w:pPr>
                </w:p>
              </w:tc>
              <w:tc>
                <w:tcPr>
                  <w:tcW w:w="291" w:type="pct"/>
                  <w:vMerge w:val="continue"/>
                  <w:shd w:val="clear" w:color="auto" w:fill="auto"/>
                  <w:vAlign w:val="center"/>
                </w:tcPr>
                <w:p w14:paraId="5071BBA6">
                  <w:pPr>
                    <w:jc w:val="center"/>
                    <w:rPr>
                      <w:szCs w:val="21"/>
                    </w:rPr>
                  </w:pPr>
                </w:p>
              </w:tc>
              <w:tc>
                <w:tcPr>
                  <w:tcW w:w="465" w:type="pct"/>
                  <w:vMerge w:val="continue"/>
                  <w:shd w:val="clear" w:color="auto" w:fill="auto"/>
                  <w:vAlign w:val="center"/>
                </w:tcPr>
                <w:p w14:paraId="0A86E4AC">
                  <w:pPr>
                    <w:jc w:val="center"/>
                    <w:rPr>
                      <w:szCs w:val="21"/>
                    </w:rPr>
                  </w:pPr>
                </w:p>
              </w:tc>
              <w:tc>
                <w:tcPr>
                  <w:tcW w:w="561" w:type="pct"/>
                  <w:vMerge w:val="continue"/>
                  <w:shd w:val="clear" w:color="auto" w:fill="auto"/>
                  <w:vAlign w:val="center"/>
                </w:tcPr>
                <w:p w14:paraId="58A1A74A">
                  <w:pPr>
                    <w:jc w:val="center"/>
                    <w:rPr>
                      <w:szCs w:val="21"/>
                    </w:rPr>
                  </w:pPr>
                </w:p>
              </w:tc>
              <w:tc>
                <w:tcPr>
                  <w:tcW w:w="410" w:type="pct"/>
                  <w:shd w:val="clear" w:color="auto" w:fill="auto"/>
                  <w:vAlign w:val="center"/>
                </w:tcPr>
                <w:p w14:paraId="576AC752">
                  <w:pPr>
                    <w:spacing w:line="280" w:lineRule="exact"/>
                    <w:jc w:val="center"/>
                    <w:rPr>
                      <w:szCs w:val="21"/>
                    </w:rPr>
                  </w:pPr>
                  <w:r>
                    <w:rPr>
                      <w:szCs w:val="21"/>
                    </w:rPr>
                    <w:t>500</w:t>
                  </w:r>
                </w:p>
              </w:tc>
              <w:tc>
                <w:tcPr>
                  <w:tcW w:w="484" w:type="pct"/>
                  <w:shd w:val="clear" w:color="auto" w:fill="auto"/>
                  <w:vAlign w:val="center"/>
                </w:tcPr>
                <w:p w14:paraId="6DFB6EC1">
                  <w:pPr>
                    <w:jc w:val="center"/>
                    <w:rPr>
                      <w:rFonts w:eastAsia="等线"/>
                      <w:sz w:val="22"/>
                      <w:szCs w:val="22"/>
                    </w:rPr>
                  </w:pPr>
                  <w:r>
                    <w:rPr>
                      <w:rFonts w:eastAsia="等线"/>
                      <w:sz w:val="22"/>
                      <w:szCs w:val="22"/>
                    </w:rPr>
                    <w:t xml:space="preserve">2.789 </w:t>
                  </w:r>
                </w:p>
              </w:tc>
            </w:tr>
            <w:tr w14:paraId="1F31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12A62AB1">
                  <w:pPr>
                    <w:jc w:val="center"/>
                    <w:rPr>
                      <w:szCs w:val="21"/>
                    </w:rPr>
                  </w:pPr>
                </w:p>
              </w:tc>
              <w:tc>
                <w:tcPr>
                  <w:tcW w:w="287" w:type="pct"/>
                  <w:vMerge w:val="continue"/>
                  <w:vAlign w:val="center"/>
                </w:tcPr>
                <w:p w14:paraId="6E492C7B">
                  <w:pPr>
                    <w:jc w:val="center"/>
                    <w:rPr>
                      <w:szCs w:val="21"/>
                    </w:rPr>
                  </w:pPr>
                </w:p>
              </w:tc>
              <w:tc>
                <w:tcPr>
                  <w:tcW w:w="446" w:type="pct"/>
                  <w:shd w:val="clear" w:color="auto" w:fill="auto"/>
                  <w:vAlign w:val="center"/>
                </w:tcPr>
                <w:p w14:paraId="48D1C055">
                  <w:pPr>
                    <w:jc w:val="center"/>
                    <w:rPr>
                      <w:bCs/>
                      <w:szCs w:val="21"/>
                    </w:rPr>
                  </w:pPr>
                  <w:r>
                    <w:rPr>
                      <w:bCs/>
                      <w:szCs w:val="21"/>
                    </w:rPr>
                    <w:t>BOD</w:t>
                  </w:r>
                  <w:r>
                    <w:rPr>
                      <w:bCs/>
                      <w:szCs w:val="21"/>
                      <w:vertAlign w:val="subscript"/>
                    </w:rPr>
                    <w:t>5</w:t>
                  </w:r>
                </w:p>
              </w:tc>
              <w:tc>
                <w:tcPr>
                  <w:tcW w:w="434" w:type="pct"/>
                  <w:shd w:val="clear" w:color="auto" w:fill="auto"/>
                  <w:vAlign w:val="center"/>
                </w:tcPr>
                <w:p w14:paraId="67ECA656">
                  <w:pPr>
                    <w:jc w:val="center"/>
                    <w:rPr>
                      <w:rFonts w:eastAsia="等线"/>
                      <w:szCs w:val="21"/>
                    </w:rPr>
                  </w:pPr>
                  <w:r>
                    <w:rPr>
                      <w:rFonts w:eastAsia="等线"/>
                      <w:szCs w:val="21"/>
                    </w:rPr>
                    <w:t>481</w:t>
                  </w:r>
                </w:p>
              </w:tc>
              <w:tc>
                <w:tcPr>
                  <w:tcW w:w="568" w:type="pct"/>
                  <w:shd w:val="clear" w:color="auto" w:fill="auto"/>
                  <w:vAlign w:val="center"/>
                </w:tcPr>
                <w:p w14:paraId="582E5475">
                  <w:pPr>
                    <w:jc w:val="center"/>
                    <w:rPr>
                      <w:rFonts w:eastAsia="等线"/>
                      <w:sz w:val="22"/>
                      <w:szCs w:val="22"/>
                    </w:rPr>
                  </w:pPr>
                  <w:r>
                    <w:rPr>
                      <w:rFonts w:eastAsia="等线"/>
                      <w:sz w:val="22"/>
                      <w:szCs w:val="22"/>
                    </w:rPr>
                    <w:t xml:space="preserve">2.683 </w:t>
                  </w:r>
                </w:p>
              </w:tc>
              <w:tc>
                <w:tcPr>
                  <w:tcW w:w="430" w:type="pct"/>
                  <w:vMerge w:val="continue"/>
                  <w:shd w:val="clear" w:color="auto" w:fill="auto"/>
                  <w:vAlign w:val="center"/>
                </w:tcPr>
                <w:p w14:paraId="4CC33DE1">
                  <w:pPr>
                    <w:jc w:val="center"/>
                    <w:rPr>
                      <w:szCs w:val="21"/>
                    </w:rPr>
                  </w:pPr>
                </w:p>
              </w:tc>
              <w:tc>
                <w:tcPr>
                  <w:tcW w:w="349" w:type="pct"/>
                  <w:vMerge w:val="continue"/>
                  <w:shd w:val="clear" w:color="auto" w:fill="auto"/>
                  <w:vAlign w:val="center"/>
                </w:tcPr>
                <w:p w14:paraId="695EC467">
                  <w:pPr>
                    <w:jc w:val="center"/>
                    <w:rPr>
                      <w:szCs w:val="21"/>
                    </w:rPr>
                  </w:pPr>
                </w:p>
              </w:tc>
              <w:tc>
                <w:tcPr>
                  <w:tcW w:w="291" w:type="pct"/>
                  <w:vMerge w:val="continue"/>
                  <w:shd w:val="clear" w:color="auto" w:fill="auto"/>
                  <w:vAlign w:val="center"/>
                </w:tcPr>
                <w:p w14:paraId="59C318C1">
                  <w:pPr>
                    <w:jc w:val="center"/>
                    <w:rPr>
                      <w:szCs w:val="21"/>
                    </w:rPr>
                  </w:pPr>
                </w:p>
              </w:tc>
              <w:tc>
                <w:tcPr>
                  <w:tcW w:w="465" w:type="pct"/>
                  <w:vMerge w:val="continue"/>
                  <w:shd w:val="clear" w:color="auto" w:fill="auto"/>
                  <w:vAlign w:val="center"/>
                </w:tcPr>
                <w:p w14:paraId="15BFE91F">
                  <w:pPr>
                    <w:jc w:val="center"/>
                    <w:rPr>
                      <w:szCs w:val="21"/>
                    </w:rPr>
                  </w:pPr>
                </w:p>
              </w:tc>
              <w:tc>
                <w:tcPr>
                  <w:tcW w:w="561" w:type="pct"/>
                  <w:vMerge w:val="continue"/>
                  <w:shd w:val="clear" w:color="auto" w:fill="auto"/>
                  <w:vAlign w:val="center"/>
                </w:tcPr>
                <w:p w14:paraId="499D9863">
                  <w:pPr>
                    <w:jc w:val="center"/>
                    <w:rPr>
                      <w:szCs w:val="21"/>
                    </w:rPr>
                  </w:pPr>
                </w:p>
              </w:tc>
              <w:tc>
                <w:tcPr>
                  <w:tcW w:w="410" w:type="pct"/>
                  <w:shd w:val="clear" w:color="auto" w:fill="auto"/>
                  <w:vAlign w:val="center"/>
                </w:tcPr>
                <w:p w14:paraId="6DB66909">
                  <w:pPr>
                    <w:spacing w:line="280" w:lineRule="exact"/>
                    <w:jc w:val="center"/>
                    <w:rPr>
                      <w:szCs w:val="21"/>
                    </w:rPr>
                  </w:pPr>
                  <w:r>
                    <w:rPr>
                      <w:szCs w:val="21"/>
                    </w:rPr>
                    <w:t>300</w:t>
                  </w:r>
                </w:p>
              </w:tc>
              <w:tc>
                <w:tcPr>
                  <w:tcW w:w="484" w:type="pct"/>
                  <w:shd w:val="clear" w:color="auto" w:fill="auto"/>
                  <w:vAlign w:val="center"/>
                </w:tcPr>
                <w:p w14:paraId="1FE180E0">
                  <w:pPr>
                    <w:jc w:val="center"/>
                    <w:rPr>
                      <w:rFonts w:eastAsia="等线"/>
                      <w:sz w:val="22"/>
                      <w:szCs w:val="22"/>
                    </w:rPr>
                  </w:pPr>
                  <w:r>
                    <w:rPr>
                      <w:rFonts w:eastAsia="等线"/>
                      <w:sz w:val="22"/>
                      <w:szCs w:val="22"/>
                    </w:rPr>
                    <w:t xml:space="preserve">1.673 </w:t>
                  </w:r>
                </w:p>
              </w:tc>
            </w:tr>
            <w:tr w14:paraId="0E1E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0E07EB51">
                  <w:pPr>
                    <w:jc w:val="center"/>
                    <w:rPr>
                      <w:szCs w:val="21"/>
                    </w:rPr>
                  </w:pPr>
                </w:p>
              </w:tc>
              <w:tc>
                <w:tcPr>
                  <w:tcW w:w="287" w:type="pct"/>
                  <w:vMerge w:val="continue"/>
                  <w:vAlign w:val="center"/>
                </w:tcPr>
                <w:p w14:paraId="34FDE1EA">
                  <w:pPr>
                    <w:jc w:val="center"/>
                    <w:rPr>
                      <w:szCs w:val="21"/>
                    </w:rPr>
                  </w:pPr>
                </w:p>
              </w:tc>
              <w:tc>
                <w:tcPr>
                  <w:tcW w:w="446" w:type="pct"/>
                  <w:shd w:val="clear" w:color="auto" w:fill="auto"/>
                  <w:vAlign w:val="center"/>
                </w:tcPr>
                <w:p w14:paraId="0D7989A8">
                  <w:pPr>
                    <w:jc w:val="center"/>
                    <w:rPr>
                      <w:bCs/>
                      <w:szCs w:val="21"/>
                    </w:rPr>
                  </w:pPr>
                  <w:r>
                    <w:rPr>
                      <w:bCs/>
                      <w:szCs w:val="21"/>
                    </w:rPr>
                    <w:t>阴离子表面活性剂</w:t>
                  </w:r>
                </w:p>
              </w:tc>
              <w:tc>
                <w:tcPr>
                  <w:tcW w:w="434" w:type="pct"/>
                  <w:shd w:val="clear" w:color="auto" w:fill="auto"/>
                  <w:vAlign w:val="center"/>
                </w:tcPr>
                <w:p w14:paraId="245C360D">
                  <w:pPr>
                    <w:jc w:val="center"/>
                    <w:rPr>
                      <w:rFonts w:eastAsia="等线"/>
                      <w:szCs w:val="21"/>
                    </w:rPr>
                  </w:pPr>
                  <w:r>
                    <w:rPr>
                      <w:rFonts w:eastAsia="等线"/>
                      <w:szCs w:val="21"/>
                    </w:rPr>
                    <w:t>2.141</w:t>
                  </w:r>
                </w:p>
              </w:tc>
              <w:tc>
                <w:tcPr>
                  <w:tcW w:w="568" w:type="pct"/>
                  <w:shd w:val="clear" w:color="auto" w:fill="auto"/>
                  <w:vAlign w:val="center"/>
                </w:tcPr>
                <w:p w14:paraId="1A2BCFB0">
                  <w:pPr>
                    <w:jc w:val="center"/>
                    <w:rPr>
                      <w:rFonts w:eastAsia="等线"/>
                      <w:sz w:val="22"/>
                      <w:szCs w:val="22"/>
                    </w:rPr>
                  </w:pPr>
                  <w:r>
                    <w:rPr>
                      <w:rFonts w:eastAsia="等线"/>
                      <w:sz w:val="22"/>
                      <w:szCs w:val="22"/>
                    </w:rPr>
                    <w:t xml:space="preserve">0.012 </w:t>
                  </w:r>
                </w:p>
              </w:tc>
              <w:tc>
                <w:tcPr>
                  <w:tcW w:w="430" w:type="pct"/>
                  <w:vMerge w:val="continue"/>
                  <w:shd w:val="clear" w:color="auto" w:fill="auto"/>
                  <w:vAlign w:val="center"/>
                </w:tcPr>
                <w:p w14:paraId="3A57F7CC">
                  <w:pPr>
                    <w:jc w:val="center"/>
                    <w:rPr>
                      <w:szCs w:val="21"/>
                    </w:rPr>
                  </w:pPr>
                </w:p>
              </w:tc>
              <w:tc>
                <w:tcPr>
                  <w:tcW w:w="349" w:type="pct"/>
                  <w:vMerge w:val="continue"/>
                  <w:shd w:val="clear" w:color="auto" w:fill="auto"/>
                  <w:vAlign w:val="center"/>
                </w:tcPr>
                <w:p w14:paraId="4EED4913">
                  <w:pPr>
                    <w:jc w:val="center"/>
                    <w:rPr>
                      <w:szCs w:val="21"/>
                    </w:rPr>
                  </w:pPr>
                </w:p>
              </w:tc>
              <w:tc>
                <w:tcPr>
                  <w:tcW w:w="291" w:type="pct"/>
                  <w:vMerge w:val="continue"/>
                  <w:shd w:val="clear" w:color="auto" w:fill="auto"/>
                  <w:vAlign w:val="center"/>
                </w:tcPr>
                <w:p w14:paraId="044F1151">
                  <w:pPr>
                    <w:jc w:val="center"/>
                    <w:rPr>
                      <w:szCs w:val="21"/>
                    </w:rPr>
                  </w:pPr>
                </w:p>
              </w:tc>
              <w:tc>
                <w:tcPr>
                  <w:tcW w:w="465" w:type="pct"/>
                  <w:vMerge w:val="continue"/>
                  <w:shd w:val="clear" w:color="auto" w:fill="auto"/>
                  <w:vAlign w:val="center"/>
                </w:tcPr>
                <w:p w14:paraId="1925ACAF">
                  <w:pPr>
                    <w:jc w:val="center"/>
                    <w:rPr>
                      <w:szCs w:val="21"/>
                    </w:rPr>
                  </w:pPr>
                </w:p>
              </w:tc>
              <w:tc>
                <w:tcPr>
                  <w:tcW w:w="561" w:type="pct"/>
                  <w:vMerge w:val="continue"/>
                  <w:shd w:val="clear" w:color="auto" w:fill="auto"/>
                  <w:vAlign w:val="center"/>
                </w:tcPr>
                <w:p w14:paraId="65CC6819">
                  <w:pPr>
                    <w:jc w:val="center"/>
                    <w:rPr>
                      <w:szCs w:val="21"/>
                    </w:rPr>
                  </w:pPr>
                </w:p>
              </w:tc>
              <w:tc>
                <w:tcPr>
                  <w:tcW w:w="410" w:type="pct"/>
                  <w:shd w:val="clear" w:color="auto" w:fill="auto"/>
                  <w:vAlign w:val="center"/>
                </w:tcPr>
                <w:p w14:paraId="4CA03779">
                  <w:pPr>
                    <w:spacing w:line="280" w:lineRule="exact"/>
                    <w:jc w:val="center"/>
                    <w:rPr>
                      <w:szCs w:val="21"/>
                    </w:rPr>
                  </w:pPr>
                  <w:r>
                    <w:rPr>
                      <w:szCs w:val="21"/>
                    </w:rPr>
                    <w:t>20</w:t>
                  </w:r>
                </w:p>
              </w:tc>
              <w:tc>
                <w:tcPr>
                  <w:tcW w:w="484" w:type="pct"/>
                  <w:shd w:val="clear" w:color="auto" w:fill="auto"/>
                  <w:vAlign w:val="center"/>
                </w:tcPr>
                <w:p w14:paraId="55717250">
                  <w:pPr>
                    <w:jc w:val="center"/>
                    <w:rPr>
                      <w:rFonts w:eastAsia="等线"/>
                      <w:sz w:val="22"/>
                      <w:szCs w:val="22"/>
                    </w:rPr>
                  </w:pPr>
                  <w:r>
                    <w:rPr>
                      <w:rFonts w:eastAsia="等线"/>
                      <w:sz w:val="22"/>
                      <w:szCs w:val="22"/>
                    </w:rPr>
                    <w:t xml:space="preserve">0.012 </w:t>
                  </w:r>
                </w:p>
              </w:tc>
            </w:tr>
            <w:tr w14:paraId="6A2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restart"/>
                  <w:shd w:val="clear" w:color="auto" w:fill="auto"/>
                  <w:vAlign w:val="center"/>
                </w:tcPr>
                <w:p w14:paraId="30B04245">
                  <w:pPr>
                    <w:jc w:val="center"/>
                    <w:rPr>
                      <w:szCs w:val="21"/>
                    </w:rPr>
                  </w:pPr>
                  <w:r>
                    <w:rPr>
                      <w:szCs w:val="21"/>
                    </w:rPr>
                    <w:t>职工生活</w:t>
                  </w:r>
                </w:p>
              </w:tc>
              <w:tc>
                <w:tcPr>
                  <w:tcW w:w="287" w:type="pct"/>
                  <w:vMerge w:val="restart"/>
                  <w:vAlign w:val="center"/>
                </w:tcPr>
                <w:p w14:paraId="1B350801">
                  <w:pPr>
                    <w:jc w:val="center"/>
                    <w:rPr>
                      <w:szCs w:val="21"/>
                    </w:rPr>
                  </w:pPr>
                  <w:r>
                    <w:rPr>
                      <w:szCs w:val="21"/>
                    </w:rPr>
                    <w:t>食堂废水</w:t>
                  </w:r>
                </w:p>
              </w:tc>
              <w:tc>
                <w:tcPr>
                  <w:tcW w:w="446" w:type="pct"/>
                  <w:shd w:val="clear" w:color="auto" w:fill="auto"/>
                  <w:vAlign w:val="center"/>
                </w:tcPr>
                <w:p w14:paraId="5ACF5332">
                  <w:pPr>
                    <w:jc w:val="center"/>
                    <w:rPr>
                      <w:bCs/>
                      <w:szCs w:val="21"/>
                    </w:rPr>
                  </w:pPr>
                  <w:r>
                    <w:rPr>
                      <w:bCs/>
                      <w:szCs w:val="21"/>
                    </w:rPr>
                    <w:t>氨氮</w:t>
                  </w:r>
                </w:p>
              </w:tc>
              <w:tc>
                <w:tcPr>
                  <w:tcW w:w="434" w:type="pct"/>
                  <w:shd w:val="clear" w:color="auto" w:fill="auto"/>
                  <w:vAlign w:val="center"/>
                </w:tcPr>
                <w:p w14:paraId="3ACA182A">
                  <w:pPr>
                    <w:widowControl/>
                    <w:jc w:val="center"/>
                    <w:rPr>
                      <w:rFonts w:eastAsia="等线"/>
                      <w:kern w:val="0"/>
                      <w:szCs w:val="21"/>
                    </w:rPr>
                  </w:pPr>
                  <w:r>
                    <w:rPr>
                      <w:szCs w:val="21"/>
                    </w:rPr>
                    <w:t>30</w:t>
                  </w:r>
                </w:p>
              </w:tc>
              <w:tc>
                <w:tcPr>
                  <w:tcW w:w="568" w:type="pct"/>
                  <w:shd w:val="clear" w:color="auto" w:fill="auto"/>
                  <w:vAlign w:val="center"/>
                </w:tcPr>
                <w:p w14:paraId="4C3FDE45">
                  <w:pPr>
                    <w:widowControl/>
                    <w:jc w:val="center"/>
                    <w:rPr>
                      <w:rFonts w:eastAsia="等线"/>
                      <w:kern w:val="0"/>
                      <w:sz w:val="22"/>
                      <w:szCs w:val="22"/>
                    </w:rPr>
                  </w:pPr>
                  <w:r>
                    <w:rPr>
                      <w:rFonts w:eastAsia="等线"/>
                      <w:sz w:val="22"/>
                      <w:szCs w:val="22"/>
                    </w:rPr>
                    <w:t xml:space="preserve">0.069 </w:t>
                  </w:r>
                </w:p>
              </w:tc>
              <w:tc>
                <w:tcPr>
                  <w:tcW w:w="430" w:type="pct"/>
                  <w:vMerge w:val="continue"/>
                  <w:shd w:val="clear" w:color="auto" w:fill="auto"/>
                  <w:vAlign w:val="center"/>
                </w:tcPr>
                <w:p w14:paraId="1AD5B605">
                  <w:pPr>
                    <w:jc w:val="center"/>
                    <w:rPr>
                      <w:szCs w:val="21"/>
                    </w:rPr>
                  </w:pPr>
                </w:p>
              </w:tc>
              <w:tc>
                <w:tcPr>
                  <w:tcW w:w="349" w:type="pct"/>
                  <w:vMerge w:val="continue"/>
                  <w:shd w:val="clear" w:color="auto" w:fill="auto"/>
                  <w:vAlign w:val="center"/>
                </w:tcPr>
                <w:p w14:paraId="69A403B6">
                  <w:pPr>
                    <w:jc w:val="center"/>
                    <w:rPr>
                      <w:szCs w:val="21"/>
                    </w:rPr>
                  </w:pPr>
                </w:p>
              </w:tc>
              <w:tc>
                <w:tcPr>
                  <w:tcW w:w="291" w:type="pct"/>
                  <w:vMerge w:val="continue"/>
                  <w:shd w:val="clear" w:color="auto" w:fill="auto"/>
                  <w:vAlign w:val="center"/>
                </w:tcPr>
                <w:p w14:paraId="6576C060">
                  <w:pPr>
                    <w:jc w:val="center"/>
                    <w:rPr>
                      <w:szCs w:val="21"/>
                    </w:rPr>
                  </w:pPr>
                </w:p>
              </w:tc>
              <w:tc>
                <w:tcPr>
                  <w:tcW w:w="465" w:type="pct"/>
                  <w:vMerge w:val="continue"/>
                  <w:shd w:val="clear" w:color="auto" w:fill="auto"/>
                  <w:vAlign w:val="center"/>
                </w:tcPr>
                <w:p w14:paraId="2B78E560">
                  <w:pPr>
                    <w:jc w:val="center"/>
                    <w:rPr>
                      <w:szCs w:val="21"/>
                    </w:rPr>
                  </w:pPr>
                </w:p>
              </w:tc>
              <w:tc>
                <w:tcPr>
                  <w:tcW w:w="561" w:type="pct"/>
                  <w:vMerge w:val="restart"/>
                  <w:shd w:val="clear" w:color="auto" w:fill="auto"/>
                  <w:vAlign w:val="center"/>
                </w:tcPr>
                <w:p w14:paraId="48133DAF">
                  <w:pPr>
                    <w:jc w:val="center"/>
                    <w:rPr>
                      <w:szCs w:val="21"/>
                    </w:rPr>
                  </w:pPr>
                  <w:r>
                    <w:rPr>
                      <w:szCs w:val="21"/>
                    </w:rPr>
                    <w:t>6.98m</w:t>
                  </w:r>
                  <w:r>
                    <w:rPr>
                      <w:szCs w:val="21"/>
                      <w:vertAlign w:val="superscript"/>
                    </w:rPr>
                    <w:t>3</w:t>
                  </w:r>
                  <w:r>
                    <w:rPr>
                      <w:szCs w:val="21"/>
                    </w:rPr>
                    <w:t>/d，</w:t>
                  </w:r>
                  <w:r>
                    <w:rPr>
                      <w:kern w:val="0"/>
                      <w:szCs w:val="21"/>
                    </w:rPr>
                    <w:t>2303.4</w:t>
                  </w:r>
                  <w:r>
                    <w:rPr>
                      <w:szCs w:val="21"/>
                    </w:rPr>
                    <w:t>m</w:t>
                  </w:r>
                  <w:r>
                    <w:rPr>
                      <w:szCs w:val="21"/>
                      <w:vertAlign w:val="superscript"/>
                    </w:rPr>
                    <w:t>3</w:t>
                  </w:r>
                  <w:r>
                    <w:rPr>
                      <w:szCs w:val="21"/>
                    </w:rPr>
                    <w:t>/a</w:t>
                  </w:r>
                </w:p>
              </w:tc>
              <w:tc>
                <w:tcPr>
                  <w:tcW w:w="410" w:type="pct"/>
                  <w:shd w:val="clear" w:color="auto" w:fill="auto"/>
                  <w:vAlign w:val="center"/>
                </w:tcPr>
                <w:p w14:paraId="483A9926">
                  <w:pPr>
                    <w:spacing w:line="280" w:lineRule="exact"/>
                    <w:jc w:val="center"/>
                    <w:rPr>
                      <w:szCs w:val="21"/>
                    </w:rPr>
                  </w:pPr>
                  <w:r>
                    <w:rPr>
                      <w:szCs w:val="21"/>
                    </w:rPr>
                    <w:t>45</w:t>
                  </w:r>
                </w:p>
              </w:tc>
              <w:tc>
                <w:tcPr>
                  <w:tcW w:w="484" w:type="pct"/>
                  <w:shd w:val="clear" w:color="auto" w:fill="auto"/>
                  <w:vAlign w:val="center"/>
                </w:tcPr>
                <w:p w14:paraId="163AEE64">
                  <w:pPr>
                    <w:widowControl/>
                    <w:jc w:val="center"/>
                    <w:rPr>
                      <w:rFonts w:eastAsia="等线"/>
                      <w:kern w:val="0"/>
                      <w:sz w:val="22"/>
                      <w:szCs w:val="22"/>
                    </w:rPr>
                  </w:pPr>
                  <w:r>
                    <w:rPr>
                      <w:rFonts w:eastAsia="等线"/>
                      <w:sz w:val="22"/>
                      <w:szCs w:val="22"/>
                    </w:rPr>
                    <w:t xml:space="preserve">0.069 </w:t>
                  </w:r>
                </w:p>
              </w:tc>
            </w:tr>
            <w:tr w14:paraId="13A6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5F0BD160">
                  <w:pPr>
                    <w:jc w:val="center"/>
                    <w:rPr>
                      <w:szCs w:val="21"/>
                    </w:rPr>
                  </w:pPr>
                </w:p>
              </w:tc>
              <w:tc>
                <w:tcPr>
                  <w:tcW w:w="287" w:type="pct"/>
                  <w:vMerge w:val="continue"/>
                  <w:vAlign w:val="center"/>
                </w:tcPr>
                <w:p w14:paraId="75E23E19">
                  <w:pPr>
                    <w:jc w:val="center"/>
                    <w:rPr>
                      <w:szCs w:val="21"/>
                    </w:rPr>
                  </w:pPr>
                </w:p>
              </w:tc>
              <w:tc>
                <w:tcPr>
                  <w:tcW w:w="446" w:type="pct"/>
                  <w:shd w:val="clear" w:color="auto" w:fill="auto"/>
                  <w:vAlign w:val="center"/>
                </w:tcPr>
                <w:p w14:paraId="2DC3EBD3">
                  <w:pPr>
                    <w:jc w:val="center"/>
                    <w:rPr>
                      <w:bCs/>
                      <w:szCs w:val="21"/>
                    </w:rPr>
                  </w:pPr>
                  <w:r>
                    <w:rPr>
                      <w:bCs/>
                      <w:szCs w:val="21"/>
                    </w:rPr>
                    <w:t>SS</w:t>
                  </w:r>
                </w:p>
              </w:tc>
              <w:tc>
                <w:tcPr>
                  <w:tcW w:w="434" w:type="pct"/>
                  <w:shd w:val="clear" w:color="auto" w:fill="auto"/>
                  <w:vAlign w:val="center"/>
                </w:tcPr>
                <w:p w14:paraId="0023E019">
                  <w:pPr>
                    <w:jc w:val="center"/>
                    <w:rPr>
                      <w:rFonts w:eastAsia="等线"/>
                      <w:szCs w:val="21"/>
                    </w:rPr>
                  </w:pPr>
                  <w:r>
                    <w:rPr>
                      <w:szCs w:val="21"/>
                    </w:rPr>
                    <w:t>230</w:t>
                  </w:r>
                </w:p>
              </w:tc>
              <w:tc>
                <w:tcPr>
                  <w:tcW w:w="568" w:type="pct"/>
                  <w:shd w:val="clear" w:color="auto" w:fill="auto"/>
                  <w:vAlign w:val="center"/>
                </w:tcPr>
                <w:p w14:paraId="4827A00B">
                  <w:pPr>
                    <w:jc w:val="center"/>
                    <w:rPr>
                      <w:rFonts w:eastAsia="等线"/>
                      <w:sz w:val="22"/>
                      <w:szCs w:val="22"/>
                    </w:rPr>
                  </w:pPr>
                  <w:r>
                    <w:rPr>
                      <w:rFonts w:eastAsia="等线"/>
                      <w:sz w:val="22"/>
                      <w:szCs w:val="22"/>
                    </w:rPr>
                    <w:t xml:space="preserve">0.530 </w:t>
                  </w:r>
                </w:p>
              </w:tc>
              <w:tc>
                <w:tcPr>
                  <w:tcW w:w="430" w:type="pct"/>
                  <w:vMerge w:val="continue"/>
                  <w:shd w:val="clear" w:color="auto" w:fill="auto"/>
                  <w:vAlign w:val="center"/>
                </w:tcPr>
                <w:p w14:paraId="4F2E13F5">
                  <w:pPr>
                    <w:jc w:val="center"/>
                    <w:rPr>
                      <w:szCs w:val="21"/>
                    </w:rPr>
                  </w:pPr>
                </w:p>
              </w:tc>
              <w:tc>
                <w:tcPr>
                  <w:tcW w:w="349" w:type="pct"/>
                  <w:vMerge w:val="continue"/>
                  <w:shd w:val="clear" w:color="auto" w:fill="auto"/>
                  <w:vAlign w:val="center"/>
                </w:tcPr>
                <w:p w14:paraId="51AAB5D7">
                  <w:pPr>
                    <w:jc w:val="center"/>
                    <w:rPr>
                      <w:szCs w:val="21"/>
                    </w:rPr>
                  </w:pPr>
                </w:p>
              </w:tc>
              <w:tc>
                <w:tcPr>
                  <w:tcW w:w="291" w:type="pct"/>
                  <w:vMerge w:val="continue"/>
                  <w:shd w:val="clear" w:color="auto" w:fill="auto"/>
                  <w:vAlign w:val="center"/>
                </w:tcPr>
                <w:p w14:paraId="0D6446F7">
                  <w:pPr>
                    <w:jc w:val="center"/>
                    <w:rPr>
                      <w:szCs w:val="21"/>
                    </w:rPr>
                  </w:pPr>
                </w:p>
              </w:tc>
              <w:tc>
                <w:tcPr>
                  <w:tcW w:w="465" w:type="pct"/>
                  <w:vMerge w:val="continue"/>
                  <w:shd w:val="clear" w:color="auto" w:fill="auto"/>
                  <w:vAlign w:val="center"/>
                </w:tcPr>
                <w:p w14:paraId="6D3B7E68">
                  <w:pPr>
                    <w:jc w:val="center"/>
                    <w:rPr>
                      <w:szCs w:val="21"/>
                    </w:rPr>
                  </w:pPr>
                </w:p>
              </w:tc>
              <w:tc>
                <w:tcPr>
                  <w:tcW w:w="561" w:type="pct"/>
                  <w:vMerge w:val="continue"/>
                  <w:shd w:val="clear" w:color="auto" w:fill="auto"/>
                  <w:vAlign w:val="center"/>
                </w:tcPr>
                <w:p w14:paraId="688CF274">
                  <w:pPr>
                    <w:jc w:val="center"/>
                    <w:rPr>
                      <w:szCs w:val="21"/>
                    </w:rPr>
                  </w:pPr>
                </w:p>
              </w:tc>
              <w:tc>
                <w:tcPr>
                  <w:tcW w:w="410" w:type="pct"/>
                  <w:shd w:val="clear" w:color="auto" w:fill="auto"/>
                  <w:vAlign w:val="center"/>
                </w:tcPr>
                <w:p w14:paraId="33A4BE8E">
                  <w:pPr>
                    <w:spacing w:line="280" w:lineRule="exact"/>
                    <w:jc w:val="center"/>
                    <w:rPr>
                      <w:szCs w:val="21"/>
                    </w:rPr>
                  </w:pPr>
                  <w:r>
                    <w:rPr>
                      <w:szCs w:val="21"/>
                    </w:rPr>
                    <w:t>400</w:t>
                  </w:r>
                </w:p>
              </w:tc>
              <w:tc>
                <w:tcPr>
                  <w:tcW w:w="484" w:type="pct"/>
                  <w:shd w:val="clear" w:color="auto" w:fill="auto"/>
                  <w:vAlign w:val="center"/>
                </w:tcPr>
                <w:p w14:paraId="5B2756F6">
                  <w:pPr>
                    <w:jc w:val="center"/>
                    <w:rPr>
                      <w:rFonts w:eastAsia="等线"/>
                      <w:sz w:val="22"/>
                      <w:szCs w:val="22"/>
                    </w:rPr>
                  </w:pPr>
                  <w:r>
                    <w:rPr>
                      <w:rFonts w:eastAsia="等线"/>
                      <w:sz w:val="22"/>
                      <w:szCs w:val="22"/>
                    </w:rPr>
                    <w:t xml:space="preserve">0.530 </w:t>
                  </w:r>
                </w:p>
              </w:tc>
            </w:tr>
            <w:tr w14:paraId="1BA2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08F11EA6">
                  <w:pPr>
                    <w:jc w:val="center"/>
                    <w:rPr>
                      <w:szCs w:val="21"/>
                    </w:rPr>
                  </w:pPr>
                </w:p>
              </w:tc>
              <w:tc>
                <w:tcPr>
                  <w:tcW w:w="287" w:type="pct"/>
                  <w:vMerge w:val="continue"/>
                  <w:vAlign w:val="center"/>
                </w:tcPr>
                <w:p w14:paraId="2DAB830B">
                  <w:pPr>
                    <w:jc w:val="center"/>
                    <w:rPr>
                      <w:szCs w:val="21"/>
                    </w:rPr>
                  </w:pPr>
                </w:p>
              </w:tc>
              <w:tc>
                <w:tcPr>
                  <w:tcW w:w="446" w:type="pct"/>
                  <w:shd w:val="clear" w:color="auto" w:fill="auto"/>
                  <w:vAlign w:val="center"/>
                </w:tcPr>
                <w:p w14:paraId="46E3A5E2">
                  <w:pPr>
                    <w:jc w:val="center"/>
                    <w:rPr>
                      <w:bCs/>
                      <w:szCs w:val="21"/>
                    </w:rPr>
                  </w:pPr>
                  <w:r>
                    <w:rPr>
                      <w:bCs/>
                      <w:szCs w:val="21"/>
                    </w:rPr>
                    <w:t>COD</w:t>
                  </w:r>
                </w:p>
              </w:tc>
              <w:tc>
                <w:tcPr>
                  <w:tcW w:w="434" w:type="pct"/>
                  <w:shd w:val="clear" w:color="auto" w:fill="auto"/>
                  <w:vAlign w:val="center"/>
                </w:tcPr>
                <w:p w14:paraId="08F142E5">
                  <w:pPr>
                    <w:jc w:val="center"/>
                    <w:rPr>
                      <w:rFonts w:eastAsia="等线"/>
                      <w:szCs w:val="21"/>
                    </w:rPr>
                  </w:pPr>
                  <w:r>
                    <w:rPr>
                      <w:szCs w:val="21"/>
                    </w:rPr>
                    <w:t>750</w:t>
                  </w:r>
                </w:p>
              </w:tc>
              <w:tc>
                <w:tcPr>
                  <w:tcW w:w="568" w:type="pct"/>
                  <w:shd w:val="clear" w:color="auto" w:fill="auto"/>
                  <w:vAlign w:val="center"/>
                </w:tcPr>
                <w:p w14:paraId="0B584908">
                  <w:pPr>
                    <w:jc w:val="center"/>
                    <w:rPr>
                      <w:rFonts w:eastAsia="等线"/>
                      <w:sz w:val="22"/>
                      <w:szCs w:val="22"/>
                    </w:rPr>
                  </w:pPr>
                  <w:r>
                    <w:rPr>
                      <w:rFonts w:eastAsia="等线"/>
                      <w:sz w:val="22"/>
                      <w:szCs w:val="22"/>
                    </w:rPr>
                    <w:t xml:space="preserve">1.728 </w:t>
                  </w:r>
                </w:p>
              </w:tc>
              <w:tc>
                <w:tcPr>
                  <w:tcW w:w="430" w:type="pct"/>
                  <w:vMerge w:val="continue"/>
                  <w:shd w:val="clear" w:color="auto" w:fill="auto"/>
                  <w:vAlign w:val="center"/>
                </w:tcPr>
                <w:p w14:paraId="5F7FEDE0">
                  <w:pPr>
                    <w:jc w:val="center"/>
                    <w:rPr>
                      <w:szCs w:val="21"/>
                    </w:rPr>
                  </w:pPr>
                </w:p>
              </w:tc>
              <w:tc>
                <w:tcPr>
                  <w:tcW w:w="349" w:type="pct"/>
                  <w:vMerge w:val="continue"/>
                  <w:shd w:val="clear" w:color="auto" w:fill="auto"/>
                  <w:vAlign w:val="center"/>
                </w:tcPr>
                <w:p w14:paraId="5DBD7699">
                  <w:pPr>
                    <w:jc w:val="center"/>
                    <w:rPr>
                      <w:szCs w:val="21"/>
                    </w:rPr>
                  </w:pPr>
                </w:p>
              </w:tc>
              <w:tc>
                <w:tcPr>
                  <w:tcW w:w="291" w:type="pct"/>
                  <w:vMerge w:val="continue"/>
                  <w:shd w:val="clear" w:color="auto" w:fill="auto"/>
                  <w:vAlign w:val="center"/>
                </w:tcPr>
                <w:p w14:paraId="511C00FD">
                  <w:pPr>
                    <w:jc w:val="center"/>
                    <w:rPr>
                      <w:szCs w:val="21"/>
                    </w:rPr>
                  </w:pPr>
                </w:p>
              </w:tc>
              <w:tc>
                <w:tcPr>
                  <w:tcW w:w="465" w:type="pct"/>
                  <w:vMerge w:val="continue"/>
                  <w:shd w:val="clear" w:color="auto" w:fill="auto"/>
                  <w:vAlign w:val="center"/>
                </w:tcPr>
                <w:p w14:paraId="0D20A7A3">
                  <w:pPr>
                    <w:jc w:val="center"/>
                    <w:rPr>
                      <w:szCs w:val="21"/>
                    </w:rPr>
                  </w:pPr>
                </w:p>
              </w:tc>
              <w:tc>
                <w:tcPr>
                  <w:tcW w:w="561" w:type="pct"/>
                  <w:vMerge w:val="continue"/>
                  <w:shd w:val="clear" w:color="auto" w:fill="auto"/>
                  <w:vAlign w:val="center"/>
                </w:tcPr>
                <w:p w14:paraId="05E22083">
                  <w:pPr>
                    <w:jc w:val="center"/>
                    <w:rPr>
                      <w:szCs w:val="21"/>
                    </w:rPr>
                  </w:pPr>
                </w:p>
              </w:tc>
              <w:tc>
                <w:tcPr>
                  <w:tcW w:w="410" w:type="pct"/>
                  <w:shd w:val="clear" w:color="auto" w:fill="auto"/>
                  <w:vAlign w:val="center"/>
                </w:tcPr>
                <w:p w14:paraId="6E9B5313">
                  <w:pPr>
                    <w:spacing w:line="280" w:lineRule="exact"/>
                    <w:jc w:val="center"/>
                    <w:rPr>
                      <w:szCs w:val="21"/>
                    </w:rPr>
                  </w:pPr>
                  <w:r>
                    <w:rPr>
                      <w:szCs w:val="21"/>
                    </w:rPr>
                    <w:t>500</w:t>
                  </w:r>
                </w:p>
              </w:tc>
              <w:tc>
                <w:tcPr>
                  <w:tcW w:w="484" w:type="pct"/>
                  <w:shd w:val="clear" w:color="auto" w:fill="auto"/>
                  <w:vAlign w:val="center"/>
                </w:tcPr>
                <w:p w14:paraId="612C5115">
                  <w:pPr>
                    <w:jc w:val="center"/>
                    <w:rPr>
                      <w:rFonts w:eastAsia="等线"/>
                      <w:sz w:val="22"/>
                      <w:szCs w:val="22"/>
                    </w:rPr>
                  </w:pPr>
                  <w:r>
                    <w:rPr>
                      <w:rFonts w:eastAsia="等线"/>
                      <w:sz w:val="22"/>
                      <w:szCs w:val="22"/>
                    </w:rPr>
                    <w:t xml:space="preserve">1.152 </w:t>
                  </w:r>
                </w:p>
              </w:tc>
            </w:tr>
            <w:tr w14:paraId="3BEC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406300A2">
                  <w:pPr>
                    <w:jc w:val="center"/>
                    <w:rPr>
                      <w:szCs w:val="21"/>
                    </w:rPr>
                  </w:pPr>
                </w:p>
              </w:tc>
              <w:tc>
                <w:tcPr>
                  <w:tcW w:w="287" w:type="pct"/>
                  <w:vMerge w:val="continue"/>
                  <w:vAlign w:val="center"/>
                </w:tcPr>
                <w:p w14:paraId="6D7B69E6">
                  <w:pPr>
                    <w:jc w:val="center"/>
                    <w:rPr>
                      <w:szCs w:val="21"/>
                    </w:rPr>
                  </w:pPr>
                </w:p>
              </w:tc>
              <w:tc>
                <w:tcPr>
                  <w:tcW w:w="446" w:type="pct"/>
                  <w:shd w:val="clear" w:color="auto" w:fill="auto"/>
                  <w:vAlign w:val="center"/>
                </w:tcPr>
                <w:p w14:paraId="61D8C240">
                  <w:pPr>
                    <w:jc w:val="center"/>
                    <w:rPr>
                      <w:bCs/>
                      <w:szCs w:val="21"/>
                    </w:rPr>
                  </w:pPr>
                  <w:r>
                    <w:rPr>
                      <w:bCs/>
                      <w:szCs w:val="21"/>
                    </w:rPr>
                    <w:t>BOD</w:t>
                  </w:r>
                  <w:r>
                    <w:rPr>
                      <w:bCs/>
                      <w:szCs w:val="21"/>
                      <w:vertAlign w:val="subscript"/>
                    </w:rPr>
                    <w:t>5</w:t>
                  </w:r>
                </w:p>
              </w:tc>
              <w:tc>
                <w:tcPr>
                  <w:tcW w:w="434" w:type="pct"/>
                  <w:shd w:val="clear" w:color="auto" w:fill="auto"/>
                  <w:vAlign w:val="center"/>
                </w:tcPr>
                <w:p w14:paraId="4159FF98">
                  <w:pPr>
                    <w:jc w:val="center"/>
                    <w:rPr>
                      <w:rFonts w:eastAsia="等线"/>
                      <w:szCs w:val="21"/>
                    </w:rPr>
                  </w:pPr>
                  <w:r>
                    <w:rPr>
                      <w:rFonts w:eastAsia="等线"/>
                      <w:szCs w:val="21"/>
                    </w:rPr>
                    <w:t>400</w:t>
                  </w:r>
                </w:p>
              </w:tc>
              <w:tc>
                <w:tcPr>
                  <w:tcW w:w="568" w:type="pct"/>
                  <w:shd w:val="clear" w:color="auto" w:fill="auto"/>
                  <w:vAlign w:val="center"/>
                </w:tcPr>
                <w:p w14:paraId="0DE75865">
                  <w:pPr>
                    <w:jc w:val="center"/>
                    <w:rPr>
                      <w:rFonts w:eastAsia="等线"/>
                      <w:sz w:val="22"/>
                      <w:szCs w:val="22"/>
                    </w:rPr>
                  </w:pPr>
                  <w:r>
                    <w:rPr>
                      <w:rFonts w:eastAsia="等线"/>
                      <w:sz w:val="22"/>
                      <w:szCs w:val="22"/>
                    </w:rPr>
                    <w:t xml:space="preserve">0.921 </w:t>
                  </w:r>
                </w:p>
              </w:tc>
              <w:tc>
                <w:tcPr>
                  <w:tcW w:w="430" w:type="pct"/>
                  <w:vMerge w:val="continue"/>
                  <w:shd w:val="clear" w:color="auto" w:fill="auto"/>
                  <w:vAlign w:val="center"/>
                </w:tcPr>
                <w:p w14:paraId="36A3A58C">
                  <w:pPr>
                    <w:jc w:val="center"/>
                    <w:rPr>
                      <w:szCs w:val="21"/>
                    </w:rPr>
                  </w:pPr>
                </w:p>
              </w:tc>
              <w:tc>
                <w:tcPr>
                  <w:tcW w:w="349" w:type="pct"/>
                  <w:vMerge w:val="continue"/>
                  <w:shd w:val="clear" w:color="auto" w:fill="auto"/>
                  <w:vAlign w:val="center"/>
                </w:tcPr>
                <w:p w14:paraId="2A2A6611">
                  <w:pPr>
                    <w:jc w:val="center"/>
                    <w:rPr>
                      <w:szCs w:val="21"/>
                    </w:rPr>
                  </w:pPr>
                </w:p>
              </w:tc>
              <w:tc>
                <w:tcPr>
                  <w:tcW w:w="291" w:type="pct"/>
                  <w:vMerge w:val="continue"/>
                  <w:shd w:val="clear" w:color="auto" w:fill="auto"/>
                  <w:vAlign w:val="center"/>
                </w:tcPr>
                <w:p w14:paraId="15E8C5C8">
                  <w:pPr>
                    <w:jc w:val="center"/>
                    <w:rPr>
                      <w:szCs w:val="21"/>
                    </w:rPr>
                  </w:pPr>
                </w:p>
              </w:tc>
              <w:tc>
                <w:tcPr>
                  <w:tcW w:w="465" w:type="pct"/>
                  <w:vMerge w:val="continue"/>
                  <w:shd w:val="clear" w:color="auto" w:fill="auto"/>
                  <w:vAlign w:val="center"/>
                </w:tcPr>
                <w:p w14:paraId="4246FE77">
                  <w:pPr>
                    <w:jc w:val="center"/>
                    <w:rPr>
                      <w:szCs w:val="21"/>
                    </w:rPr>
                  </w:pPr>
                </w:p>
              </w:tc>
              <w:tc>
                <w:tcPr>
                  <w:tcW w:w="561" w:type="pct"/>
                  <w:vMerge w:val="continue"/>
                  <w:shd w:val="clear" w:color="auto" w:fill="auto"/>
                  <w:vAlign w:val="center"/>
                </w:tcPr>
                <w:p w14:paraId="5E4B33FA">
                  <w:pPr>
                    <w:jc w:val="center"/>
                    <w:rPr>
                      <w:szCs w:val="21"/>
                    </w:rPr>
                  </w:pPr>
                </w:p>
              </w:tc>
              <w:tc>
                <w:tcPr>
                  <w:tcW w:w="410" w:type="pct"/>
                  <w:shd w:val="clear" w:color="auto" w:fill="auto"/>
                  <w:vAlign w:val="center"/>
                </w:tcPr>
                <w:p w14:paraId="5E44E937">
                  <w:pPr>
                    <w:spacing w:line="280" w:lineRule="exact"/>
                    <w:jc w:val="center"/>
                    <w:rPr>
                      <w:szCs w:val="21"/>
                    </w:rPr>
                  </w:pPr>
                  <w:r>
                    <w:rPr>
                      <w:szCs w:val="21"/>
                    </w:rPr>
                    <w:t>300</w:t>
                  </w:r>
                </w:p>
              </w:tc>
              <w:tc>
                <w:tcPr>
                  <w:tcW w:w="484" w:type="pct"/>
                  <w:shd w:val="clear" w:color="auto" w:fill="auto"/>
                  <w:vAlign w:val="center"/>
                </w:tcPr>
                <w:p w14:paraId="1631868E">
                  <w:pPr>
                    <w:jc w:val="center"/>
                    <w:rPr>
                      <w:rFonts w:eastAsia="等线"/>
                      <w:sz w:val="22"/>
                      <w:szCs w:val="22"/>
                    </w:rPr>
                  </w:pPr>
                  <w:r>
                    <w:rPr>
                      <w:rFonts w:eastAsia="等线"/>
                      <w:sz w:val="22"/>
                      <w:szCs w:val="22"/>
                    </w:rPr>
                    <w:t xml:space="preserve">0.691 </w:t>
                  </w:r>
                </w:p>
              </w:tc>
            </w:tr>
            <w:tr w14:paraId="6E9D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63BBB987">
                  <w:pPr>
                    <w:jc w:val="center"/>
                    <w:rPr>
                      <w:szCs w:val="21"/>
                    </w:rPr>
                  </w:pPr>
                </w:p>
              </w:tc>
              <w:tc>
                <w:tcPr>
                  <w:tcW w:w="287" w:type="pct"/>
                  <w:vMerge w:val="continue"/>
                  <w:vAlign w:val="center"/>
                </w:tcPr>
                <w:p w14:paraId="0139233F">
                  <w:pPr>
                    <w:jc w:val="center"/>
                    <w:rPr>
                      <w:szCs w:val="21"/>
                    </w:rPr>
                  </w:pPr>
                </w:p>
              </w:tc>
              <w:tc>
                <w:tcPr>
                  <w:tcW w:w="446" w:type="pct"/>
                  <w:shd w:val="clear" w:color="auto" w:fill="auto"/>
                  <w:vAlign w:val="center"/>
                </w:tcPr>
                <w:p w14:paraId="64045737">
                  <w:pPr>
                    <w:jc w:val="center"/>
                    <w:rPr>
                      <w:bCs/>
                      <w:szCs w:val="21"/>
                    </w:rPr>
                  </w:pPr>
                  <w:r>
                    <w:rPr>
                      <w:bCs/>
                      <w:szCs w:val="21"/>
                    </w:rPr>
                    <w:t>动植物油</w:t>
                  </w:r>
                </w:p>
              </w:tc>
              <w:tc>
                <w:tcPr>
                  <w:tcW w:w="434" w:type="pct"/>
                  <w:shd w:val="clear" w:color="auto" w:fill="auto"/>
                  <w:vAlign w:val="center"/>
                </w:tcPr>
                <w:p w14:paraId="4C7A5C82">
                  <w:pPr>
                    <w:jc w:val="center"/>
                    <w:rPr>
                      <w:rFonts w:eastAsia="等线"/>
                      <w:szCs w:val="21"/>
                    </w:rPr>
                  </w:pPr>
                  <w:r>
                    <w:rPr>
                      <w:rFonts w:eastAsia="等线"/>
                      <w:szCs w:val="21"/>
                    </w:rPr>
                    <w:t>150</w:t>
                  </w:r>
                </w:p>
              </w:tc>
              <w:tc>
                <w:tcPr>
                  <w:tcW w:w="568" w:type="pct"/>
                  <w:shd w:val="clear" w:color="auto" w:fill="auto"/>
                  <w:vAlign w:val="center"/>
                </w:tcPr>
                <w:p w14:paraId="6F4403A5">
                  <w:pPr>
                    <w:jc w:val="center"/>
                    <w:rPr>
                      <w:rFonts w:eastAsia="等线"/>
                      <w:sz w:val="22"/>
                      <w:szCs w:val="22"/>
                    </w:rPr>
                  </w:pPr>
                  <w:r>
                    <w:rPr>
                      <w:rFonts w:eastAsia="等线"/>
                      <w:sz w:val="22"/>
                      <w:szCs w:val="22"/>
                    </w:rPr>
                    <w:t xml:space="preserve">0.346 </w:t>
                  </w:r>
                </w:p>
              </w:tc>
              <w:tc>
                <w:tcPr>
                  <w:tcW w:w="430" w:type="pct"/>
                  <w:vMerge w:val="continue"/>
                  <w:shd w:val="clear" w:color="auto" w:fill="auto"/>
                  <w:vAlign w:val="center"/>
                </w:tcPr>
                <w:p w14:paraId="31544032">
                  <w:pPr>
                    <w:jc w:val="center"/>
                    <w:rPr>
                      <w:szCs w:val="21"/>
                    </w:rPr>
                  </w:pPr>
                </w:p>
              </w:tc>
              <w:tc>
                <w:tcPr>
                  <w:tcW w:w="349" w:type="pct"/>
                  <w:vMerge w:val="continue"/>
                  <w:shd w:val="clear" w:color="auto" w:fill="auto"/>
                  <w:vAlign w:val="center"/>
                </w:tcPr>
                <w:p w14:paraId="0CBE419A">
                  <w:pPr>
                    <w:jc w:val="center"/>
                    <w:rPr>
                      <w:szCs w:val="21"/>
                    </w:rPr>
                  </w:pPr>
                </w:p>
              </w:tc>
              <w:tc>
                <w:tcPr>
                  <w:tcW w:w="291" w:type="pct"/>
                  <w:vMerge w:val="continue"/>
                  <w:shd w:val="clear" w:color="auto" w:fill="auto"/>
                  <w:vAlign w:val="center"/>
                </w:tcPr>
                <w:p w14:paraId="66B1964F">
                  <w:pPr>
                    <w:jc w:val="center"/>
                    <w:rPr>
                      <w:szCs w:val="21"/>
                    </w:rPr>
                  </w:pPr>
                </w:p>
              </w:tc>
              <w:tc>
                <w:tcPr>
                  <w:tcW w:w="465" w:type="pct"/>
                  <w:vMerge w:val="continue"/>
                  <w:shd w:val="clear" w:color="auto" w:fill="auto"/>
                  <w:vAlign w:val="center"/>
                </w:tcPr>
                <w:p w14:paraId="19E3539A">
                  <w:pPr>
                    <w:jc w:val="center"/>
                    <w:rPr>
                      <w:szCs w:val="21"/>
                    </w:rPr>
                  </w:pPr>
                </w:p>
              </w:tc>
              <w:tc>
                <w:tcPr>
                  <w:tcW w:w="561" w:type="pct"/>
                  <w:vMerge w:val="continue"/>
                  <w:shd w:val="clear" w:color="auto" w:fill="auto"/>
                  <w:vAlign w:val="center"/>
                </w:tcPr>
                <w:p w14:paraId="70EFB2FD">
                  <w:pPr>
                    <w:jc w:val="center"/>
                    <w:rPr>
                      <w:szCs w:val="21"/>
                    </w:rPr>
                  </w:pPr>
                </w:p>
              </w:tc>
              <w:tc>
                <w:tcPr>
                  <w:tcW w:w="410" w:type="pct"/>
                  <w:shd w:val="clear" w:color="auto" w:fill="auto"/>
                  <w:vAlign w:val="center"/>
                </w:tcPr>
                <w:p w14:paraId="05D79ABA">
                  <w:pPr>
                    <w:spacing w:line="280" w:lineRule="exact"/>
                    <w:jc w:val="center"/>
                    <w:rPr>
                      <w:szCs w:val="21"/>
                    </w:rPr>
                  </w:pPr>
                  <w:r>
                    <w:rPr>
                      <w:szCs w:val="21"/>
                    </w:rPr>
                    <w:t>100</w:t>
                  </w:r>
                </w:p>
              </w:tc>
              <w:tc>
                <w:tcPr>
                  <w:tcW w:w="484" w:type="pct"/>
                  <w:shd w:val="clear" w:color="auto" w:fill="auto"/>
                  <w:vAlign w:val="center"/>
                </w:tcPr>
                <w:p w14:paraId="6E008DEF">
                  <w:pPr>
                    <w:jc w:val="center"/>
                    <w:rPr>
                      <w:rFonts w:eastAsia="等线"/>
                      <w:sz w:val="22"/>
                      <w:szCs w:val="22"/>
                    </w:rPr>
                  </w:pPr>
                  <w:r>
                    <w:rPr>
                      <w:rFonts w:eastAsia="等线"/>
                      <w:sz w:val="22"/>
                      <w:szCs w:val="22"/>
                    </w:rPr>
                    <w:t xml:space="preserve">0.230 </w:t>
                  </w:r>
                </w:p>
              </w:tc>
            </w:tr>
            <w:tr w14:paraId="10F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52563655">
                  <w:pPr>
                    <w:jc w:val="center"/>
                    <w:rPr>
                      <w:szCs w:val="21"/>
                    </w:rPr>
                  </w:pPr>
                </w:p>
              </w:tc>
              <w:tc>
                <w:tcPr>
                  <w:tcW w:w="287" w:type="pct"/>
                  <w:vMerge w:val="restart"/>
                  <w:vAlign w:val="center"/>
                </w:tcPr>
                <w:p w14:paraId="78E45AC9">
                  <w:pPr>
                    <w:jc w:val="center"/>
                    <w:rPr>
                      <w:szCs w:val="21"/>
                    </w:rPr>
                  </w:pPr>
                  <w:r>
                    <w:rPr>
                      <w:szCs w:val="21"/>
                    </w:rPr>
                    <w:t>生活污水</w:t>
                  </w:r>
                </w:p>
              </w:tc>
              <w:tc>
                <w:tcPr>
                  <w:tcW w:w="446" w:type="pct"/>
                  <w:shd w:val="clear" w:color="auto" w:fill="auto"/>
                  <w:vAlign w:val="center"/>
                </w:tcPr>
                <w:p w14:paraId="23BC7054">
                  <w:pPr>
                    <w:jc w:val="center"/>
                    <w:rPr>
                      <w:bCs/>
                      <w:szCs w:val="21"/>
                    </w:rPr>
                  </w:pPr>
                  <w:r>
                    <w:rPr>
                      <w:bCs/>
                      <w:szCs w:val="21"/>
                    </w:rPr>
                    <w:t>氨氮</w:t>
                  </w:r>
                </w:p>
              </w:tc>
              <w:tc>
                <w:tcPr>
                  <w:tcW w:w="434" w:type="pct"/>
                  <w:shd w:val="clear" w:color="auto" w:fill="auto"/>
                  <w:vAlign w:val="center"/>
                </w:tcPr>
                <w:p w14:paraId="2F0C6EB4">
                  <w:pPr>
                    <w:widowControl/>
                    <w:jc w:val="center"/>
                    <w:rPr>
                      <w:rFonts w:eastAsia="等线"/>
                      <w:kern w:val="0"/>
                      <w:szCs w:val="21"/>
                    </w:rPr>
                  </w:pPr>
                  <w:r>
                    <w:rPr>
                      <w:rFonts w:eastAsia="等线"/>
                      <w:szCs w:val="21"/>
                    </w:rPr>
                    <w:t>17.6</w:t>
                  </w:r>
                </w:p>
              </w:tc>
              <w:tc>
                <w:tcPr>
                  <w:tcW w:w="568" w:type="pct"/>
                  <w:shd w:val="clear" w:color="auto" w:fill="auto"/>
                  <w:vAlign w:val="center"/>
                </w:tcPr>
                <w:p w14:paraId="46811195">
                  <w:pPr>
                    <w:widowControl/>
                    <w:jc w:val="center"/>
                    <w:rPr>
                      <w:rFonts w:eastAsia="等线"/>
                      <w:kern w:val="0"/>
                      <w:sz w:val="22"/>
                      <w:szCs w:val="22"/>
                    </w:rPr>
                  </w:pPr>
                  <w:r>
                    <w:rPr>
                      <w:rFonts w:eastAsia="等线"/>
                      <w:sz w:val="22"/>
                      <w:szCs w:val="22"/>
                    </w:rPr>
                    <w:t xml:space="preserve">0.180 </w:t>
                  </w:r>
                </w:p>
              </w:tc>
              <w:tc>
                <w:tcPr>
                  <w:tcW w:w="430" w:type="pct"/>
                  <w:vMerge w:val="continue"/>
                  <w:shd w:val="clear" w:color="auto" w:fill="auto"/>
                  <w:vAlign w:val="center"/>
                </w:tcPr>
                <w:p w14:paraId="1001003E">
                  <w:pPr>
                    <w:jc w:val="center"/>
                    <w:rPr>
                      <w:szCs w:val="21"/>
                    </w:rPr>
                  </w:pPr>
                </w:p>
              </w:tc>
              <w:tc>
                <w:tcPr>
                  <w:tcW w:w="349" w:type="pct"/>
                  <w:vMerge w:val="continue"/>
                  <w:shd w:val="clear" w:color="auto" w:fill="auto"/>
                  <w:vAlign w:val="center"/>
                </w:tcPr>
                <w:p w14:paraId="7D452E16">
                  <w:pPr>
                    <w:jc w:val="center"/>
                    <w:rPr>
                      <w:szCs w:val="21"/>
                    </w:rPr>
                  </w:pPr>
                </w:p>
              </w:tc>
              <w:tc>
                <w:tcPr>
                  <w:tcW w:w="291" w:type="pct"/>
                  <w:vMerge w:val="continue"/>
                  <w:shd w:val="clear" w:color="auto" w:fill="auto"/>
                  <w:vAlign w:val="center"/>
                </w:tcPr>
                <w:p w14:paraId="13BD8C17">
                  <w:pPr>
                    <w:jc w:val="center"/>
                    <w:rPr>
                      <w:szCs w:val="21"/>
                    </w:rPr>
                  </w:pPr>
                </w:p>
              </w:tc>
              <w:tc>
                <w:tcPr>
                  <w:tcW w:w="465" w:type="pct"/>
                  <w:vMerge w:val="continue"/>
                  <w:shd w:val="clear" w:color="auto" w:fill="auto"/>
                  <w:vAlign w:val="center"/>
                </w:tcPr>
                <w:p w14:paraId="6371295A">
                  <w:pPr>
                    <w:jc w:val="center"/>
                    <w:rPr>
                      <w:szCs w:val="21"/>
                    </w:rPr>
                  </w:pPr>
                </w:p>
              </w:tc>
              <w:tc>
                <w:tcPr>
                  <w:tcW w:w="561" w:type="pct"/>
                  <w:vMerge w:val="restart"/>
                  <w:shd w:val="clear" w:color="auto" w:fill="auto"/>
                  <w:vAlign w:val="center"/>
                </w:tcPr>
                <w:p w14:paraId="5FF8DE4D">
                  <w:pPr>
                    <w:jc w:val="center"/>
                    <w:rPr>
                      <w:szCs w:val="21"/>
                    </w:rPr>
                  </w:pPr>
                  <w:r>
                    <w:rPr>
                      <w:szCs w:val="21"/>
                    </w:rPr>
                    <w:t>30.96m</w:t>
                  </w:r>
                  <w:r>
                    <w:rPr>
                      <w:szCs w:val="21"/>
                      <w:vertAlign w:val="superscript"/>
                    </w:rPr>
                    <w:t>3</w:t>
                  </w:r>
                  <w:r>
                    <w:rPr>
                      <w:szCs w:val="21"/>
                    </w:rPr>
                    <w:t>/d，</w:t>
                  </w:r>
                  <w:r>
                    <w:rPr>
                      <w:kern w:val="0"/>
                      <w:szCs w:val="21"/>
                    </w:rPr>
                    <w:t>10216.8</w:t>
                  </w:r>
                  <w:r>
                    <w:rPr>
                      <w:szCs w:val="21"/>
                    </w:rPr>
                    <w:t>m</w:t>
                  </w:r>
                  <w:r>
                    <w:rPr>
                      <w:szCs w:val="21"/>
                      <w:vertAlign w:val="superscript"/>
                    </w:rPr>
                    <w:t>3</w:t>
                  </w:r>
                  <w:r>
                    <w:rPr>
                      <w:szCs w:val="21"/>
                    </w:rPr>
                    <w:t>/a</w:t>
                  </w:r>
                </w:p>
              </w:tc>
              <w:tc>
                <w:tcPr>
                  <w:tcW w:w="410" w:type="pct"/>
                  <w:shd w:val="clear" w:color="auto" w:fill="auto"/>
                  <w:vAlign w:val="center"/>
                </w:tcPr>
                <w:p w14:paraId="18DC4FAA">
                  <w:pPr>
                    <w:spacing w:line="280" w:lineRule="exact"/>
                    <w:jc w:val="center"/>
                    <w:rPr>
                      <w:szCs w:val="21"/>
                    </w:rPr>
                  </w:pPr>
                  <w:r>
                    <w:rPr>
                      <w:szCs w:val="21"/>
                    </w:rPr>
                    <w:t>45</w:t>
                  </w:r>
                </w:p>
              </w:tc>
              <w:tc>
                <w:tcPr>
                  <w:tcW w:w="484" w:type="pct"/>
                  <w:shd w:val="clear" w:color="auto" w:fill="auto"/>
                  <w:vAlign w:val="center"/>
                </w:tcPr>
                <w:p w14:paraId="30C7F5F4">
                  <w:pPr>
                    <w:widowControl/>
                    <w:jc w:val="center"/>
                    <w:rPr>
                      <w:rFonts w:eastAsia="等线"/>
                      <w:kern w:val="0"/>
                      <w:sz w:val="22"/>
                      <w:szCs w:val="22"/>
                    </w:rPr>
                  </w:pPr>
                  <w:r>
                    <w:rPr>
                      <w:rFonts w:eastAsia="等线"/>
                      <w:sz w:val="22"/>
                      <w:szCs w:val="22"/>
                    </w:rPr>
                    <w:t xml:space="preserve">0.180 </w:t>
                  </w:r>
                </w:p>
              </w:tc>
            </w:tr>
            <w:tr w14:paraId="7FDB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2F27493B">
                  <w:pPr>
                    <w:jc w:val="center"/>
                    <w:rPr>
                      <w:szCs w:val="21"/>
                    </w:rPr>
                  </w:pPr>
                </w:p>
              </w:tc>
              <w:tc>
                <w:tcPr>
                  <w:tcW w:w="287" w:type="pct"/>
                  <w:vMerge w:val="continue"/>
                  <w:vAlign w:val="center"/>
                </w:tcPr>
                <w:p w14:paraId="28F1DD85">
                  <w:pPr>
                    <w:jc w:val="center"/>
                    <w:rPr>
                      <w:szCs w:val="21"/>
                    </w:rPr>
                  </w:pPr>
                </w:p>
              </w:tc>
              <w:tc>
                <w:tcPr>
                  <w:tcW w:w="446" w:type="pct"/>
                  <w:shd w:val="clear" w:color="auto" w:fill="auto"/>
                  <w:vAlign w:val="center"/>
                </w:tcPr>
                <w:p w14:paraId="54FF6479">
                  <w:pPr>
                    <w:jc w:val="center"/>
                    <w:rPr>
                      <w:bCs/>
                      <w:szCs w:val="21"/>
                    </w:rPr>
                  </w:pPr>
                  <w:r>
                    <w:rPr>
                      <w:bCs/>
                      <w:szCs w:val="21"/>
                    </w:rPr>
                    <w:t>SS</w:t>
                  </w:r>
                </w:p>
              </w:tc>
              <w:tc>
                <w:tcPr>
                  <w:tcW w:w="434" w:type="pct"/>
                  <w:shd w:val="clear" w:color="auto" w:fill="auto"/>
                  <w:vAlign w:val="center"/>
                </w:tcPr>
                <w:p w14:paraId="013C9DDE">
                  <w:pPr>
                    <w:jc w:val="center"/>
                    <w:rPr>
                      <w:rFonts w:eastAsia="等线"/>
                      <w:szCs w:val="21"/>
                    </w:rPr>
                  </w:pPr>
                  <w:r>
                    <w:rPr>
                      <w:rFonts w:eastAsia="等线"/>
                      <w:szCs w:val="21"/>
                    </w:rPr>
                    <w:t>121</w:t>
                  </w:r>
                </w:p>
              </w:tc>
              <w:tc>
                <w:tcPr>
                  <w:tcW w:w="568" w:type="pct"/>
                  <w:shd w:val="clear" w:color="auto" w:fill="auto"/>
                  <w:vAlign w:val="center"/>
                </w:tcPr>
                <w:p w14:paraId="3ADDC4E7">
                  <w:pPr>
                    <w:jc w:val="center"/>
                    <w:rPr>
                      <w:rFonts w:eastAsia="等线"/>
                      <w:sz w:val="22"/>
                      <w:szCs w:val="22"/>
                    </w:rPr>
                  </w:pPr>
                  <w:r>
                    <w:rPr>
                      <w:rFonts w:eastAsia="等线"/>
                      <w:sz w:val="22"/>
                      <w:szCs w:val="22"/>
                    </w:rPr>
                    <w:t xml:space="preserve">1.236 </w:t>
                  </w:r>
                </w:p>
              </w:tc>
              <w:tc>
                <w:tcPr>
                  <w:tcW w:w="430" w:type="pct"/>
                  <w:vMerge w:val="continue"/>
                  <w:shd w:val="clear" w:color="auto" w:fill="auto"/>
                  <w:vAlign w:val="center"/>
                </w:tcPr>
                <w:p w14:paraId="5E3E0AFA">
                  <w:pPr>
                    <w:jc w:val="center"/>
                    <w:rPr>
                      <w:szCs w:val="21"/>
                    </w:rPr>
                  </w:pPr>
                </w:p>
              </w:tc>
              <w:tc>
                <w:tcPr>
                  <w:tcW w:w="349" w:type="pct"/>
                  <w:vMerge w:val="continue"/>
                  <w:shd w:val="clear" w:color="auto" w:fill="auto"/>
                  <w:vAlign w:val="center"/>
                </w:tcPr>
                <w:p w14:paraId="5FF279B8">
                  <w:pPr>
                    <w:jc w:val="center"/>
                    <w:rPr>
                      <w:szCs w:val="21"/>
                    </w:rPr>
                  </w:pPr>
                </w:p>
              </w:tc>
              <w:tc>
                <w:tcPr>
                  <w:tcW w:w="291" w:type="pct"/>
                  <w:vMerge w:val="continue"/>
                  <w:shd w:val="clear" w:color="auto" w:fill="auto"/>
                  <w:vAlign w:val="center"/>
                </w:tcPr>
                <w:p w14:paraId="10E1307E">
                  <w:pPr>
                    <w:jc w:val="center"/>
                    <w:rPr>
                      <w:szCs w:val="21"/>
                    </w:rPr>
                  </w:pPr>
                </w:p>
              </w:tc>
              <w:tc>
                <w:tcPr>
                  <w:tcW w:w="465" w:type="pct"/>
                  <w:vMerge w:val="continue"/>
                  <w:shd w:val="clear" w:color="auto" w:fill="auto"/>
                  <w:vAlign w:val="center"/>
                </w:tcPr>
                <w:p w14:paraId="4C6E786B">
                  <w:pPr>
                    <w:jc w:val="center"/>
                    <w:rPr>
                      <w:szCs w:val="21"/>
                    </w:rPr>
                  </w:pPr>
                </w:p>
              </w:tc>
              <w:tc>
                <w:tcPr>
                  <w:tcW w:w="561" w:type="pct"/>
                  <w:vMerge w:val="continue"/>
                  <w:shd w:val="clear" w:color="auto" w:fill="auto"/>
                  <w:vAlign w:val="center"/>
                </w:tcPr>
                <w:p w14:paraId="2AF9D393">
                  <w:pPr>
                    <w:jc w:val="center"/>
                    <w:rPr>
                      <w:szCs w:val="21"/>
                    </w:rPr>
                  </w:pPr>
                </w:p>
              </w:tc>
              <w:tc>
                <w:tcPr>
                  <w:tcW w:w="410" w:type="pct"/>
                  <w:shd w:val="clear" w:color="auto" w:fill="auto"/>
                  <w:vAlign w:val="center"/>
                </w:tcPr>
                <w:p w14:paraId="7695AF31">
                  <w:pPr>
                    <w:spacing w:line="280" w:lineRule="exact"/>
                    <w:jc w:val="center"/>
                    <w:rPr>
                      <w:szCs w:val="21"/>
                    </w:rPr>
                  </w:pPr>
                  <w:r>
                    <w:rPr>
                      <w:szCs w:val="21"/>
                    </w:rPr>
                    <w:t>400</w:t>
                  </w:r>
                </w:p>
              </w:tc>
              <w:tc>
                <w:tcPr>
                  <w:tcW w:w="484" w:type="pct"/>
                  <w:shd w:val="clear" w:color="auto" w:fill="auto"/>
                  <w:vAlign w:val="center"/>
                </w:tcPr>
                <w:p w14:paraId="407BE9EB">
                  <w:pPr>
                    <w:jc w:val="center"/>
                    <w:rPr>
                      <w:rFonts w:eastAsia="等线"/>
                      <w:sz w:val="22"/>
                      <w:szCs w:val="22"/>
                    </w:rPr>
                  </w:pPr>
                  <w:r>
                    <w:rPr>
                      <w:rFonts w:eastAsia="等线"/>
                      <w:sz w:val="22"/>
                      <w:szCs w:val="22"/>
                    </w:rPr>
                    <w:t xml:space="preserve">1.236 </w:t>
                  </w:r>
                </w:p>
              </w:tc>
            </w:tr>
            <w:tr w14:paraId="5EE5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511F0B1A">
                  <w:pPr>
                    <w:jc w:val="center"/>
                    <w:rPr>
                      <w:szCs w:val="21"/>
                    </w:rPr>
                  </w:pPr>
                </w:p>
              </w:tc>
              <w:tc>
                <w:tcPr>
                  <w:tcW w:w="287" w:type="pct"/>
                  <w:vMerge w:val="continue"/>
                  <w:vAlign w:val="center"/>
                </w:tcPr>
                <w:p w14:paraId="3E11590F">
                  <w:pPr>
                    <w:jc w:val="center"/>
                    <w:rPr>
                      <w:szCs w:val="21"/>
                    </w:rPr>
                  </w:pPr>
                </w:p>
              </w:tc>
              <w:tc>
                <w:tcPr>
                  <w:tcW w:w="446" w:type="pct"/>
                  <w:shd w:val="clear" w:color="auto" w:fill="auto"/>
                  <w:vAlign w:val="center"/>
                </w:tcPr>
                <w:p w14:paraId="7EF7D6C0">
                  <w:pPr>
                    <w:jc w:val="center"/>
                    <w:rPr>
                      <w:bCs/>
                      <w:szCs w:val="21"/>
                    </w:rPr>
                  </w:pPr>
                  <w:r>
                    <w:rPr>
                      <w:bCs/>
                      <w:szCs w:val="21"/>
                    </w:rPr>
                    <w:t>COD</w:t>
                  </w:r>
                </w:p>
              </w:tc>
              <w:tc>
                <w:tcPr>
                  <w:tcW w:w="434" w:type="pct"/>
                  <w:shd w:val="clear" w:color="auto" w:fill="auto"/>
                  <w:vAlign w:val="center"/>
                </w:tcPr>
                <w:p w14:paraId="6A5FC68B">
                  <w:pPr>
                    <w:jc w:val="center"/>
                    <w:rPr>
                      <w:rFonts w:eastAsia="等线"/>
                      <w:szCs w:val="21"/>
                    </w:rPr>
                  </w:pPr>
                  <w:r>
                    <w:rPr>
                      <w:rFonts w:eastAsia="等线"/>
                      <w:szCs w:val="21"/>
                    </w:rPr>
                    <w:t>698</w:t>
                  </w:r>
                </w:p>
              </w:tc>
              <w:tc>
                <w:tcPr>
                  <w:tcW w:w="568" w:type="pct"/>
                  <w:shd w:val="clear" w:color="auto" w:fill="auto"/>
                  <w:vAlign w:val="center"/>
                </w:tcPr>
                <w:p w14:paraId="0815E528">
                  <w:pPr>
                    <w:jc w:val="center"/>
                    <w:rPr>
                      <w:rFonts w:eastAsia="等线"/>
                      <w:sz w:val="22"/>
                      <w:szCs w:val="22"/>
                    </w:rPr>
                  </w:pPr>
                  <w:r>
                    <w:rPr>
                      <w:rFonts w:eastAsia="等线"/>
                      <w:sz w:val="22"/>
                      <w:szCs w:val="22"/>
                    </w:rPr>
                    <w:t xml:space="preserve">7.131 </w:t>
                  </w:r>
                </w:p>
              </w:tc>
              <w:tc>
                <w:tcPr>
                  <w:tcW w:w="430" w:type="pct"/>
                  <w:vMerge w:val="continue"/>
                  <w:shd w:val="clear" w:color="auto" w:fill="auto"/>
                  <w:vAlign w:val="center"/>
                </w:tcPr>
                <w:p w14:paraId="5A2683D2">
                  <w:pPr>
                    <w:jc w:val="center"/>
                    <w:rPr>
                      <w:szCs w:val="21"/>
                    </w:rPr>
                  </w:pPr>
                </w:p>
              </w:tc>
              <w:tc>
                <w:tcPr>
                  <w:tcW w:w="349" w:type="pct"/>
                  <w:vMerge w:val="continue"/>
                  <w:shd w:val="clear" w:color="auto" w:fill="auto"/>
                  <w:vAlign w:val="center"/>
                </w:tcPr>
                <w:p w14:paraId="6A0AE01C">
                  <w:pPr>
                    <w:jc w:val="center"/>
                    <w:rPr>
                      <w:szCs w:val="21"/>
                    </w:rPr>
                  </w:pPr>
                </w:p>
              </w:tc>
              <w:tc>
                <w:tcPr>
                  <w:tcW w:w="291" w:type="pct"/>
                  <w:vMerge w:val="continue"/>
                  <w:shd w:val="clear" w:color="auto" w:fill="auto"/>
                  <w:vAlign w:val="center"/>
                </w:tcPr>
                <w:p w14:paraId="7F83DFBF">
                  <w:pPr>
                    <w:jc w:val="center"/>
                    <w:rPr>
                      <w:szCs w:val="21"/>
                    </w:rPr>
                  </w:pPr>
                </w:p>
              </w:tc>
              <w:tc>
                <w:tcPr>
                  <w:tcW w:w="465" w:type="pct"/>
                  <w:vMerge w:val="continue"/>
                  <w:shd w:val="clear" w:color="auto" w:fill="auto"/>
                  <w:vAlign w:val="center"/>
                </w:tcPr>
                <w:p w14:paraId="447429EB">
                  <w:pPr>
                    <w:jc w:val="center"/>
                    <w:rPr>
                      <w:szCs w:val="21"/>
                    </w:rPr>
                  </w:pPr>
                </w:p>
              </w:tc>
              <w:tc>
                <w:tcPr>
                  <w:tcW w:w="561" w:type="pct"/>
                  <w:vMerge w:val="continue"/>
                  <w:shd w:val="clear" w:color="auto" w:fill="auto"/>
                  <w:vAlign w:val="center"/>
                </w:tcPr>
                <w:p w14:paraId="0B646F2B">
                  <w:pPr>
                    <w:jc w:val="center"/>
                    <w:rPr>
                      <w:szCs w:val="21"/>
                    </w:rPr>
                  </w:pPr>
                </w:p>
              </w:tc>
              <w:tc>
                <w:tcPr>
                  <w:tcW w:w="410" w:type="pct"/>
                  <w:shd w:val="clear" w:color="auto" w:fill="auto"/>
                  <w:vAlign w:val="center"/>
                </w:tcPr>
                <w:p w14:paraId="6ABC4A26">
                  <w:pPr>
                    <w:spacing w:line="280" w:lineRule="exact"/>
                    <w:jc w:val="center"/>
                    <w:rPr>
                      <w:szCs w:val="21"/>
                    </w:rPr>
                  </w:pPr>
                  <w:r>
                    <w:rPr>
                      <w:szCs w:val="21"/>
                    </w:rPr>
                    <w:t>500</w:t>
                  </w:r>
                </w:p>
              </w:tc>
              <w:tc>
                <w:tcPr>
                  <w:tcW w:w="484" w:type="pct"/>
                  <w:shd w:val="clear" w:color="auto" w:fill="auto"/>
                  <w:vAlign w:val="center"/>
                </w:tcPr>
                <w:p w14:paraId="144653C8">
                  <w:pPr>
                    <w:jc w:val="center"/>
                    <w:rPr>
                      <w:rFonts w:eastAsia="等线"/>
                      <w:sz w:val="22"/>
                      <w:szCs w:val="22"/>
                    </w:rPr>
                  </w:pPr>
                  <w:r>
                    <w:rPr>
                      <w:rFonts w:eastAsia="等线"/>
                      <w:sz w:val="22"/>
                      <w:szCs w:val="22"/>
                    </w:rPr>
                    <w:t xml:space="preserve">5.108 </w:t>
                  </w:r>
                </w:p>
              </w:tc>
            </w:tr>
            <w:tr w14:paraId="6EC6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 w:type="pct"/>
                  <w:vMerge w:val="continue"/>
                  <w:shd w:val="clear" w:color="auto" w:fill="auto"/>
                  <w:vAlign w:val="center"/>
                </w:tcPr>
                <w:p w14:paraId="2AE75E39">
                  <w:pPr>
                    <w:jc w:val="center"/>
                    <w:rPr>
                      <w:szCs w:val="21"/>
                    </w:rPr>
                  </w:pPr>
                </w:p>
              </w:tc>
              <w:tc>
                <w:tcPr>
                  <w:tcW w:w="287" w:type="pct"/>
                  <w:vMerge w:val="continue"/>
                  <w:vAlign w:val="center"/>
                </w:tcPr>
                <w:p w14:paraId="2D06DA76">
                  <w:pPr>
                    <w:jc w:val="center"/>
                    <w:rPr>
                      <w:szCs w:val="21"/>
                    </w:rPr>
                  </w:pPr>
                </w:p>
              </w:tc>
              <w:tc>
                <w:tcPr>
                  <w:tcW w:w="446" w:type="pct"/>
                  <w:shd w:val="clear" w:color="auto" w:fill="auto"/>
                  <w:vAlign w:val="center"/>
                </w:tcPr>
                <w:p w14:paraId="75062E06">
                  <w:pPr>
                    <w:jc w:val="center"/>
                    <w:rPr>
                      <w:bCs/>
                      <w:szCs w:val="21"/>
                    </w:rPr>
                  </w:pPr>
                  <w:r>
                    <w:rPr>
                      <w:bCs/>
                      <w:szCs w:val="21"/>
                    </w:rPr>
                    <w:t>BOD</w:t>
                  </w:r>
                  <w:r>
                    <w:rPr>
                      <w:bCs/>
                      <w:szCs w:val="21"/>
                      <w:vertAlign w:val="subscript"/>
                    </w:rPr>
                    <w:t>5</w:t>
                  </w:r>
                </w:p>
              </w:tc>
              <w:tc>
                <w:tcPr>
                  <w:tcW w:w="434" w:type="pct"/>
                  <w:shd w:val="clear" w:color="auto" w:fill="auto"/>
                  <w:vAlign w:val="center"/>
                </w:tcPr>
                <w:p w14:paraId="1933A26E">
                  <w:pPr>
                    <w:jc w:val="center"/>
                    <w:rPr>
                      <w:rFonts w:eastAsia="等线"/>
                      <w:szCs w:val="21"/>
                    </w:rPr>
                  </w:pPr>
                  <w:r>
                    <w:rPr>
                      <w:rFonts w:eastAsia="等线"/>
                      <w:szCs w:val="21"/>
                    </w:rPr>
                    <w:t>324</w:t>
                  </w:r>
                </w:p>
              </w:tc>
              <w:tc>
                <w:tcPr>
                  <w:tcW w:w="568" w:type="pct"/>
                  <w:shd w:val="clear" w:color="auto" w:fill="auto"/>
                  <w:vAlign w:val="center"/>
                </w:tcPr>
                <w:p w14:paraId="68863106">
                  <w:pPr>
                    <w:jc w:val="center"/>
                    <w:rPr>
                      <w:rFonts w:eastAsia="等线"/>
                      <w:sz w:val="22"/>
                      <w:szCs w:val="22"/>
                    </w:rPr>
                  </w:pPr>
                  <w:r>
                    <w:rPr>
                      <w:rFonts w:eastAsia="等线"/>
                      <w:sz w:val="22"/>
                      <w:szCs w:val="22"/>
                    </w:rPr>
                    <w:t xml:space="preserve">3.310 </w:t>
                  </w:r>
                </w:p>
              </w:tc>
              <w:tc>
                <w:tcPr>
                  <w:tcW w:w="430" w:type="pct"/>
                  <w:vMerge w:val="continue"/>
                  <w:shd w:val="clear" w:color="auto" w:fill="auto"/>
                  <w:vAlign w:val="center"/>
                </w:tcPr>
                <w:p w14:paraId="7C6E5419">
                  <w:pPr>
                    <w:jc w:val="center"/>
                    <w:rPr>
                      <w:szCs w:val="21"/>
                    </w:rPr>
                  </w:pPr>
                </w:p>
              </w:tc>
              <w:tc>
                <w:tcPr>
                  <w:tcW w:w="349" w:type="pct"/>
                  <w:vMerge w:val="continue"/>
                  <w:shd w:val="clear" w:color="auto" w:fill="auto"/>
                  <w:vAlign w:val="center"/>
                </w:tcPr>
                <w:p w14:paraId="26E1E892">
                  <w:pPr>
                    <w:jc w:val="center"/>
                    <w:rPr>
                      <w:szCs w:val="21"/>
                    </w:rPr>
                  </w:pPr>
                </w:p>
              </w:tc>
              <w:tc>
                <w:tcPr>
                  <w:tcW w:w="291" w:type="pct"/>
                  <w:vMerge w:val="continue"/>
                  <w:shd w:val="clear" w:color="auto" w:fill="auto"/>
                  <w:vAlign w:val="center"/>
                </w:tcPr>
                <w:p w14:paraId="208C879C">
                  <w:pPr>
                    <w:jc w:val="center"/>
                    <w:rPr>
                      <w:szCs w:val="21"/>
                    </w:rPr>
                  </w:pPr>
                </w:p>
              </w:tc>
              <w:tc>
                <w:tcPr>
                  <w:tcW w:w="465" w:type="pct"/>
                  <w:vMerge w:val="continue"/>
                  <w:shd w:val="clear" w:color="auto" w:fill="auto"/>
                  <w:vAlign w:val="center"/>
                </w:tcPr>
                <w:p w14:paraId="08594D82">
                  <w:pPr>
                    <w:jc w:val="center"/>
                    <w:rPr>
                      <w:szCs w:val="21"/>
                    </w:rPr>
                  </w:pPr>
                </w:p>
              </w:tc>
              <w:tc>
                <w:tcPr>
                  <w:tcW w:w="561" w:type="pct"/>
                  <w:vMerge w:val="continue"/>
                  <w:shd w:val="clear" w:color="auto" w:fill="auto"/>
                  <w:vAlign w:val="center"/>
                </w:tcPr>
                <w:p w14:paraId="7286B7DF">
                  <w:pPr>
                    <w:jc w:val="center"/>
                    <w:rPr>
                      <w:szCs w:val="21"/>
                    </w:rPr>
                  </w:pPr>
                </w:p>
              </w:tc>
              <w:tc>
                <w:tcPr>
                  <w:tcW w:w="410" w:type="pct"/>
                  <w:shd w:val="clear" w:color="auto" w:fill="auto"/>
                  <w:vAlign w:val="center"/>
                </w:tcPr>
                <w:p w14:paraId="3B5FF30C">
                  <w:pPr>
                    <w:spacing w:line="280" w:lineRule="exact"/>
                    <w:jc w:val="center"/>
                    <w:rPr>
                      <w:szCs w:val="21"/>
                    </w:rPr>
                  </w:pPr>
                  <w:r>
                    <w:rPr>
                      <w:szCs w:val="21"/>
                    </w:rPr>
                    <w:t>300</w:t>
                  </w:r>
                </w:p>
              </w:tc>
              <w:tc>
                <w:tcPr>
                  <w:tcW w:w="484" w:type="pct"/>
                  <w:shd w:val="clear" w:color="auto" w:fill="auto"/>
                  <w:vAlign w:val="center"/>
                </w:tcPr>
                <w:p w14:paraId="47F18D07">
                  <w:pPr>
                    <w:jc w:val="center"/>
                    <w:rPr>
                      <w:rFonts w:eastAsia="等线"/>
                      <w:sz w:val="22"/>
                      <w:szCs w:val="22"/>
                    </w:rPr>
                  </w:pPr>
                  <w:r>
                    <w:rPr>
                      <w:rFonts w:eastAsia="等线"/>
                      <w:sz w:val="22"/>
                      <w:szCs w:val="22"/>
                    </w:rPr>
                    <w:t xml:space="preserve">3.065 </w:t>
                  </w:r>
                </w:p>
              </w:tc>
            </w:tr>
          </w:tbl>
          <w:p w14:paraId="37C1FC51"/>
          <w:p w14:paraId="2F6ED2A8"/>
          <w:p w14:paraId="560DAE6B"/>
        </w:tc>
      </w:tr>
    </w:tbl>
    <w:p w14:paraId="61A09685">
      <w:pPr>
        <w:sectPr>
          <w:pgSz w:w="16840" w:h="11907" w:orient="landscape"/>
          <w:pgMar w:top="1531" w:right="1701" w:bottom="1531" w:left="2127" w:header="851" w:footer="851" w:gutter="0"/>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419"/>
      </w:tblGrid>
      <w:tr w14:paraId="2174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shd w:val="clear" w:color="auto" w:fill="auto"/>
            <w:vAlign w:val="center"/>
          </w:tcPr>
          <w:p w14:paraId="418B766D">
            <w:pPr>
              <w:adjustRightInd w:val="0"/>
              <w:snapToGrid w:val="0"/>
              <w:jc w:val="center"/>
              <w:rPr>
                <w:bCs/>
                <w:szCs w:val="21"/>
              </w:rPr>
            </w:pPr>
            <w:r>
              <w:rPr>
                <w:bCs/>
                <w:szCs w:val="21"/>
              </w:rPr>
              <w:t>运营</w:t>
            </w:r>
          </w:p>
          <w:p w14:paraId="4FBCC1A4">
            <w:pPr>
              <w:adjustRightInd w:val="0"/>
              <w:snapToGrid w:val="0"/>
              <w:jc w:val="center"/>
              <w:rPr>
                <w:bCs/>
                <w:szCs w:val="21"/>
              </w:rPr>
            </w:pPr>
            <w:r>
              <w:rPr>
                <w:bCs/>
                <w:szCs w:val="21"/>
              </w:rPr>
              <w:t>期环</w:t>
            </w:r>
          </w:p>
          <w:p w14:paraId="45E5FC15">
            <w:pPr>
              <w:adjustRightInd w:val="0"/>
              <w:snapToGrid w:val="0"/>
              <w:jc w:val="center"/>
              <w:rPr>
                <w:bCs/>
                <w:szCs w:val="21"/>
              </w:rPr>
            </w:pPr>
            <w:r>
              <w:rPr>
                <w:bCs/>
                <w:szCs w:val="21"/>
              </w:rPr>
              <w:t>境影</w:t>
            </w:r>
          </w:p>
          <w:p w14:paraId="546EB99C">
            <w:pPr>
              <w:adjustRightInd w:val="0"/>
              <w:snapToGrid w:val="0"/>
              <w:jc w:val="center"/>
              <w:rPr>
                <w:bCs/>
                <w:szCs w:val="21"/>
              </w:rPr>
            </w:pPr>
            <w:r>
              <w:rPr>
                <w:bCs/>
                <w:szCs w:val="21"/>
              </w:rPr>
              <w:t>响和</w:t>
            </w:r>
          </w:p>
          <w:p w14:paraId="1478FF1B">
            <w:pPr>
              <w:adjustRightInd w:val="0"/>
              <w:snapToGrid w:val="0"/>
              <w:jc w:val="center"/>
              <w:rPr>
                <w:bCs/>
                <w:szCs w:val="21"/>
              </w:rPr>
            </w:pPr>
            <w:r>
              <w:rPr>
                <w:bCs/>
                <w:szCs w:val="21"/>
              </w:rPr>
              <w:t>保护</w:t>
            </w:r>
          </w:p>
          <w:p w14:paraId="2F697B6A">
            <w:pPr>
              <w:tabs>
                <w:tab w:val="center" w:pos="4422"/>
              </w:tabs>
              <w:rPr>
                <w:sz w:val="28"/>
                <w:szCs w:val="28"/>
              </w:rPr>
            </w:pPr>
            <w:r>
              <w:rPr>
                <w:bCs/>
                <w:szCs w:val="21"/>
              </w:rPr>
              <w:t>措施</w:t>
            </w:r>
          </w:p>
        </w:tc>
        <w:tc>
          <w:tcPr>
            <w:tcW w:w="8419" w:type="dxa"/>
            <w:shd w:val="clear" w:color="auto" w:fill="auto"/>
          </w:tcPr>
          <w:p w14:paraId="22162957">
            <w:pPr>
              <w:adjustRightInd w:val="0"/>
              <w:snapToGrid w:val="0"/>
              <w:spacing w:line="360" w:lineRule="auto"/>
              <w:ind w:firstLine="480"/>
              <w:jc w:val="center"/>
              <w:rPr>
                <w:bCs/>
                <w:spacing w:val="-10"/>
                <w:sz w:val="24"/>
              </w:rPr>
            </w:pPr>
            <w:r>
              <w:rPr>
                <w:bCs/>
                <w:spacing w:val="-10"/>
                <w:sz w:val="24"/>
              </w:rPr>
              <w:t>表4-10  迁建后项目废水污染物排入环境量统计表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41"/>
              <w:gridCol w:w="765"/>
              <w:gridCol w:w="1044"/>
              <w:gridCol w:w="818"/>
              <w:gridCol w:w="1990"/>
              <w:gridCol w:w="1198"/>
              <w:gridCol w:w="913"/>
            </w:tblGrid>
            <w:tr w14:paraId="3FCB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42" w:type="pct"/>
                  <w:shd w:val="clear" w:color="auto" w:fill="auto"/>
                  <w:vAlign w:val="center"/>
                </w:tcPr>
                <w:p w14:paraId="43CA815F">
                  <w:pPr>
                    <w:jc w:val="center"/>
                    <w:rPr>
                      <w:szCs w:val="21"/>
                    </w:rPr>
                  </w:pPr>
                  <w:r>
                    <w:rPr>
                      <w:rFonts w:hint="eastAsia"/>
                      <w:szCs w:val="21"/>
                    </w:rPr>
                    <w:t>产排污环节</w:t>
                  </w:r>
                </w:p>
              </w:tc>
              <w:tc>
                <w:tcPr>
                  <w:tcW w:w="452" w:type="pct"/>
                  <w:vAlign w:val="center"/>
                </w:tcPr>
                <w:p w14:paraId="36DBBE7B">
                  <w:pPr>
                    <w:jc w:val="center"/>
                    <w:rPr>
                      <w:szCs w:val="21"/>
                    </w:rPr>
                  </w:pPr>
                  <w:r>
                    <w:rPr>
                      <w:rFonts w:hint="eastAsia"/>
                      <w:szCs w:val="21"/>
                    </w:rPr>
                    <w:t>类别</w:t>
                  </w:r>
                </w:p>
              </w:tc>
              <w:tc>
                <w:tcPr>
                  <w:tcW w:w="467" w:type="pct"/>
                  <w:shd w:val="clear" w:color="auto" w:fill="auto"/>
                  <w:vAlign w:val="center"/>
                </w:tcPr>
                <w:p w14:paraId="64BA2B14">
                  <w:pPr>
                    <w:jc w:val="center"/>
                    <w:rPr>
                      <w:szCs w:val="21"/>
                    </w:rPr>
                  </w:pPr>
                  <w:r>
                    <w:rPr>
                      <w:rFonts w:hint="eastAsia"/>
                      <w:szCs w:val="21"/>
                    </w:rPr>
                    <w:t>污染物种类</w:t>
                  </w:r>
                </w:p>
              </w:tc>
              <w:tc>
                <w:tcPr>
                  <w:tcW w:w="637" w:type="pct"/>
                  <w:shd w:val="clear" w:color="auto" w:fill="auto"/>
                  <w:vAlign w:val="center"/>
                </w:tcPr>
                <w:p w14:paraId="6129B55B">
                  <w:pPr>
                    <w:jc w:val="center"/>
                    <w:rPr>
                      <w:szCs w:val="21"/>
                    </w:rPr>
                  </w:pPr>
                  <w:r>
                    <w:rPr>
                      <w:rFonts w:hint="eastAsia"/>
                      <w:szCs w:val="21"/>
                    </w:rPr>
                    <w:t>受纳污水处理厂</w:t>
                  </w:r>
                </w:p>
              </w:tc>
              <w:tc>
                <w:tcPr>
                  <w:tcW w:w="499" w:type="pct"/>
                  <w:shd w:val="clear" w:color="auto" w:fill="auto"/>
                  <w:vAlign w:val="center"/>
                </w:tcPr>
                <w:p w14:paraId="32B0DD7E">
                  <w:pPr>
                    <w:jc w:val="center"/>
                    <w:rPr>
                      <w:szCs w:val="21"/>
                    </w:rPr>
                  </w:pPr>
                  <w:r>
                    <w:rPr>
                      <w:szCs w:val="21"/>
                    </w:rPr>
                    <w:t>受纳水体</w:t>
                  </w:r>
                </w:p>
              </w:tc>
              <w:tc>
                <w:tcPr>
                  <w:tcW w:w="1214" w:type="pct"/>
                  <w:shd w:val="clear" w:color="auto" w:fill="auto"/>
                  <w:vAlign w:val="center"/>
                </w:tcPr>
                <w:p w14:paraId="0CB9DA5A">
                  <w:pPr>
                    <w:jc w:val="center"/>
                    <w:rPr>
                      <w:szCs w:val="21"/>
                    </w:rPr>
                  </w:pPr>
                  <w:r>
                    <w:rPr>
                      <w:rFonts w:hint="eastAsia"/>
                      <w:szCs w:val="21"/>
                    </w:rPr>
                    <w:t>执行标准</w:t>
                  </w:r>
                </w:p>
              </w:tc>
              <w:tc>
                <w:tcPr>
                  <w:tcW w:w="731" w:type="pct"/>
                  <w:shd w:val="clear" w:color="auto" w:fill="auto"/>
                  <w:vAlign w:val="center"/>
                </w:tcPr>
                <w:p w14:paraId="1E2A000F">
                  <w:pPr>
                    <w:jc w:val="center"/>
                    <w:rPr>
                      <w:szCs w:val="21"/>
                    </w:rPr>
                  </w:pPr>
                  <w:r>
                    <w:rPr>
                      <w:rFonts w:hint="eastAsia"/>
                      <w:szCs w:val="21"/>
                    </w:rPr>
                    <w:t>污染物排放</w:t>
                  </w:r>
                  <w:r>
                    <w:rPr>
                      <w:szCs w:val="21"/>
                    </w:rPr>
                    <w:t>浓度限制</w:t>
                  </w:r>
                  <w:r>
                    <w:rPr>
                      <w:kern w:val="0"/>
                      <w:szCs w:val="21"/>
                    </w:rPr>
                    <w:t>mg/L</w:t>
                  </w:r>
                </w:p>
              </w:tc>
              <w:tc>
                <w:tcPr>
                  <w:tcW w:w="557" w:type="pct"/>
                  <w:shd w:val="clear" w:color="auto" w:fill="auto"/>
                  <w:vAlign w:val="center"/>
                </w:tcPr>
                <w:p w14:paraId="236358BD">
                  <w:pPr>
                    <w:jc w:val="center"/>
                    <w:rPr>
                      <w:szCs w:val="21"/>
                    </w:rPr>
                  </w:pPr>
                  <w:r>
                    <w:rPr>
                      <w:rFonts w:hint="eastAsia"/>
                      <w:szCs w:val="21"/>
                    </w:rPr>
                    <w:t>污染物排放量</w:t>
                  </w:r>
                  <w:r>
                    <w:rPr>
                      <w:kern w:val="0"/>
                      <w:szCs w:val="21"/>
                    </w:rPr>
                    <w:t>t/a</w:t>
                  </w:r>
                </w:p>
              </w:tc>
            </w:tr>
            <w:tr w14:paraId="613D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restart"/>
                  <w:shd w:val="clear" w:color="auto" w:fill="auto"/>
                  <w:vAlign w:val="center"/>
                </w:tcPr>
                <w:p w14:paraId="6EC681DC">
                  <w:pPr>
                    <w:jc w:val="center"/>
                    <w:rPr>
                      <w:szCs w:val="21"/>
                    </w:rPr>
                  </w:pPr>
                  <w:r>
                    <w:rPr>
                      <w:rFonts w:hint="eastAsia"/>
                      <w:szCs w:val="21"/>
                    </w:rPr>
                    <w:t>生产、生活、食堂</w:t>
                  </w:r>
                </w:p>
              </w:tc>
              <w:tc>
                <w:tcPr>
                  <w:tcW w:w="452" w:type="pct"/>
                  <w:vMerge w:val="restart"/>
                  <w:vAlign w:val="center"/>
                </w:tcPr>
                <w:p w14:paraId="1DCF4BA1">
                  <w:pPr>
                    <w:jc w:val="center"/>
                    <w:rPr>
                      <w:szCs w:val="21"/>
                    </w:rPr>
                  </w:pPr>
                  <w:r>
                    <w:rPr>
                      <w:rFonts w:hint="eastAsia"/>
                      <w:szCs w:val="21"/>
                    </w:rPr>
                    <w:t>综合废水</w:t>
                  </w:r>
                </w:p>
              </w:tc>
              <w:tc>
                <w:tcPr>
                  <w:tcW w:w="467" w:type="pct"/>
                  <w:shd w:val="clear" w:color="auto" w:fill="auto"/>
                  <w:vAlign w:val="center"/>
                </w:tcPr>
                <w:p w14:paraId="65882AA8">
                  <w:pPr>
                    <w:jc w:val="center"/>
                    <w:rPr>
                      <w:szCs w:val="21"/>
                    </w:rPr>
                  </w:pPr>
                  <w:r>
                    <w:rPr>
                      <w:szCs w:val="21"/>
                    </w:rPr>
                    <w:t>COD</w:t>
                  </w:r>
                </w:p>
              </w:tc>
              <w:tc>
                <w:tcPr>
                  <w:tcW w:w="637" w:type="pct"/>
                  <w:vMerge w:val="restart"/>
                  <w:shd w:val="clear" w:color="auto" w:fill="auto"/>
                  <w:vAlign w:val="center"/>
                </w:tcPr>
                <w:p w14:paraId="7687E10B">
                  <w:pPr>
                    <w:jc w:val="center"/>
                    <w:rPr>
                      <w:szCs w:val="21"/>
                    </w:rPr>
                  </w:pPr>
                  <w:r>
                    <w:rPr>
                      <w:rFonts w:hint="eastAsia"/>
                      <w:szCs w:val="21"/>
                    </w:rPr>
                    <w:t>李渡大耍坝污水处理厂</w:t>
                  </w:r>
                </w:p>
              </w:tc>
              <w:tc>
                <w:tcPr>
                  <w:tcW w:w="499" w:type="pct"/>
                  <w:vMerge w:val="restart"/>
                  <w:shd w:val="clear" w:color="auto" w:fill="auto"/>
                  <w:vAlign w:val="center"/>
                </w:tcPr>
                <w:p w14:paraId="53EA86C7">
                  <w:pPr>
                    <w:jc w:val="center"/>
                    <w:rPr>
                      <w:szCs w:val="21"/>
                    </w:rPr>
                  </w:pPr>
                  <w:r>
                    <w:rPr>
                      <w:rFonts w:hint="eastAsia"/>
                      <w:szCs w:val="21"/>
                    </w:rPr>
                    <w:t>长江</w:t>
                  </w:r>
                </w:p>
              </w:tc>
              <w:tc>
                <w:tcPr>
                  <w:tcW w:w="1214" w:type="pct"/>
                  <w:vMerge w:val="restart"/>
                  <w:shd w:val="clear" w:color="auto" w:fill="auto"/>
                  <w:vAlign w:val="center"/>
                </w:tcPr>
                <w:p w14:paraId="15A4979F">
                  <w:pPr>
                    <w:jc w:val="center"/>
                    <w:rPr>
                      <w:szCs w:val="21"/>
                    </w:rPr>
                  </w:pPr>
                  <w:r>
                    <w:rPr>
                      <w:rFonts w:hint="eastAsia"/>
                      <w:szCs w:val="21"/>
                    </w:rPr>
                    <w:t>《城镇污水处理厂污染物排放标准》（G</w:t>
                  </w:r>
                  <w:r>
                    <w:rPr>
                      <w:szCs w:val="21"/>
                    </w:rPr>
                    <w:t>B18918-2002</w:t>
                  </w:r>
                  <w:r>
                    <w:rPr>
                      <w:rFonts w:hint="eastAsia"/>
                      <w:szCs w:val="21"/>
                    </w:rPr>
                    <w:t>）一级B标准</w:t>
                  </w:r>
                </w:p>
              </w:tc>
              <w:tc>
                <w:tcPr>
                  <w:tcW w:w="731" w:type="pct"/>
                  <w:shd w:val="clear" w:color="auto" w:fill="auto"/>
                  <w:vAlign w:val="center"/>
                </w:tcPr>
                <w:p w14:paraId="4D102336">
                  <w:pPr>
                    <w:jc w:val="center"/>
                    <w:rPr>
                      <w:szCs w:val="21"/>
                    </w:rPr>
                  </w:pPr>
                  <w:r>
                    <w:rPr>
                      <w:szCs w:val="21"/>
                    </w:rPr>
                    <w:t>60</w:t>
                  </w:r>
                </w:p>
              </w:tc>
              <w:tc>
                <w:tcPr>
                  <w:tcW w:w="557" w:type="pct"/>
                  <w:shd w:val="clear" w:color="auto" w:fill="auto"/>
                  <w:vAlign w:val="center"/>
                </w:tcPr>
                <w:p w14:paraId="71DB8428">
                  <w:pPr>
                    <w:widowControl/>
                    <w:jc w:val="center"/>
                    <w:rPr>
                      <w:rFonts w:eastAsia="等线"/>
                      <w:kern w:val="0"/>
                      <w:sz w:val="22"/>
                      <w:szCs w:val="22"/>
                    </w:rPr>
                  </w:pPr>
                  <w:r>
                    <w:rPr>
                      <w:rFonts w:eastAsia="等线"/>
                      <w:sz w:val="22"/>
                      <w:szCs w:val="22"/>
                    </w:rPr>
                    <w:t xml:space="preserve">1.086 </w:t>
                  </w:r>
                </w:p>
              </w:tc>
            </w:tr>
            <w:tr w14:paraId="4108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shd w:val="clear" w:color="auto" w:fill="auto"/>
                  <w:vAlign w:val="center"/>
                </w:tcPr>
                <w:p w14:paraId="51D42844">
                  <w:pPr>
                    <w:jc w:val="center"/>
                    <w:rPr>
                      <w:szCs w:val="21"/>
                    </w:rPr>
                  </w:pPr>
                </w:p>
              </w:tc>
              <w:tc>
                <w:tcPr>
                  <w:tcW w:w="452" w:type="pct"/>
                  <w:vMerge w:val="continue"/>
                  <w:vAlign w:val="center"/>
                </w:tcPr>
                <w:p w14:paraId="7DE03DBD">
                  <w:pPr>
                    <w:jc w:val="center"/>
                    <w:rPr>
                      <w:szCs w:val="21"/>
                    </w:rPr>
                  </w:pPr>
                </w:p>
              </w:tc>
              <w:tc>
                <w:tcPr>
                  <w:tcW w:w="467" w:type="pct"/>
                  <w:shd w:val="clear" w:color="auto" w:fill="auto"/>
                  <w:vAlign w:val="center"/>
                </w:tcPr>
                <w:p w14:paraId="3B8F4D65">
                  <w:pPr>
                    <w:jc w:val="center"/>
                    <w:rPr>
                      <w:szCs w:val="21"/>
                    </w:rPr>
                  </w:pPr>
                  <w:r>
                    <w:rPr>
                      <w:szCs w:val="21"/>
                    </w:rPr>
                    <w:t>SS</w:t>
                  </w:r>
                </w:p>
              </w:tc>
              <w:tc>
                <w:tcPr>
                  <w:tcW w:w="637" w:type="pct"/>
                  <w:vMerge w:val="continue"/>
                  <w:shd w:val="clear" w:color="auto" w:fill="auto"/>
                  <w:vAlign w:val="center"/>
                </w:tcPr>
                <w:p w14:paraId="683FFBAE">
                  <w:pPr>
                    <w:jc w:val="center"/>
                    <w:rPr>
                      <w:szCs w:val="21"/>
                    </w:rPr>
                  </w:pPr>
                </w:p>
              </w:tc>
              <w:tc>
                <w:tcPr>
                  <w:tcW w:w="499" w:type="pct"/>
                  <w:vMerge w:val="continue"/>
                  <w:shd w:val="clear" w:color="auto" w:fill="auto"/>
                  <w:vAlign w:val="center"/>
                </w:tcPr>
                <w:p w14:paraId="6E9477D5">
                  <w:pPr>
                    <w:jc w:val="center"/>
                    <w:rPr>
                      <w:szCs w:val="21"/>
                    </w:rPr>
                  </w:pPr>
                </w:p>
              </w:tc>
              <w:tc>
                <w:tcPr>
                  <w:tcW w:w="1214" w:type="pct"/>
                  <w:vMerge w:val="continue"/>
                  <w:shd w:val="clear" w:color="auto" w:fill="auto"/>
                  <w:vAlign w:val="center"/>
                </w:tcPr>
                <w:p w14:paraId="3690E581">
                  <w:pPr>
                    <w:jc w:val="center"/>
                    <w:rPr>
                      <w:szCs w:val="21"/>
                    </w:rPr>
                  </w:pPr>
                </w:p>
              </w:tc>
              <w:tc>
                <w:tcPr>
                  <w:tcW w:w="731" w:type="pct"/>
                  <w:shd w:val="clear" w:color="auto" w:fill="auto"/>
                  <w:vAlign w:val="center"/>
                </w:tcPr>
                <w:p w14:paraId="664E67B8">
                  <w:pPr>
                    <w:jc w:val="center"/>
                    <w:rPr>
                      <w:szCs w:val="21"/>
                    </w:rPr>
                  </w:pPr>
                  <w:r>
                    <w:rPr>
                      <w:szCs w:val="21"/>
                    </w:rPr>
                    <w:t>20</w:t>
                  </w:r>
                </w:p>
              </w:tc>
              <w:tc>
                <w:tcPr>
                  <w:tcW w:w="557" w:type="pct"/>
                  <w:shd w:val="clear" w:color="auto" w:fill="auto"/>
                  <w:vAlign w:val="center"/>
                </w:tcPr>
                <w:p w14:paraId="301490FB">
                  <w:pPr>
                    <w:jc w:val="center"/>
                    <w:rPr>
                      <w:rFonts w:eastAsia="等线"/>
                      <w:sz w:val="22"/>
                      <w:szCs w:val="22"/>
                    </w:rPr>
                  </w:pPr>
                  <w:r>
                    <w:rPr>
                      <w:rFonts w:eastAsia="等线"/>
                      <w:sz w:val="22"/>
                      <w:szCs w:val="22"/>
                    </w:rPr>
                    <w:t xml:space="preserve">0.362 </w:t>
                  </w:r>
                </w:p>
              </w:tc>
            </w:tr>
            <w:tr w14:paraId="278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shd w:val="clear" w:color="auto" w:fill="auto"/>
                  <w:vAlign w:val="center"/>
                </w:tcPr>
                <w:p w14:paraId="396DD156">
                  <w:pPr>
                    <w:jc w:val="center"/>
                    <w:rPr>
                      <w:szCs w:val="21"/>
                    </w:rPr>
                  </w:pPr>
                </w:p>
              </w:tc>
              <w:tc>
                <w:tcPr>
                  <w:tcW w:w="452" w:type="pct"/>
                  <w:vMerge w:val="continue"/>
                  <w:vAlign w:val="center"/>
                </w:tcPr>
                <w:p w14:paraId="67399755">
                  <w:pPr>
                    <w:jc w:val="center"/>
                    <w:rPr>
                      <w:szCs w:val="21"/>
                    </w:rPr>
                  </w:pPr>
                </w:p>
              </w:tc>
              <w:tc>
                <w:tcPr>
                  <w:tcW w:w="467" w:type="pct"/>
                  <w:shd w:val="clear" w:color="auto" w:fill="auto"/>
                  <w:vAlign w:val="center"/>
                </w:tcPr>
                <w:p w14:paraId="27B2CDFD">
                  <w:pPr>
                    <w:jc w:val="center"/>
                    <w:rPr>
                      <w:szCs w:val="21"/>
                    </w:rPr>
                  </w:pPr>
                  <w:r>
                    <w:rPr>
                      <w:szCs w:val="21"/>
                    </w:rPr>
                    <w:t>BOD5</w:t>
                  </w:r>
                </w:p>
              </w:tc>
              <w:tc>
                <w:tcPr>
                  <w:tcW w:w="637" w:type="pct"/>
                  <w:vMerge w:val="continue"/>
                  <w:shd w:val="clear" w:color="auto" w:fill="auto"/>
                  <w:vAlign w:val="center"/>
                </w:tcPr>
                <w:p w14:paraId="4F9F2839">
                  <w:pPr>
                    <w:jc w:val="center"/>
                    <w:rPr>
                      <w:szCs w:val="21"/>
                    </w:rPr>
                  </w:pPr>
                </w:p>
              </w:tc>
              <w:tc>
                <w:tcPr>
                  <w:tcW w:w="499" w:type="pct"/>
                  <w:vMerge w:val="continue"/>
                  <w:shd w:val="clear" w:color="auto" w:fill="auto"/>
                  <w:vAlign w:val="center"/>
                </w:tcPr>
                <w:p w14:paraId="4A93510D">
                  <w:pPr>
                    <w:jc w:val="center"/>
                    <w:rPr>
                      <w:szCs w:val="21"/>
                    </w:rPr>
                  </w:pPr>
                </w:p>
              </w:tc>
              <w:tc>
                <w:tcPr>
                  <w:tcW w:w="1214" w:type="pct"/>
                  <w:vMerge w:val="continue"/>
                  <w:shd w:val="clear" w:color="auto" w:fill="auto"/>
                  <w:vAlign w:val="center"/>
                </w:tcPr>
                <w:p w14:paraId="24A5E668">
                  <w:pPr>
                    <w:jc w:val="center"/>
                    <w:rPr>
                      <w:szCs w:val="21"/>
                    </w:rPr>
                  </w:pPr>
                </w:p>
              </w:tc>
              <w:tc>
                <w:tcPr>
                  <w:tcW w:w="731" w:type="pct"/>
                  <w:shd w:val="clear" w:color="auto" w:fill="auto"/>
                  <w:vAlign w:val="center"/>
                </w:tcPr>
                <w:p w14:paraId="37D4EA8B">
                  <w:pPr>
                    <w:jc w:val="center"/>
                    <w:rPr>
                      <w:szCs w:val="21"/>
                    </w:rPr>
                  </w:pPr>
                  <w:r>
                    <w:rPr>
                      <w:szCs w:val="21"/>
                    </w:rPr>
                    <w:t>20</w:t>
                  </w:r>
                </w:p>
              </w:tc>
              <w:tc>
                <w:tcPr>
                  <w:tcW w:w="557" w:type="pct"/>
                  <w:shd w:val="clear" w:color="auto" w:fill="auto"/>
                  <w:vAlign w:val="center"/>
                </w:tcPr>
                <w:p w14:paraId="242364CD">
                  <w:pPr>
                    <w:jc w:val="center"/>
                    <w:rPr>
                      <w:rFonts w:eastAsia="等线"/>
                      <w:sz w:val="22"/>
                      <w:szCs w:val="22"/>
                    </w:rPr>
                  </w:pPr>
                  <w:r>
                    <w:rPr>
                      <w:rFonts w:eastAsia="等线"/>
                      <w:sz w:val="22"/>
                      <w:szCs w:val="22"/>
                    </w:rPr>
                    <w:t xml:space="preserve">0.362 </w:t>
                  </w:r>
                </w:p>
              </w:tc>
            </w:tr>
            <w:tr w14:paraId="2069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shd w:val="clear" w:color="auto" w:fill="auto"/>
                  <w:vAlign w:val="center"/>
                </w:tcPr>
                <w:p w14:paraId="006ECC4B">
                  <w:pPr>
                    <w:jc w:val="center"/>
                    <w:rPr>
                      <w:szCs w:val="21"/>
                    </w:rPr>
                  </w:pPr>
                </w:p>
              </w:tc>
              <w:tc>
                <w:tcPr>
                  <w:tcW w:w="452" w:type="pct"/>
                  <w:vMerge w:val="continue"/>
                  <w:vAlign w:val="center"/>
                </w:tcPr>
                <w:p w14:paraId="06B939FD">
                  <w:pPr>
                    <w:jc w:val="center"/>
                    <w:rPr>
                      <w:szCs w:val="21"/>
                    </w:rPr>
                  </w:pPr>
                </w:p>
              </w:tc>
              <w:tc>
                <w:tcPr>
                  <w:tcW w:w="467" w:type="pct"/>
                  <w:shd w:val="clear" w:color="auto" w:fill="auto"/>
                  <w:vAlign w:val="center"/>
                </w:tcPr>
                <w:p w14:paraId="7085DB3F">
                  <w:pPr>
                    <w:jc w:val="center"/>
                    <w:rPr>
                      <w:szCs w:val="21"/>
                    </w:rPr>
                  </w:pPr>
                  <w:r>
                    <w:rPr>
                      <w:szCs w:val="21"/>
                    </w:rPr>
                    <w:t>氨氮</w:t>
                  </w:r>
                </w:p>
              </w:tc>
              <w:tc>
                <w:tcPr>
                  <w:tcW w:w="637" w:type="pct"/>
                  <w:vMerge w:val="continue"/>
                  <w:shd w:val="clear" w:color="auto" w:fill="auto"/>
                  <w:vAlign w:val="center"/>
                </w:tcPr>
                <w:p w14:paraId="622AF8F6">
                  <w:pPr>
                    <w:jc w:val="center"/>
                    <w:rPr>
                      <w:szCs w:val="21"/>
                    </w:rPr>
                  </w:pPr>
                </w:p>
              </w:tc>
              <w:tc>
                <w:tcPr>
                  <w:tcW w:w="499" w:type="pct"/>
                  <w:vMerge w:val="continue"/>
                  <w:shd w:val="clear" w:color="auto" w:fill="auto"/>
                  <w:vAlign w:val="center"/>
                </w:tcPr>
                <w:p w14:paraId="1ED7FADA">
                  <w:pPr>
                    <w:jc w:val="center"/>
                    <w:rPr>
                      <w:szCs w:val="21"/>
                    </w:rPr>
                  </w:pPr>
                </w:p>
              </w:tc>
              <w:tc>
                <w:tcPr>
                  <w:tcW w:w="1214" w:type="pct"/>
                  <w:vMerge w:val="continue"/>
                  <w:shd w:val="clear" w:color="auto" w:fill="auto"/>
                  <w:vAlign w:val="center"/>
                </w:tcPr>
                <w:p w14:paraId="45518AEA">
                  <w:pPr>
                    <w:jc w:val="center"/>
                    <w:rPr>
                      <w:szCs w:val="21"/>
                    </w:rPr>
                  </w:pPr>
                </w:p>
              </w:tc>
              <w:tc>
                <w:tcPr>
                  <w:tcW w:w="731" w:type="pct"/>
                  <w:shd w:val="clear" w:color="auto" w:fill="auto"/>
                  <w:vAlign w:val="center"/>
                </w:tcPr>
                <w:p w14:paraId="3222D57B">
                  <w:pPr>
                    <w:jc w:val="center"/>
                    <w:rPr>
                      <w:szCs w:val="21"/>
                    </w:rPr>
                  </w:pPr>
                  <w:r>
                    <w:rPr>
                      <w:szCs w:val="21"/>
                    </w:rPr>
                    <w:t>8</w:t>
                  </w:r>
                </w:p>
              </w:tc>
              <w:tc>
                <w:tcPr>
                  <w:tcW w:w="557" w:type="pct"/>
                  <w:shd w:val="clear" w:color="auto" w:fill="auto"/>
                  <w:vAlign w:val="center"/>
                </w:tcPr>
                <w:p w14:paraId="12714761">
                  <w:pPr>
                    <w:jc w:val="center"/>
                    <w:rPr>
                      <w:rFonts w:eastAsia="等线"/>
                      <w:sz w:val="22"/>
                      <w:szCs w:val="22"/>
                    </w:rPr>
                  </w:pPr>
                  <w:r>
                    <w:rPr>
                      <w:rFonts w:eastAsia="等线"/>
                      <w:sz w:val="22"/>
                      <w:szCs w:val="22"/>
                    </w:rPr>
                    <w:t xml:space="preserve">0.145 </w:t>
                  </w:r>
                </w:p>
              </w:tc>
            </w:tr>
            <w:tr w14:paraId="51AE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shd w:val="clear" w:color="auto" w:fill="auto"/>
                  <w:vAlign w:val="center"/>
                </w:tcPr>
                <w:p w14:paraId="2B51B6F1">
                  <w:pPr>
                    <w:jc w:val="center"/>
                    <w:rPr>
                      <w:szCs w:val="21"/>
                    </w:rPr>
                  </w:pPr>
                </w:p>
              </w:tc>
              <w:tc>
                <w:tcPr>
                  <w:tcW w:w="452" w:type="pct"/>
                  <w:vMerge w:val="continue"/>
                  <w:vAlign w:val="center"/>
                </w:tcPr>
                <w:p w14:paraId="680B66BA">
                  <w:pPr>
                    <w:jc w:val="center"/>
                    <w:rPr>
                      <w:szCs w:val="21"/>
                    </w:rPr>
                  </w:pPr>
                </w:p>
              </w:tc>
              <w:tc>
                <w:tcPr>
                  <w:tcW w:w="467" w:type="pct"/>
                  <w:shd w:val="clear" w:color="auto" w:fill="auto"/>
                  <w:vAlign w:val="center"/>
                </w:tcPr>
                <w:p w14:paraId="6B7ED326">
                  <w:pPr>
                    <w:jc w:val="center"/>
                    <w:rPr>
                      <w:szCs w:val="21"/>
                    </w:rPr>
                  </w:pPr>
                  <w:r>
                    <w:rPr>
                      <w:rFonts w:hint="eastAsia"/>
                      <w:szCs w:val="21"/>
                    </w:rPr>
                    <w:t>石油类</w:t>
                  </w:r>
                </w:p>
              </w:tc>
              <w:tc>
                <w:tcPr>
                  <w:tcW w:w="637" w:type="pct"/>
                  <w:vMerge w:val="continue"/>
                  <w:shd w:val="clear" w:color="auto" w:fill="auto"/>
                  <w:vAlign w:val="center"/>
                </w:tcPr>
                <w:p w14:paraId="25AC956A">
                  <w:pPr>
                    <w:jc w:val="center"/>
                    <w:rPr>
                      <w:szCs w:val="21"/>
                    </w:rPr>
                  </w:pPr>
                </w:p>
              </w:tc>
              <w:tc>
                <w:tcPr>
                  <w:tcW w:w="499" w:type="pct"/>
                  <w:vMerge w:val="continue"/>
                  <w:shd w:val="clear" w:color="auto" w:fill="auto"/>
                  <w:vAlign w:val="center"/>
                </w:tcPr>
                <w:p w14:paraId="5DEA018E">
                  <w:pPr>
                    <w:jc w:val="center"/>
                    <w:rPr>
                      <w:szCs w:val="21"/>
                    </w:rPr>
                  </w:pPr>
                </w:p>
              </w:tc>
              <w:tc>
                <w:tcPr>
                  <w:tcW w:w="1214" w:type="pct"/>
                  <w:vMerge w:val="continue"/>
                  <w:shd w:val="clear" w:color="auto" w:fill="auto"/>
                  <w:vAlign w:val="center"/>
                </w:tcPr>
                <w:p w14:paraId="2DF12882">
                  <w:pPr>
                    <w:jc w:val="center"/>
                    <w:rPr>
                      <w:szCs w:val="21"/>
                    </w:rPr>
                  </w:pPr>
                </w:p>
              </w:tc>
              <w:tc>
                <w:tcPr>
                  <w:tcW w:w="731" w:type="pct"/>
                  <w:shd w:val="clear" w:color="auto" w:fill="auto"/>
                  <w:vAlign w:val="center"/>
                </w:tcPr>
                <w:p w14:paraId="07AFC099">
                  <w:pPr>
                    <w:jc w:val="center"/>
                    <w:rPr>
                      <w:szCs w:val="21"/>
                    </w:rPr>
                  </w:pPr>
                  <w:r>
                    <w:rPr>
                      <w:szCs w:val="21"/>
                    </w:rPr>
                    <w:t>3</w:t>
                  </w:r>
                </w:p>
              </w:tc>
              <w:tc>
                <w:tcPr>
                  <w:tcW w:w="557" w:type="pct"/>
                  <w:shd w:val="clear" w:color="auto" w:fill="auto"/>
                  <w:vAlign w:val="center"/>
                </w:tcPr>
                <w:p w14:paraId="38B541FD">
                  <w:pPr>
                    <w:jc w:val="center"/>
                    <w:rPr>
                      <w:rFonts w:eastAsia="等线"/>
                      <w:sz w:val="22"/>
                      <w:szCs w:val="22"/>
                    </w:rPr>
                  </w:pPr>
                  <w:r>
                    <w:rPr>
                      <w:rFonts w:eastAsia="等线"/>
                      <w:sz w:val="22"/>
                      <w:szCs w:val="22"/>
                    </w:rPr>
                    <w:t xml:space="preserve">0.054 </w:t>
                  </w:r>
                </w:p>
              </w:tc>
            </w:tr>
            <w:tr w14:paraId="31C9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shd w:val="clear" w:color="auto" w:fill="auto"/>
                  <w:vAlign w:val="center"/>
                </w:tcPr>
                <w:p w14:paraId="4DB51155">
                  <w:pPr>
                    <w:jc w:val="center"/>
                    <w:rPr>
                      <w:szCs w:val="21"/>
                    </w:rPr>
                  </w:pPr>
                </w:p>
              </w:tc>
              <w:tc>
                <w:tcPr>
                  <w:tcW w:w="452" w:type="pct"/>
                  <w:vMerge w:val="continue"/>
                  <w:vAlign w:val="center"/>
                </w:tcPr>
                <w:p w14:paraId="39A74F54">
                  <w:pPr>
                    <w:jc w:val="center"/>
                    <w:rPr>
                      <w:szCs w:val="21"/>
                    </w:rPr>
                  </w:pPr>
                </w:p>
              </w:tc>
              <w:tc>
                <w:tcPr>
                  <w:tcW w:w="467" w:type="pct"/>
                  <w:shd w:val="clear" w:color="auto" w:fill="auto"/>
                  <w:vAlign w:val="center"/>
                </w:tcPr>
                <w:p w14:paraId="128FA877">
                  <w:pPr>
                    <w:jc w:val="center"/>
                    <w:rPr>
                      <w:szCs w:val="21"/>
                    </w:rPr>
                  </w:pPr>
                  <w:r>
                    <w:rPr>
                      <w:rFonts w:hint="eastAsia"/>
                      <w:szCs w:val="21"/>
                    </w:rPr>
                    <w:t>L</w:t>
                  </w:r>
                  <w:r>
                    <w:rPr>
                      <w:szCs w:val="21"/>
                    </w:rPr>
                    <w:t>AS</w:t>
                  </w:r>
                </w:p>
              </w:tc>
              <w:tc>
                <w:tcPr>
                  <w:tcW w:w="637" w:type="pct"/>
                  <w:vMerge w:val="continue"/>
                  <w:shd w:val="clear" w:color="auto" w:fill="auto"/>
                  <w:vAlign w:val="center"/>
                </w:tcPr>
                <w:p w14:paraId="63E4556A">
                  <w:pPr>
                    <w:jc w:val="center"/>
                    <w:rPr>
                      <w:szCs w:val="21"/>
                    </w:rPr>
                  </w:pPr>
                </w:p>
              </w:tc>
              <w:tc>
                <w:tcPr>
                  <w:tcW w:w="499" w:type="pct"/>
                  <w:vMerge w:val="continue"/>
                  <w:shd w:val="clear" w:color="auto" w:fill="auto"/>
                  <w:vAlign w:val="center"/>
                </w:tcPr>
                <w:p w14:paraId="02962A2D">
                  <w:pPr>
                    <w:jc w:val="center"/>
                    <w:rPr>
                      <w:szCs w:val="21"/>
                    </w:rPr>
                  </w:pPr>
                </w:p>
              </w:tc>
              <w:tc>
                <w:tcPr>
                  <w:tcW w:w="1214" w:type="pct"/>
                  <w:vMerge w:val="continue"/>
                  <w:shd w:val="clear" w:color="auto" w:fill="auto"/>
                  <w:vAlign w:val="center"/>
                </w:tcPr>
                <w:p w14:paraId="13D015D7">
                  <w:pPr>
                    <w:jc w:val="center"/>
                    <w:rPr>
                      <w:szCs w:val="21"/>
                    </w:rPr>
                  </w:pPr>
                </w:p>
              </w:tc>
              <w:tc>
                <w:tcPr>
                  <w:tcW w:w="731" w:type="pct"/>
                  <w:shd w:val="clear" w:color="auto" w:fill="auto"/>
                  <w:vAlign w:val="center"/>
                </w:tcPr>
                <w:p w14:paraId="20F299C3">
                  <w:pPr>
                    <w:jc w:val="center"/>
                    <w:rPr>
                      <w:szCs w:val="21"/>
                    </w:rPr>
                  </w:pPr>
                  <w:r>
                    <w:rPr>
                      <w:szCs w:val="21"/>
                    </w:rPr>
                    <w:t>1</w:t>
                  </w:r>
                </w:p>
              </w:tc>
              <w:tc>
                <w:tcPr>
                  <w:tcW w:w="557" w:type="pct"/>
                  <w:shd w:val="clear" w:color="auto" w:fill="auto"/>
                  <w:vAlign w:val="center"/>
                </w:tcPr>
                <w:p w14:paraId="0EC537EE">
                  <w:pPr>
                    <w:jc w:val="center"/>
                    <w:rPr>
                      <w:rFonts w:eastAsia="等线"/>
                      <w:sz w:val="22"/>
                      <w:szCs w:val="22"/>
                    </w:rPr>
                  </w:pPr>
                  <w:r>
                    <w:rPr>
                      <w:rFonts w:eastAsia="等线"/>
                      <w:sz w:val="22"/>
                      <w:szCs w:val="22"/>
                    </w:rPr>
                    <w:t xml:space="preserve">0.018 </w:t>
                  </w:r>
                </w:p>
              </w:tc>
            </w:tr>
            <w:tr w14:paraId="6CA7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shd w:val="clear" w:color="auto" w:fill="auto"/>
                  <w:vAlign w:val="center"/>
                </w:tcPr>
                <w:p w14:paraId="29BE01B4">
                  <w:pPr>
                    <w:jc w:val="center"/>
                    <w:rPr>
                      <w:szCs w:val="21"/>
                    </w:rPr>
                  </w:pPr>
                </w:p>
              </w:tc>
              <w:tc>
                <w:tcPr>
                  <w:tcW w:w="452" w:type="pct"/>
                  <w:vMerge w:val="continue"/>
                  <w:vAlign w:val="center"/>
                </w:tcPr>
                <w:p w14:paraId="1A625AEF">
                  <w:pPr>
                    <w:jc w:val="center"/>
                    <w:rPr>
                      <w:szCs w:val="21"/>
                    </w:rPr>
                  </w:pPr>
                </w:p>
              </w:tc>
              <w:tc>
                <w:tcPr>
                  <w:tcW w:w="467" w:type="pct"/>
                  <w:shd w:val="clear" w:color="auto" w:fill="auto"/>
                  <w:vAlign w:val="center"/>
                </w:tcPr>
                <w:p w14:paraId="483D9F07">
                  <w:pPr>
                    <w:jc w:val="center"/>
                    <w:rPr>
                      <w:szCs w:val="21"/>
                    </w:rPr>
                  </w:pPr>
                  <w:r>
                    <w:rPr>
                      <w:rFonts w:hint="eastAsia"/>
                      <w:szCs w:val="21"/>
                    </w:rPr>
                    <w:t>动植物油</w:t>
                  </w:r>
                </w:p>
              </w:tc>
              <w:tc>
                <w:tcPr>
                  <w:tcW w:w="637" w:type="pct"/>
                  <w:vMerge w:val="continue"/>
                  <w:shd w:val="clear" w:color="auto" w:fill="auto"/>
                  <w:vAlign w:val="center"/>
                </w:tcPr>
                <w:p w14:paraId="79617F0C">
                  <w:pPr>
                    <w:jc w:val="center"/>
                    <w:rPr>
                      <w:szCs w:val="21"/>
                    </w:rPr>
                  </w:pPr>
                </w:p>
              </w:tc>
              <w:tc>
                <w:tcPr>
                  <w:tcW w:w="499" w:type="pct"/>
                  <w:vMerge w:val="continue"/>
                  <w:shd w:val="clear" w:color="auto" w:fill="auto"/>
                  <w:vAlign w:val="center"/>
                </w:tcPr>
                <w:p w14:paraId="4BD532B8">
                  <w:pPr>
                    <w:jc w:val="center"/>
                    <w:rPr>
                      <w:szCs w:val="21"/>
                    </w:rPr>
                  </w:pPr>
                </w:p>
              </w:tc>
              <w:tc>
                <w:tcPr>
                  <w:tcW w:w="1214" w:type="pct"/>
                  <w:vMerge w:val="continue"/>
                  <w:shd w:val="clear" w:color="auto" w:fill="auto"/>
                  <w:vAlign w:val="center"/>
                </w:tcPr>
                <w:p w14:paraId="2CA942C7">
                  <w:pPr>
                    <w:jc w:val="center"/>
                    <w:rPr>
                      <w:szCs w:val="21"/>
                    </w:rPr>
                  </w:pPr>
                </w:p>
              </w:tc>
              <w:tc>
                <w:tcPr>
                  <w:tcW w:w="731" w:type="pct"/>
                  <w:shd w:val="clear" w:color="auto" w:fill="auto"/>
                  <w:vAlign w:val="center"/>
                </w:tcPr>
                <w:p w14:paraId="42904FD2">
                  <w:pPr>
                    <w:jc w:val="center"/>
                    <w:rPr>
                      <w:szCs w:val="21"/>
                    </w:rPr>
                  </w:pPr>
                  <w:r>
                    <w:rPr>
                      <w:rFonts w:hint="eastAsia"/>
                      <w:szCs w:val="21"/>
                    </w:rPr>
                    <w:t>3</w:t>
                  </w:r>
                </w:p>
              </w:tc>
              <w:tc>
                <w:tcPr>
                  <w:tcW w:w="557" w:type="pct"/>
                  <w:shd w:val="clear" w:color="auto" w:fill="auto"/>
                  <w:vAlign w:val="center"/>
                </w:tcPr>
                <w:p w14:paraId="074D8C04">
                  <w:pPr>
                    <w:jc w:val="center"/>
                    <w:rPr>
                      <w:rFonts w:eastAsia="等线"/>
                      <w:sz w:val="22"/>
                      <w:szCs w:val="22"/>
                    </w:rPr>
                  </w:pPr>
                  <w:r>
                    <w:rPr>
                      <w:rFonts w:eastAsia="等线"/>
                      <w:sz w:val="22"/>
                      <w:szCs w:val="22"/>
                    </w:rPr>
                    <w:t xml:space="preserve">0.054 </w:t>
                  </w:r>
                </w:p>
              </w:tc>
            </w:tr>
          </w:tbl>
          <w:p w14:paraId="5D270825">
            <w:pPr>
              <w:adjustRightInd w:val="0"/>
              <w:snapToGrid w:val="0"/>
              <w:spacing w:line="360" w:lineRule="auto"/>
              <w:ind w:firstLine="480"/>
              <w:rPr>
                <w:rFonts w:ascii="宋体" w:hAnsi="宋体" w:cs="宋体"/>
                <w:bCs/>
                <w:spacing w:val="-10"/>
                <w:sz w:val="24"/>
              </w:rPr>
            </w:pPr>
            <w:r>
              <w:rPr>
                <w:rFonts w:hint="eastAsia" w:ascii="宋体" w:hAnsi="宋体" w:cs="宋体"/>
                <w:bCs/>
                <w:spacing w:val="-10"/>
                <w:sz w:val="24"/>
              </w:rPr>
              <w:t>（</w:t>
            </w:r>
            <w:r>
              <w:rPr>
                <w:rFonts w:ascii="宋体" w:hAnsi="宋体" w:cs="宋体"/>
                <w:bCs/>
                <w:spacing w:val="-10"/>
                <w:sz w:val="24"/>
              </w:rPr>
              <w:t>4</w:t>
            </w:r>
            <w:r>
              <w:rPr>
                <w:rFonts w:hint="eastAsia" w:ascii="宋体" w:hAnsi="宋体" w:cs="宋体"/>
                <w:bCs/>
                <w:spacing w:val="-10"/>
                <w:sz w:val="24"/>
              </w:rPr>
              <w:t>）排放口基本情况</w:t>
            </w:r>
          </w:p>
          <w:p w14:paraId="792F0350">
            <w:pPr>
              <w:pStyle w:val="24"/>
              <w:spacing w:before="0" w:beforeAutospacing="0" w:after="0" w:afterAutospacing="0" w:line="360" w:lineRule="auto"/>
              <w:ind w:firstLine="480" w:firstLineChars="200"/>
              <w:jc w:val="both"/>
              <w:rPr>
                <w:rFonts w:ascii="Times New Roman" w:hAnsi="Times New Roman"/>
                <w:snapToGrid w:val="0"/>
                <w:szCs w:val="24"/>
              </w:rPr>
            </w:pPr>
            <w:r>
              <w:rPr>
                <w:rFonts w:hint="eastAsia" w:ascii="Times New Roman" w:hAnsi="Times New Roman"/>
                <w:snapToGrid w:val="0"/>
                <w:szCs w:val="24"/>
              </w:rPr>
              <w:t>项目</w:t>
            </w:r>
            <w:r>
              <w:rPr>
                <w:rFonts w:hint="eastAsia"/>
                <w:bCs/>
                <w:spacing w:val="-10"/>
              </w:rPr>
              <w:t>迁建</w:t>
            </w:r>
            <w:r>
              <w:rPr>
                <w:rFonts w:hint="eastAsia" w:ascii="Times New Roman" w:hAnsi="Times New Roman"/>
                <w:snapToGrid w:val="0"/>
                <w:szCs w:val="24"/>
              </w:rPr>
              <w:t>后</w:t>
            </w:r>
            <w:r>
              <w:rPr>
                <w:rFonts w:ascii="Times New Roman" w:hAnsi="Times New Roman"/>
                <w:snapToGrid w:val="0"/>
                <w:szCs w:val="24"/>
              </w:rPr>
              <w:t>废水排放基本情况详见表4-11。</w:t>
            </w:r>
          </w:p>
          <w:p w14:paraId="34DAE92E">
            <w:pPr>
              <w:pStyle w:val="24"/>
              <w:spacing w:before="0" w:beforeAutospacing="0" w:after="0" w:afterAutospacing="0" w:line="360" w:lineRule="auto"/>
              <w:jc w:val="center"/>
              <w:rPr>
                <w:rFonts w:ascii="Times New Roman" w:hAnsi="Times New Roman"/>
                <w:snapToGrid w:val="0"/>
                <w:szCs w:val="24"/>
              </w:rPr>
            </w:pPr>
            <w:r>
              <w:rPr>
                <w:rFonts w:hint="eastAsia" w:ascii="Times New Roman" w:hAnsi="Times New Roman"/>
                <w:snapToGrid w:val="0"/>
                <w:szCs w:val="24"/>
              </w:rPr>
              <w:t>表4-</w:t>
            </w:r>
            <w:r>
              <w:rPr>
                <w:rFonts w:ascii="Times New Roman" w:hAnsi="Times New Roman"/>
                <w:snapToGrid w:val="0"/>
                <w:szCs w:val="24"/>
              </w:rPr>
              <w:t xml:space="preserve">11 </w:t>
            </w:r>
            <w:r>
              <w:rPr>
                <w:rFonts w:hint="eastAsia" w:ascii="Times New Roman" w:hAnsi="Times New Roman"/>
                <w:snapToGrid w:val="0"/>
                <w:szCs w:val="24"/>
              </w:rPr>
              <w:t>废水排放基本情况一览表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671"/>
              <w:gridCol w:w="592"/>
              <w:gridCol w:w="367"/>
              <w:gridCol w:w="925"/>
              <w:gridCol w:w="821"/>
              <w:gridCol w:w="506"/>
              <w:gridCol w:w="501"/>
              <w:gridCol w:w="402"/>
              <w:gridCol w:w="1629"/>
              <w:gridCol w:w="1557"/>
            </w:tblGrid>
            <w:tr w14:paraId="320D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14:paraId="313A7B0E">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序号</w:t>
                  </w:r>
                </w:p>
              </w:tc>
              <w:tc>
                <w:tcPr>
                  <w:tcW w:w="0" w:type="auto"/>
                  <w:vMerge w:val="restart"/>
                  <w:shd w:val="clear" w:color="auto" w:fill="auto"/>
                  <w:vAlign w:val="center"/>
                </w:tcPr>
                <w:p w14:paraId="036EC7FD">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排放口编号</w:t>
                  </w:r>
                </w:p>
              </w:tc>
              <w:tc>
                <w:tcPr>
                  <w:tcW w:w="0" w:type="auto"/>
                  <w:vMerge w:val="restart"/>
                  <w:shd w:val="clear" w:color="auto" w:fill="auto"/>
                  <w:vAlign w:val="center"/>
                </w:tcPr>
                <w:p w14:paraId="1F61A621">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排放口名称</w:t>
                  </w:r>
                </w:p>
              </w:tc>
              <w:tc>
                <w:tcPr>
                  <w:tcW w:w="0" w:type="auto"/>
                  <w:vMerge w:val="restart"/>
                  <w:shd w:val="clear" w:color="auto" w:fill="auto"/>
                  <w:vAlign w:val="center"/>
                </w:tcPr>
                <w:p w14:paraId="416BBD0A">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类型</w:t>
                  </w:r>
                </w:p>
              </w:tc>
              <w:tc>
                <w:tcPr>
                  <w:tcW w:w="1162" w:type="pct"/>
                  <w:gridSpan w:val="2"/>
                  <w:shd w:val="clear" w:color="auto" w:fill="auto"/>
                  <w:vAlign w:val="center"/>
                </w:tcPr>
                <w:p w14:paraId="573DAFAA">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排放口地理位置</w:t>
                  </w:r>
                </w:p>
              </w:tc>
              <w:tc>
                <w:tcPr>
                  <w:tcW w:w="357" w:type="pct"/>
                  <w:vMerge w:val="restart"/>
                  <w:shd w:val="clear" w:color="auto" w:fill="auto"/>
                  <w:vAlign w:val="center"/>
                </w:tcPr>
                <w:p w14:paraId="31975046">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排放方式</w:t>
                  </w:r>
                </w:p>
              </w:tc>
              <w:tc>
                <w:tcPr>
                  <w:tcW w:w="354" w:type="pct"/>
                  <w:vMerge w:val="restart"/>
                  <w:shd w:val="clear" w:color="auto" w:fill="auto"/>
                  <w:vAlign w:val="center"/>
                </w:tcPr>
                <w:p w14:paraId="55B05EE7">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排放去向</w:t>
                  </w:r>
                </w:p>
              </w:tc>
              <w:tc>
                <w:tcPr>
                  <w:tcW w:w="293" w:type="pct"/>
                  <w:vMerge w:val="restart"/>
                  <w:shd w:val="clear" w:color="auto" w:fill="auto"/>
                  <w:vAlign w:val="center"/>
                </w:tcPr>
                <w:p w14:paraId="503079D6">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排放规律</w:t>
                  </w:r>
                </w:p>
              </w:tc>
              <w:tc>
                <w:tcPr>
                  <w:tcW w:w="513" w:type="pct"/>
                  <w:vMerge w:val="restart"/>
                  <w:shd w:val="clear" w:color="auto" w:fill="auto"/>
                  <w:vAlign w:val="center"/>
                </w:tcPr>
                <w:p w14:paraId="55DDB4CE">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排放标准</w:t>
                  </w:r>
                </w:p>
              </w:tc>
              <w:tc>
                <w:tcPr>
                  <w:tcW w:w="998" w:type="pct"/>
                  <w:vMerge w:val="restart"/>
                  <w:shd w:val="clear" w:color="auto" w:fill="auto"/>
                  <w:vAlign w:val="center"/>
                </w:tcPr>
                <w:p w14:paraId="5BE6DA0A">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标准限值</w:t>
                  </w:r>
                </w:p>
              </w:tc>
            </w:tr>
            <w:tr w14:paraId="65DC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auto"/>
                  <w:vAlign w:val="center"/>
                </w:tcPr>
                <w:p w14:paraId="0ECB0522">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0" w:type="auto"/>
                  <w:vMerge w:val="continue"/>
                  <w:shd w:val="clear" w:color="auto" w:fill="auto"/>
                  <w:vAlign w:val="center"/>
                </w:tcPr>
                <w:p w14:paraId="1AC5BB2D">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0" w:type="auto"/>
                  <w:vMerge w:val="continue"/>
                  <w:shd w:val="clear" w:color="auto" w:fill="auto"/>
                  <w:vAlign w:val="center"/>
                </w:tcPr>
                <w:p w14:paraId="27CF55E3">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0" w:type="auto"/>
                  <w:vMerge w:val="continue"/>
                  <w:shd w:val="clear" w:color="auto" w:fill="auto"/>
                  <w:vAlign w:val="center"/>
                </w:tcPr>
                <w:p w14:paraId="2960A18B">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613" w:type="pct"/>
                  <w:shd w:val="clear" w:color="auto" w:fill="auto"/>
                  <w:vAlign w:val="center"/>
                </w:tcPr>
                <w:p w14:paraId="02DAEE72">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经度</w:t>
                  </w:r>
                </w:p>
              </w:tc>
              <w:tc>
                <w:tcPr>
                  <w:tcW w:w="549" w:type="pct"/>
                  <w:shd w:val="clear" w:color="auto" w:fill="auto"/>
                  <w:vAlign w:val="center"/>
                </w:tcPr>
                <w:p w14:paraId="00FE0A7E">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纬度</w:t>
                  </w:r>
                </w:p>
              </w:tc>
              <w:tc>
                <w:tcPr>
                  <w:tcW w:w="357" w:type="pct"/>
                  <w:vMerge w:val="continue"/>
                  <w:shd w:val="clear" w:color="auto" w:fill="auto"/>
                  <w:vAlign w:val="center"/>
                </w:tcPr>
                <w:p w14:paraId="3D410D3B">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354" w:type="pct"/>
                  <w:vMerge w:val="continue"/>
                  <w:shd w:val="clear" w:color="auto" w:fill="auto"/>
                  <w:vAlign w:val="center"/>
                </w:tcPr>
                <w:p w14:paraId="119211EC">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293" w:type="pct"/>
                  <w:vMerge w:val="continue"/>
                  <w:shd w:val="clear" w:color="auto" w:fill="auto"/>
                  <w:vAlign w:val="center"/>
                </w:tcPr>
                <w:p w14:paraId="3F08A269">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513" w:type="pct"/>
                  <w:vMerge w:val="continue"/>
                  <w:shd w:val="clear" w:color="auto" w:fill="auto"/>
                  <w:vAlign w:val="center"/>
                </w:tcPr>
                <w:p w14:paraId="7340ECEA">
                  <w:pPr>
                    <w:pStyle w:val="24"/>
                    <w:spacing w:before="0" w:beforeAutospacing="0" w:after="0" w:afterAutospacing="0"/>
                    <w:ind w:left="-105" w:leftChars="-50" w:right="-105" w:rightChars="-50"/>
                    <w:jc w:val="center"/>
                    <w:rPr>
                      <w:rFonts w:ascii="Times New Roman" w:hAnsi="Times New Roman"/>
                      <w:snapToGrid w:val="0"/>
                      <w:sz w:val="21"/>
                      <w:szCs w:val="21"/>
                    </w:rPr>
                  </w:pPr>
                </w:p>
              </w:tc>
              <w:tc>
                <w:tcPr>
                  <w:tcW w:w="998" w:type="pct"/>
                  <w:vMerge w:val="continue"/>
                  <w:shd w:val="clear" w:color="auto" w:fill="auto"/>
                  <w:vAlign w:val="center"/>
                </w:tcPr>
                <w:p w14:paraId="231BB5C3">
                  <w:pPr>
                    <w:pStyle w:val="24"/>
                    <w:spacing w:before="0" w:beforeAutospacing="0" w:after="0" w:afterAutospacing="0"/>
                    <w:ind w:left="-105" w:leftChars="-50" w:right="-105" w:rightChars="-50"/>
                    <w:jc w:val="center"/>
                    <w:rPr>
                      <w:rFonts w:ascii="Times New Roman" w:hAnsi="Times New Roman"/>
                      <w:snapToGrid w:val="0"/>
                      <w:sz w:val="21"/>
                      <w:szCs w:val="21"/>
                    </w:rPr>
                  </w:pPr>
                </w:p>
              </w:tc>
            </w:tr>
            <w:tr w14:paraId="59DE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01C9912">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1</w:t>
                  </w:r>
                </w:p>
              </w:tc>
              <w:tc>
                <w:tcPr>
                  <w:tcW w:w="0" w:type="auto"/>
                  <w:shd w:val="clear" w:color="auto" w:fill="auto"/>
                  <w:vAlign w:val="center"/>
                </w:tcPr>
                <w:p w14:paraId="4ADB828D">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DW001</w:t>
                  </w:r>
                </w:p>
              </w:tc>
              <w:tc>
                <w:tcPr>
                  <w:tcW w:w="0" w:type="auto"/>
                  <w:shd w:val="clear" w:color="auto" w:fill="auto"/>
                  <w:vAlign w:val="center"/>
                </w:tcPr>
                <w:p w14:paraId="0FB5BF9F">
                  <w:pPr>
                    <w:pStyle w:val="24"/>
                    <w:spacing w:before="0" w:beforeAutospacing="0" w:after="0" w:afterAutospacing="0"/>
                    <w:ind w:left="-105" w:leftChars="-50" w:right="-105" w:rightChars="-50"/>
                    <w:jc w:val="center"/>
                    <w:rPr>
                      <w:rFonts w:ascii="Times New Roman" w:hAnsi="Times New Roman"/>
                      <w:snapToGrid w:val="0"/>
                      <w:sz w:val="21"/>
                      <w:szCs w:val="21"/>
                    </w:rPr>
                  </w:pPr>
                  <w:r>
                    <w:rPr>
                      <w:rFonts w:hint="eastAsia" w:ascii="Times New Roman" w:hAnsi="Times New Roman"/>
                      <w:snapToGrid w:val="0"/>
                      <w:sz w:val="21"/>
                      <w:szCs w:val="21"/>
                    </w:rPr>
                    <w:t>污水</w:t>
                  </w:r>
                  <w:r>
                    <w:rPr>
                      <w:rFonts w:ascii="Times New Roman" w:hAnsi="Times New Roman"/>
                      <w:snapToGrid w:val="0"/>
                      <w:sz w:val="21"/>
                      <w:szCs w:val="21"/>
                    </w:rPr>
                    <w:t>处理设施排放口</w:t>
                  </w:r>
                </w:p>
              </w:tc>
              <w:tc>
                <w:tcPr>
                  <w:tcW w:w="0" w:type="auto"/>
                  <w:shd w:val="clear" w:color="auto" w:fill="auto"/>
                  <w:vAlign w:val="center"/>
                </w:tcPr>
                <w:p w14:paraId="3D455397">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一般排放口</w:t>
                  </w:r>
                </w:p>
              </w:tc>
              <w:tc>
                <w:tcPr>
                  <w:tcW w:w="613" w:type="pct"/>
                  <w:shd w:val="clear" w:color="auto" w:fill="auto"/>
                  <w:vAlign w:val="center"/>
                </w:tcPr>
                <w:p w14:paraId="793F2186">
                  <w:pPr>
                    <w:pStyle w:val="24"/>
                    <w:spacing w:before="0" w:beforeAutospacing="0" w:after="0" w:afterAutospacing="0"/>
                    <w:ind w:left="-105" w:leftChars="-50" w:right="-105" w:rightChars="-50"/>
                    <w:jc w:val="center"/>
                    <w:rPr>
                      <w:rFonts w:ascii="Times New Roman" w:hAnsi="Times New Roman"/>
                      <w:snapToGrid w:val="0"/>
                      <w:sz w:val="21"/>
                      <w:szCs w:val="21"/>
                      <w:highlight w:val="yellow"/>
                    </w:rPr>
                  </w:pPr>
                  <w:r>
                    <w:rPr>
                      <w:rFonts w:ascii="Times New Roman" w:hAnsi="Times New Roman"/>
                      <w:snapToGrid w:val="0"/>
                      <w:sz w:val="21"/>
                      <w:szCs w:val="21"/>
                    </w:rPr>
                    <w:t>107.2392°</w:t>
                  </w:r>
                </w:p>
              </w:tc>
              <w:tc>
                <w:tcPr>
                  <w:tcW w:w="549" w:type="pct"/>
                  <w:shd w:val="clear" w:color="auto" w:fill="auto"/>
                  <w:vAlign w:val="center"/>
                </w:tcPr>
                <w:p w14:paraId="77670B86">
                  <w:pPr>
                    <w:pStyle w:val="24"/>
                    <w:spacing w:before="0" w:beforeAutospacing="0" w:after="0" w:afterAutospacing="0"/>
                    <w:ind w:left="-105" w:leftChars="-50" w:right="-105" w:rightChars="-50"/>
                    <w:jc w:val="center"/>
                    <w:rPr>
                      <w:rFonts w:ascii="Times New Roman" w:hAnsi="Times New Roman"/>
                      <w:snapToGrid w:val="0"/>
                      <w:sz w:val="21"/>
                      <w:szCs w:val="21"/>
                      <w:highlight w:val="yellow"/>
                    </w:rPr>
                  </w:pPr>
                  <w:r>
                    <w:rPr>
                      <w:rFonts w:ascii="Times New Roman" w:hAnsi="Times New Roman"/>
                      <w:snapToGrid w:val="0"/>
                      <w:sz w:val="21"/>
                      <w:szCs w:val="21"/>
                    </w:rPr>
                    <w:t>29.7231°</w:t>
                  </w:r>
                </w:p>
              </w:tc>
              <w:tc>
                <w:tcPr>
                  <w:tcW w:w="357" w:type="pct"/>
                  <w:shd w:val="clear" w:color="auto" w:fill="auto"/>
                  <w:vAlign w:val="center"/>
                </w:tcPr>
                <w:p w14:paraId="50FDEE47">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间接排放</w:t>
                  </w:r>
                </w:p>
              </w:tc>
              <w:tc>
                <w:tcPr>
                  <w:tcW w:w="354" w:type="pct"/>
                  <w:shd w:val="clear" w:color="auto" w:fill="auto"/>
                  <w:vAlign w:val="center"/>
                </w:tcPr>
                <w:p w14:paraId="0B2C2862">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李渡大耍坝污水处理厂</w:t>
                  </w:r>
                </w:p>
              </w:tc>
              <w:tc>
                <w:tcPr>
                  <w:tcW w:w="293" w:type="pct"/>
                  <w:shd w:val="clear" w:color="auto" w:fill="auto"/>
                  <w:vAlign w:val="center"/>
                </w:tcPr>
                <w:p w14:paraId="50457CD9">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间歇排放</w:t>
                  </w:r>
                </w:p>
              </w:tc>
              <w:tc>
                <w:tcPr>
                  <w:tcW w:w="513" w:type="pct"/>
                  <w:shd w:val="clear" w:color="auto" w:fill="auto"/>
                  <w:vAlign w:val="center"/>
                </w:tcPr>
                <w:p w14:paraId="2339C238">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bCs/>
                      <w:snapToGrid w:val="0"/>
                      <w:sz w:val="21"/>
                      <w:szCs w:val="21"/>
                    </w:rPr>
                    <w:t>《污水综合排放标准》（GB8978-1996）三级标准</w:t>
                  </w:r>
                </w:p>
              </w:tc>
              <w:tc>
                <w:tcPr>
                  <w:tcW w:w="998" w:type="pct"/>
                  <w:shd w:val="clear" w:color="auto" w:fill="auto"/>
                  <w:vAlign w:val="center"/>
                </w:tcPr>
                <w:p w14:paraId="39E62A3B">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COD：500mg/L；</w:t>
                  </w:r>
                </w:p>
                <w:p w14:paraId="5B6B90DA">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z w:val="21"/>
                      <w:szCs w:val="21"/>
                    </w:rPr>
                    <w:t>BOD</w:t>
                  </w:r>
                  <w:r>
                    <w:rPr>
                      <w:rFonts w:ascii="Times New Roman" w:hAnsi="Times New Roman"/>
                      <w:sz w:val="21"/>
                      <w:szCs w:val="21"/>
                      <w:vertAlign w:val="subscript"/>
                    </w:rPr>
                    <w:t>5</w:t>
                  </w:r>
                  <w:r>
                    <w:rPr>
                      <w:rFonts w:ascii="Times New Roman" w:hAnsi="Times New Roman"/>
                      <w:sz w:val="21"/>
                      <w:szCs w:val="21"/>
                    </w:rPr>
                    <w:t>：300</w:t>
                  </w:r>
                  <w:r>
                    <w:rPr>
                      <w:rFonts w:ascii="Times New Roman" w:hAnsi="Times New Roman"/>
                      <w:snapToGrid w:val="0"/>
                      <w:sz w:val="21"/>
                      <w:szCs w:val="21"/>
                    </w:rPr>
                    <w:t>mg/L；</w:t>
                  </w:r>
                </w:p>
                <w:p w14:paraId="33C0A8CE">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SS：400mg/L</w:t>
                  </w:r>
                </w:p>
                <w:p w14:paraId="23D0F321">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z w:val="21"/>
                      <w:szCs w:val="21"/>
                    </w:rPr>
                    <w:t>氨氮：45</w:t>
                  </w:r>
                  <w:r>
                    <w:rPr>
                      <w:rFonts w:ascii="Times New Roman" w:hAnsi="Times New Roman"/>
                      <w:snapToGrid w:val="0"/>
                      <w:sz w:val="21"/>
                      <w:szCs w:val="21"/>
                    </w:rPr>
                    <w:t>mg/L</w:t>
                  </w:r>
                </w:p>
                <w:p w14:paraId="5373F6B6">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bCs/>
                      <w:sz w:val="21"/>
                      <w:szCs w:val="21"/>
                    </w:rPr>
                    <w:t>石油类：20</w:t>
                  </w:r>
                  <w:r>
                    <w:rPr>
                      <w:rFonts w:ascii="Times New Roman" w:hAnsi="Times New Roman"/>
                      <w:snapToGrid w:val="0"/>
                      <w:sz w:val="21"/>
                      <w:szCs w:val="21"/>
                    </w:rPr>
                    <w:t>mg/L</w:t>
                  </w:r>
                </w:p>
                <w:p w14:paraId="5CBD8629">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bCs/>
                      <w:sz w:val="21"/>
                      <w:szCs w:val="21"/>
                    </w:rPr>
                    <w:t>阴离子表面活性剂：20</w:t>
                  </w:r>
                  <w:r>
                    <w:rPr>
                      <w:rFonts w:ascii="Times New Roman" w:hAnsi="Times New Roman"/>
                      <w:snapToGrid w:val="0"/>
                      <w:sz w:val="21"/>
                      <w:szCs w:val="21"/>
                    </w:rPr>
                    <w:t>mg/L</w:t>
                  </w:r>
                </w:p>
                <w:p w14:paraId="05B36F78">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动植物油</w:t>
                  </w:r>
                  <w:r>
                    <w:rPr>
                      <w:rFonts w:hint="eastAsia" w:ascii="Times New Roman" w:hAnsi="Times New Roman"/>
                      <w:snapToGrid w:val="0"/>
                      <w:sz w:val="21"/>
                      <w:szCs w:val="21"/>
                    </w:rPr>
                    <w:t>：1</w:t>
                  </w:r>
                  <w:r>
                    <w:rPr>
                      <w:rFonts w:ascii="Times New Roman" w:hAnsi="Times New Roman"/>
                      <w:snapToGrid w:val="0"/>
                      <w:sz w:val="21"/>
                      <w:szCs w:val="21"/>
                    </w:rPr>
                    <w:t>00mg/L</w:t>
                  </w:r>
                </w:p>
              </w:tc>
            </w:tr>
          </w:tbl>
          <w:p w14:paraId="3E6BB8B3">
            <w:pPr>
              <w:pStyle w:val="24"/>
              <w:spacing w:before="0" w:beforeAutospacing="0" w:after="0" w:afterAutospacing="0" w:line="360" w:lineRule="auto"/>
              <w:ind w:firstLine="480" w:firstLineChars="200"/>
              <w:jc w:val="both"/>
              <w:rPr>
                <w:rFonts w:ascii="Times New Roman" w:hAnsi="Times New Roman"/>
                <w:snapToGrid w:val="0"/>
                <w:szCs w:val="24"/>
              </w:rPr>
            </w:pPr>
            <w:r>
              <w:rPr>
                <w:rFonts w:hint="eastAsia" w:ascii="Times New Roman" w:hAnsi="Times New Roman"/>
                <w:snapToGrid w:val="0"/>
                <w:szCs w:val="24"/>
              </w:rPr>
              <w:t>（</w:t>
            </w:r>
            <w:r>
              <w:rPr>
                <w:rFonts w:ascii="Times New Roman" w:hAnsi="Times New Roman"/>
                <w:snapToGrid w:val="0"/>
                <w:szCs w:val="24"/>
              </w:rPr>
              <w:t>4</w:t>
            </w:r>
            <w:r>
              <w:rPr>
                <w:rFonts w:hint="eastAsia" w:ascii="Times New Roman" w:hAnsi="Times New Roman"/>
                <w:snapToGrid w:val="0"/>
                <w:szCs w:val="24"/>
              </w:rPr>
              <w:t>）废水排放达标情况及措施可行性分析</w:t>
            </w:r>
          </w:p>
          <w:p w14:paraId="5FF61668">
            <w:pPr>
              <w:adjustRightInd w:val="0"/>
              <w:snapToGrid w:val="0"/>
              <w:spacing w:line="360" w:lineRule="auto"/>
              <w:ind w:firstLine="480"/>
              <w:rPr>
                <w:sz w:val="24"/>
              </w:rPr>
            </w:pPr>
            <w:r>
              <w:rPr>
                <w:rFonts w:hint="eastAsia"/>
                <w:sz w:val="24"/>
              </w:rPr>
              <w:t>项目生产废水收集后经“隔油+调节池+破乳+气浮”预处理后进入污水处理设施生化处理系统，食堂废水经隔油池、化粪池处理后进入污水处理设施生化处理系统，生活污水经化粪池处理后进入污水处理设施生化处理系统，经污水处理设施生化处理系统</w:t>
            </w:r>
            <w:r>
              <w:rPr>
                <w:rFonts w:hint="eastAsia"/>
                <w:bCs/>
                <w:spacing w:val="-10"/>
                <w:sz w:val="24"/>
              </w:rPr>
              <w:t>处理达</w:t>
            </w:r>
            <w:r>
              <w:rPr>
                <w:sz w:val="24"/>
              </w:rPr>
              <w:t>《污水综合排放标准》（GB8978-1996）三级标准后</w:t>
            </w:r>
            <w:r>
              <w:rPr>
                <w:rFonts w:hint="eastAsia"/>
                <w:bCs/>
                <w:spacing w:val="-10"/>
                <w:sz w:val="24"/>
              </w:rPr>
              <w:t>后排入园区管网，最终经李渡大耍坝污水处理厂处理</w:t>
            </w:r>
            <w:r>
              <w:rPr>
                <w:sz w:val="24"/>
              </w:rPr>
              <w:t>达到</w:t>
            </w:r>
            <w:r>
              <w:rPr>
                <w:rFonts w:hint="eastAsia"/>
                <w:sz w:val="24"/>
              </w:rPr>
              <w:t>《城镇污水处理厂污染物排放标准》（G</w:t>
            </w:r>
            <w:r>
              <w:rPr>
                <w:sz w:val="24"/>
              </w:rPr>
              <w:t>B18918-2002</w:t>
            </w:r>
            <w:r>
              <w:rPr>
                <w:rFonts w:hint="eastAsia"/>
                <w:sz w:val="24"/>
              </w:rPr>
              <w:t>）一级B标准，</w:t>
            </w:r>
            <w:r>
              <w:rPr>
                <w:sz w:val="24"/>
              </w:rPr>
              <w:t>最终排入</w:t>
            </w:r>
            <w:r>
              <w:rPr>
                <w:rFonts w:hint="eastAsia"/>
                <w:sz w:val="24"/>
              </w:rPr>
              <w:t>长江。</w:t>
            </w:r>
          </w:p>
          <w:p w14:paraId="1E57BDDE">
            <w:pPr>
              <w:adjustRightInd w:val="0"/>
              <w:snapToGrid w:val="0"/>
              <w:spacing w:line="360" w:lineRule="auto"/>
              <w:ind w:firstLine="480"/>
              <w:rPr>
                <w:sz w:val="24"/>
              </w:rPr>
            </w:pPr>
            <w:r>
              <w:rPr>
                <w:sz w:val="24"/>
              </w:rPr>
              <w:t>项目生产废水主要中主要污染物为氨氮、SS、石油类、COD、BOD</w:t>
            </w:r>
            <w:r>
              <w:rPr>
                <w:sz w:val="24"/>
                <w:vertAlign w:val="subscript"/>
              </w:rPr>
              <w:t>5</w:t>
            </w:r>
            <w:r>
              <w:rPr>
                <w:sz w:val="24"/>
              </w:rPr>
              <w:t>、阴离子表面活性剂等，参照《排污许可证申请与核发技术规范汽车制造业》（H971-2018）中“表 26 汽车制造业排污单位废水类型、污染物类型及污染治理推荐可行技术”，</w:t>
            </w:r>
            <w:r>
              <w:rPr>
                <w:rStyle w:val="164"/>
                <w:rFonts w:hint="default" w:ascii="Times New Roman" w:hAnsi="Times New Roman" w:eastAsia="宋体"/>
                <w:color w:val="auto"/>
                <w:sz w:val="24"/>
                <w:szCs w:val="24"/>
              </w:rPr>
              <w:t>石油类、化学需氧量、悬浮物等污染物推荐可行技术为“破乳、混凝、气浮、砂滤、吸附、 超滤、蒸发”，因此，项目采用的</w:t>
            </w:r>
            <w:r>
              <w:rPr>
                <w:sz w:val="24"/>
              </w:rPr>
              <w:t>“隔油+调节池+破乳+气浮”预处理技术为推荐可行技术。</w:t>
            </w:r>
            <w:r>
              <w:rPr>
                <w:rFonts w:hint="eastAsia"/>
                <w:sz w:val="24"/>
              </w:rPr>
              <w:t>“全厂生产废水”</w:t>
            </w:r>
            <w:r>
              <w:rPr>
                <w:rStyle w:val="164"/>
                <w:rFonts w:hint="default" w:ascii="Times New Roman" w:hAnsi="Times New Roman" w:eastAsia="宋体"/>
                <w:color w:val="auto"/>
                <w:sz w:val="24"/>
                <w:szCs w:val="24"/>
              </w:rPr>
              <w:t>推荐可行技术为“格栅、调节、混凝、水解酸化、生化、沉淀、二级生化、砂滤、消毒、反渗透、浓缩蒸发”，</w:t>
            </w:r>
            <w:r>
              <w:rPr>
                <w:rFonts w:hint="eastAsia"/>
                <w:sz w:val="24"/>
              </w:rPr>
              <w:t>项目生产废水经预处理后与食堂废水、生活污水一并经污水处理设施生化处理系统处理后达标排放，污水处理设施生化处理系统工艺为“水解酸化+生物接触氧化”，为推荐可行技术中的“水解酸化”及“生化”技术。</w:t>
            </w:r>
          </w:p>
          <w:p w14:paraId="0FB003B4">
            <w:pPr>
              <w:adjustRightInd w:val="0"/>
              <w:snapToGrid w:val="0"/>
              <w:spacing w:line="360" w:lineRule="auto"/>
              <w:ind w:firstLine="480"/>
              <w:rPr>
                <w:sz w:val="24"/>
              </w:rPr>
            </w:pPr>
            <w:r>
              <w:rPr>
                <w:sz w:val="24"/>
              </w:rPr>
              <w:t>同时</w:t>
            </w:r>
            <w:r>
              <w:rPr>
                <w:rFonts w:hint="eastAsia"/>
                <w:sz w:val="24"/>
              </w:rPr>
              <w:t>，项目现有工程已通过竣工环境保护验收，综合废水能够实现稳定达标排放。迁建项目相比现有工程水量增大，水质基本保持一致，迁建项目与现有工程废水处理工艺相似，均采取分质分类预处理+生化处理工艺，因此，项目废水可实现达标排放。</w:t>
            </w:r>
          </w:p>
          <w:p w14:paraId="637D2F6C">
            <w:pPr>
              <w:adjustRightInd w:val="0"/>
              <w:snapToGrid w:val="0"/>
              <w:spacing w:line="360" w:lineRule="auto"/>
              <w:ind w:firstLine="480"/>
              <w:rPr>
                <w:sz w:val="32"/>
              </w:rPr>
            </w:pPr>
            <w:r>
              <w:rPr>
                <w:snapToGrid w:val="0"/>
                <w:sz w:val="24"/>
              </w:rPr>
              <w:t>根据现有工程运行情况，压铸机机头循环冷却水管线存在爆管情况。项目共设置12台压铸机，冷却水循环量为120m</w:t>
            </w:r>
            <w:r>
              <w:rPr>
                <w:snapToGrid w:val="0"/>
                <w:sz w:val="24"/>
                <w:vertAlign w:val="superscript"/>
              </w:rPr>
              <w:t>3</w:t>
            </w:r>
            <w:r>
              <w:rPr>
                <w:snapToGrid w:val="0"/>
                <w:sz w:val="24"/>
              </w:rPr>
              <w:t>/h，即单台压铸机冷却水循环量为10m</w:t>
            </w:r>
            <w:r>
              <w:rPr>
                <w:snapToGrid w:val="0"/>
                <w:sz w:val="24"/>
                <w:vertAlign w:val="superscript"/>
              </w:rPr>
              <w:t>3</w:t>
            </w:r>
            <w:r>
              <w:rPr>
                <w:snapToGrid w:val="0"/>
                <w:sz w:val="24"/>
              </w:rPr>
              <w:t>/h。压铸机机头循环冷却水管线爆管后废水进入机头下方脱模剂回收沟槽内，稀释后的脱模剂无法循环利用，需进入污水处理设施处理后达标排放。评价考虑单台压铸机机头循环冷却水管线爆管情况，冷却水泄漏时间按1h计，则泄漏量为10m</w:t>
            </w:r>
            <w:r>
              <w:rPr>
                <w:snapToGrid w:val="0"/>
                <w:sz w:val="24"/>
                <w:vertAlign w:val="superscript"/>
              </w:rPr>
              <w:t>3</w:t>
            </w:r>
            <w:r>
              <w:rPr>
                <w:snapToGrid w:val="0"/>
                <w:sz w:val="24"/>
              </w:rPr>
              <w:t>，泄漏循环冷却水与脱模剂混合，脱模剂混合量按</w:t>
            </w:r>
            <w:r>
              <w:rPr>
                <w:rFonts w:hint="eastAsia"/>
                <w:snapToGrid w:val="0"/>
                <w:sz w:val="24"/>
              </w:rPr>
              <w:t>脱模剂循环池有效容积</w:t>
            </w:r>
            <w:r>
              <w:rPr>
                <w:sz w:val="24"/>
              </w:rPr>
              <w:t>12</w:t>
            </w:r>
            <w:r>
              <w:rPr>
                <w:snapToGrid w:val="0"/>
                <w:sz w:val="24"/>
              </w:rPr>
              <w:t>m</w:t>
            </w:r>
            <w:r>
              <w:rPr>
                <w:snapToGrid w:val="0"/>
                <w:sz w:val="24"/>
                <w:vertAlign w:val="superscript"/>
              </w:rPr>
              <w:t>3</w:t>
            </w:r>
            <w:r>
              <w:rPr>
                <w:snapToGrid w:val="0"/>
                <w:sz w:val="24"/>
              </w:rPr>
              <w:t>考虑，则压铸机循环冷却水爆管情况下新增废水排放量为22m</w:t>
            </w:r>
            <w:r>
              <w:rPr>
                <w:snapToGrid w:val="0"/>
                <w:sz w:val="24"/>
                <w:vertAlign w:val="superscript"/>
              </w:rPr>
              <w:t>3</w:t>
            </w:r>
            <w:r>
              <w:rPr>
                <w:snapToGrid w:val="0"/>
                <w:sz w:val="24"/>
              </w:rPr>
              <w:t>。项目正常情况下废水日最大排放量为58.17m</w:t>
            </w:r>
            <w:r>
              <w:rPr>
                <w:snapToGrid w:val="0"/>
                <w:sz w:val="24"/>
                <w:vertAlign w:val="superscript"/>
              </w:rPr>
              <w:t>3</w:t>
            </w:r>
            <w:r>
              <w:rPr>
                <w:snapToGrid w:val="0"/>
                <w:sz w:val="24"/>
              </w:rPr>
              <w:t>/d，则压铸机循环冷却水爆管情况下废水最大排放量为80.17m</w:t>
            </w:r>
            <w:r>
              <w:rPr>
                <w:snapToGrid w:val="0"/>
                <w:sz w:val="24"/>
                <w:vertAlign w:val="superscript"/>
              </w:rPr>
              <w:t>3</w:t>
            </w:r>
            <w:r>
              <w:rPr>
                <w:snapToGrid w:val="0"/>
                <w:sz w:val="24"/>
              </w:rPr>
              <w:t>。项目污水处理设施设计处理量为100m</w:t>
            </w:r>
            <w:r>
              <w:rPr>
                <w:snapToGrid w:val="0"/>
                <w:sz w:val="24"/>
                <w:vertAlign w:val="superscript"/>
              </w:rPr>
              <w:t>3</w:t>
            </w:r>
            <w:r>
              <w:rPr>
                <w:snapToGrid w:val="0"/>
                <w:sz w:val="24"/>
              </w:rPr>
              <w:t>/d，满足非正常工况下的废水处理要求。</w:t>
            </w:r>
          </w:p>
          <w:p w14:paraId="488D45A5">
            <w:pPr>
              <w:adjustRightInd w:val="0"/>
              <w:snapToGrid w:val="0"/>
              <w:spacing w:line="360" w:lineRule="auto"/>
              <w:ind w:firstLine="480" w:firstLineChars="200"/>
              <w:rPr>
                <w:kern w:val="44"/>
                <w:sz w:val="24"/>
              </w:rPr>
            </w:pPr>
            <w:r>
              <w:rPr>
                <w:rFonts w:hint="eastAsia"/>
                <w:sz w:val="24"/>
              </w:rPr>
              <w:t>项目生产废水和生活污水经厂区内污水处理设备处理达</w:t>
            </w:r>
            <w:r>
              <w:rPr>
                <w:rFonts w:hint="eastAsia"/>
                <w:kern w:val="44"/>
                <w:sz w:val="24"/>
              </w:rPr>
              <w:t>《污水综合排放标准》（GB8978-1996）三级标准（氨氮参照《污水排入城镇下水道水质标准》（GB/T31962-2015）中氨氮45mg/L）后排入园区污水管网</w:t>
            </w:r>
            <w:r>
              <w:rPr>
                <w:sz w:val="24"/>
              </w:rPr>
              <w:t>，</w:t>
            </w:r>
            <w:r>
              <w:rPr>
                <w:rFonts w:hint="eastAsia"/>
                <w:sz w:val="24"/>
              </w:rPr>
              <w:t>依托李渡</w:t>
            </w:r>
            <w:r>
              <w:rPr>
                <w:rFonts w:hint="eastAsia"/>
                <w:kern w:val="44"/>
                <w:sz w:val="24"/>
              </w:rPr>
              <w:t>李渡大耍坝污水处理厂进一步处理，最终经处理达《城镇污水处理厂污染物排放标准》（GB18918-2002）一级B标准后排入到长江。</w:t>
            </w:r>
          </w:p>
          <w:p w14:paraId="045686A3">
            <w:pPr>
              <w:adjustRightInd w:val="0"/>
              <w:snapToGrid w:val="0"/>
              <w:spacing w:line="360" w:lineRule="auto"/>
              <w:ind w:firstLine="480" w:firstLineChars="200"/>
              <w:rPr>
                <w:kern w:val="44"/>
                <w:sz w:val="24"/>
              </w:rPr>
            </w:pPr>
            <w:r>
              <w:rPr>
                <w:kern w:val="44"/>
                <w:sz w:val="24"/>
              </w:rPr>
              <w:t>依托工程可行性分析</w:t>
            </w:r>
            <w:r>
              <w:rPr>
                <w:rFonts w:hint="eastAsia"/>
                <w:kern w:val="44"/>
                <w:sz w:val="24"/>
              </w:rPr>
              <w:t>：</w:t>
            </w:r>
          </w:p>
          <w:p w14:paraId="791B8EF8">
            <w:pPr>
              <w:adjustRightInd w:val="0"/>
              <w:snapToGrid w:val="0"/>
              <w:spacing w:line="360" w:lineRule="auto"/>
              <w:ind w:firstLine="480" w:firstLineChars="200"/>
              <w:rPr>
                <w:sz w:val="24"/>
              </w:rPr>
            </w:pPr>
            <w:r>
              <w:rPr>
                <w:rFonts w:hint="eastAsia"/>
                <w:bCs/>
                <w:sz w:val="24"/>
              </w:rPr>
              <w:t>李渡大耍坝污水处理厂一期于</w:t>
            </w:r>
            <w:r>
              <w:rPr>
                <w:bCs/>
                <w:sz w:val="24"/>
              </w:rPr>
              <w:t>2012</w:t>
            </w:r>
            <w:r>
              <w:rPr>
                <w:rFonts w:hint="eastAsia"/>
                <w:bCs/>
                <w:sz w:val="24"/>
              </w:rPr>
              <w:t>年建成，处理规模</w:t>
            </w:r>
            <w:r>
              <w:rPr>
                <w:bCs/>
                <w:sz w:val="24"/>
              </w:rPr>
              <w:t>3</w:t>
            </w:r>
            <w:r>
              <w:rPr>
                <w:rFonts w:hint="eastAsia"/>
                <w:bCs/>
                <w:sz w:val="24"/>
              </w:rPr>
              <w:t>万</w:t>
            </w:r>
            <w:r>
              <w:rPr>
                <w:bCs/>
                <w:sz w:val="24"/>
              </w:rPr>
              <w:t>m</w:t>
            </w:r>
            <w:r>
              <w:rPr>
                <w:bCs/>
                <w:sz w:val="24"/>
                <w:vertAlign w:val="superscript"/>
              </w:rPr>
              <w:t>3</w:t>
            </w:r>
            <w:r>
              <w:rPr>
                <w:bCs/>
                <w:sz w:val="24"/>
              </w:rPr>
              <w:t>/d</w:t>
            </w:r>
            <w:r>
              <w:rPr>
                <w:rFonts w:hint="eastAsia"/>
                <w:bCs/>
                <w:sz w:val="24"/>
              </w:rPr>
              <w:t>，处理工艺为的</w:t>
            </w:r>
            <w:r>
              <w:rPr>
                <w:bCs/>
                <w:sz w:val="24"/>
              </w:rPr>
              <w:t>A</w:t>
            </w:r>
            <w:r>
              <w:rPr>
                <w:bCs/>
                <w:sz w:val="24"/>
                <w:vertAlign w:val="superscript"/>
              </w:rPr>
              <w:t>2</w:t>
            </w:r>
            <w:r>
              <w:rPr>
                <w:bCs/>
                <w:sz w:val="24"/>
              </w:rPr>
              <w:t>/O</w:t>
            </w:r>
            <w:r>
              <w:rPr>
                <w:rFonts w:hint="eastAsia"/>
                <w:bCs/>
                <w:sz w:val="24"/>
              </w:rPr>
              <w:t>氧化沟工艺，出水达到《城镇污水处理厂污染物排放标准》中一级标准的</w:t>
            </w:r>
            <w:r>
              <w:rPr>
                <w:bCs/>
                <w:sz w:val="24"/>
              </w:rPr>
              <w:t>B</w:t>
            </w:r>
            <w:r>
              <w:rPr>
                <w:rFonts w:hint="eastAsia"/>
                <w:bCs/>
                <w:sz w:val="24"/>
              </w:rPr>
              <w:t>标准后最终排入长江。服务范围包括重庆市涪陵西部新城的大部分范围，含李渡新区部分区域、义和镇大部分开发面积。目前目前实际处理规模约</w:t>
            </w:r>
            <w:r>
              <w:rPr>
                <w:bCs/>
                <w:sz w:val="24"/>
              </w:rPr>
              <w:t>1.80</w:t>
            </w:r>
            <w:r>
              <w:rPr>
                <w:rFonts w:hint="eastAsia"/>
                <w:bCs/>
                <w:sz w:val="24"/>
              </w:rPr>
              <w:t>万</w:t>
            </w:r>
            <w:r>
              <w:rPr>
                <w:bCs/>
                <w:sz w:val="24"/>
              </w:rPr>
              <w:t>m</w:t>
            </w:r>
            <w:r>
              <w:rPr>
                <w:bCs/>
                <w:sz w:val="24"/>
                <w:vertAlign w:val="superscript"/>
              </w:rPr>
              <w:t>3</w:t>
            </w:r>
            <w:r>
              <w:rPr>
                <w:bCs/>
                <w:sz w:val="24"/>
              </w:rPr>
              <w:t>/d</w:t>
            </w:r>
            <w:r>
              <w:rPr>
                <w:rFonts w:hint="eastAsia"/>
                <w:bCs/>
                <w:sz w:val="24"/>
              </w:rPr>
              <w:t>，剩余处理能力约</w:t>
            </w:r>
            <w:r>
              <w:rPr>
                <w:bCs/>
                <w:sz w:val="24"/>
              </w:rPr>
              <w:t>1.20</w:t>
            </w:r>
            <w:r>
              <w:rPr>
                <w:rFonts w:hint="eastAsia"/>
                <w:bCs/>
                <w:sz w:val="24"/>
              </w:rPr>
              <w:t>万</w:t>
            </w:r>
            <w:r>
              <w:rPr>
                <w:bCs/>
                <w:sz w:val="24"/>
              </w:rPr>
              <w:t>m</w:t>
            </w:r>
            <w:r>
              <w:rPr>
                <w:bCs/>
                <w:sz w:val="24"/>
                <w:vertAlign w:val="superscript"/>
              </w:rPr>
              <w:t>3</w:t>
            </w:r>
            <w:r>
              <w:rPr>
                <w:bCs/>
                <w:sz w:val="24"/>
              </w:rPr>
              <w:t>/d</w:t>
            </w:r>
            <w:r>
              <w:rPr>
                <w:rFonts w:hint="eastAsia"/>
                <w:bCs/>
                <w:sz w:val="24"/>
              </w:rPr>
              <w:t>。本项目位于李渡大耍坝污水处理厂服务范围内，且项目所在地已建设完善的污水管网，项目废水可自流进入大耍坝污水处理厂。污水本项目废水最大排放量约</w:t>
            </w:r>
            <w:r>
              <w:rPr>
                <w:bCs/>
                <w:sz w:val="24"/>
              </w:rPr>
              <w:t>80.17m</w:t>
            </w:r>
            <w:r>
              <w:rPr>
                <w:bCs/>
                <w:sz w:val="24"/>
                <w:vertAlign w:val="superscript"/>
              </w:rPr>
              <w:t>3</w:t>
            </w:r>
            <w:r>
              <w:rPr>
                <w:bCs/>
                <w:sz w:val="24"/>
              </w:rPr>
              <w:t>/d</w:t>
            </w:r>
            <w:r>
              <w:rPr>
                <w:rFonts w:hint="eastAsia"/>
                <w:bCs/>
                <w:sz w:val="24"/>
              </w:rPr>
              <w:t>，仅占剩余处理能力的</w:t>
            </w:r>
            <w:r>
              <w:rPr>
                <w:bCs/>
                <w:sz w:val="24"/>
              </w:rPr>
              <w:t>0.66%</w:t>
            </w:r>
            <w:r>
              <w:rPr>
                <w:rFonts w:hint="eastAsia"/>
                <w:bCs/>
                <w:sz w:val="24"/>
              </w:rPr>
              <w:t>，不会对污水处理厂造成冲击，污水处理厂能够满足项目废水处理需求。因此，项目废水依托李渡大耍坝污水处理厂处理可行。</w:t>
            </w:r>
          </w:p>
          <w:p w14:paraId="7CAAF447">
            <w:pPr>
              <w:adjustRightInd w:val="0"/>
              <w:snapToGrid w:val="0"/>
              <w:spacing w:line="360" w:lineRule="auto"/>
              <w:ind w:firstLine="480"/>
              <w:rPr>
                <w:bCs/>
                <w:spacing w:val="-10"/>
                <w:sz w:val="24"/>
              </w:rPr>
            </w:pPr>
            <w:r>
              <w:rPr>
                <w:rFonts w:hint="eastAsia"/>
                <w:sz w:val="24"/>
              </w:rPr>
              <w:t>综上，项目废水处理工艺为为推荐可行集输，废水可实现达标排放，对项目所在地地表水环境影响轻微。</w:t>
            </w:r>
          </w:p>
          <w:p w14:paraId="14D1056B">
            <w:pPr>
              <w:adjustRightInd w:val="0"/>
              <w:snapToGrid w:val="0"/>
              <w:spacing w:line="360" w:lineRule="auto"/>
              <w:rPr>
                <w:b/>
                <w:bCs/>
                <w:spacing w:val="-10"/>
                <w:sz w:val="24"/>
              </w:rPr>
            </w:pPr>
            <w:r>
              <w:rPr>
                <w:b/>
                <w:bCs/>
                <w:spacing w:val="-10"/>
                <w:sz w:val="24"/>
              </w:rPr>
              <w:t>3、噪声</w:t>
            </w:r>
          </w:p>
          <w:p w14:paraId="76F15B63">
            <w:pPr>
              <w:adjustRightInd w:val="0"/>
              <w:snapToGrid w:val="0"/>
              <w:spacing w:line="360" w:lineRule="auto"/>
              <w:ind w:firstLine="480" w:firstLineChars="200"/>
              <w:rPr>
                <w:sz w:val="24"/>
              </w:rPr>
            </w:pPr>
            <w:r>
              <w:rPr>
                <w:sz w:val="24"/>
              </w:rPr>
              <w:t>（1）噪声源强</w:t>
            </w:r>
          </w:p>
          <w:p w14:paraId="60B4C65E">
            <w:pPr>
              <w:adjustRightInd w:val="0"/>
              <w:snapToGrid w:val="0"/>
              <w:spacing w:line="360" w:lineRule="auto"/>
              <w:ind w:firstLine="480" w:firstLineChars="200"/>
              <w:rPr>
                <w:sz w:val="24"/>
              </w:rPr>
            </w:pPr>
            <w:r>
              <w:rPr>
                <w:sz w:val="24"/>
              </w:rPr>
              <w:t>项目</w:t>
            </w:r>
            <w:r>
              <w:rPr>
                <w:rFonts w:hint="eastAsia"/>
                <w:sz w:val="24"/>
              </w:rPr>
              <w:t>设备均选用低噪声设备，项目高噪声设备包括压铸机、风机、抛丸机、空压机、</w:t>
            </w:r>
            <w:r>
              <w:rPr>
                <w:sz w:val="24"/>
              </w:rPr>
              <w:t>风机等设备。主要噪声源强情况详见表4-12。</w:t>
            </w:r>
          </w:p>
          <w:p w14:paraId="04427688">
            <w:pPr>
              <w:adjustRightInd w:val="0"/>
              <w:snapToGrid w:val="0"/>
              <w:spacing w:line="360" w:lineRule="auto"/>
              <w:jc w:val="center"/>
              <w:rPr>
                <w:sz w:val="24"/>
              </w:rPr>
            </w:pPr>
            <w:r>
              <w:rPr>
                <w:sz w:val="24"/>
              </w:rPr>
              <w:t>表</w:t>
            </w:r>
            <w:r>
              <w:rPr>
                <w:bCs/>
                <w:sz w:val="24"/>
              </w:rPr>
              <w:t xml:space="preserve">4-12  </w:t>
            </w:r>
            <w:r>
              <w:rPr>
                <w:sz w:val="24"/>
              </w:rPr>
              <w:t>项目主要噪声源排放情况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66"/>
              <w:gridCol w:w="968"/>
              <w:gridCol w:w="969"/>
              <w:gridCol w:w="969"/>
              <w:gridCol w:w="968"/>
              <w:gridCol w:w="969"/>
              <w:gridCol w:w="970"/>
            </w:tblGrid>
            <w:tr w14:paraId="3EEB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3" w:type="dxa"/>
                  <w:tcBorders>
                    <w:top w:val="single" w:color="auto" w:sz="4" w:space="0"/>
                    <w:left w:val="single" w:color="auto" w:sz="4" w:space="0"/>
                    <w:bottom w:val="single" w:color="auto" w:sz="4" w:space="0"/>
                    <w:right w:val="single" w:color="auto" w:sz="4" w:space="0"/>
                  </w:tcBorders>
                  <w:vAlign w:val="center"/>
                </w:tcPr>
                <w:p w14:paraId="060FE350">
                  <w:pPr>
                    <w:adjustRightInd w:val="0"/>
                    <w:snapToGrid w:val="0"/>
                    <w:jc w:val="center"/>
                    <w:rPr>
                      <w:szCs w:val="21"/>
                    </w:rPr>
                  </w:pPr>
                  <w:r>
                    <w:rPr>
                      <w:rFonts w:hint="eastAsia"/>
                      <w:szCs w:val="21"/>
                    </w:rPr>
                    <w:t>序号</w:t>
                  </w:r>
                </w:p>
              </w:tc>
              <w:tc>
                <w:tcPr>
                  <w:tcW w:w="1664" w:type="dxa"/>
                  <w:tcBorders>
                    <w:top w:val="single" w:color="auto" w:sz="4" w:space="0"/>
                    <w:left w:val="single" w:color="auto" w:sz="4" w:space="0"/>
                    <w:bottom w:val="single" w:color="auto" w:sz="4" w:space="0"/>
                    <w:right w:val="single" w:color="auto" w:sz="4" w:space="0"/>
                  </w:tcBorders>
                  <w:vAlign w:val="center"/>
                </w:tcPr>
                <w:p w14:paraId="506E3B9E">
                  <w:pPr>
                    <w:adjustRightInd w:val="0"/>
                    <w:snapToGrid w:val="0"/>
                    <w:jc w:val="center"/>
                    <w:rPr>
                      <w:szCs w:val="21"/>
                    </w:rPr>
                  </w:pPr>
                  <w:r>
                    <w:rPr>
                      <w:rFonts w:hint="eastAsia"/>
                      <w:szCs w:val="21"/>
                    </w:rPr>
                    <w:t>设备名称</w:t>
                  </w:r>
                </w:p>
              </w:tc>
              <w:tc>
                <w:tcPr>
                  <w:tcW w:w="967" w:type="dxa"/>
                  <w:tcBorders>
                    <w:top w:val="single" w:color="auto" w:sz="4" w:space="0"/>
                    <w:left w:val="single" w:color="auto" w:sz="4" w:space="0"/>
                    <w:bottom w:val="single" w:color="auto" w:sz="4" w:space="0"/>
                    <w:right w:val="single" w:color="auto" w:sz="4" w:space="0"/>
                  </w:tcBorders>
                  <w:vAlign w:val="center"/>
                </w:tcPr>
                <w:p w14:paraId="1DAC6494">
                  <w:pPr>
                    <w:adjustRightInd w:val="0"/>
                    <w:snapToGrid w:val="0"/>
                    <w:jc w:val="center"/>
                    <w:rPr>
                      <w:szCs w:val="21"/>
                    </w:rPr>
                  </w:pPr>
                  <w:r>
                    <w:rPr>
                      <w:rFonts w:hint="eastAsia"/>
                      <w:szCs w:val="21"/>
                    </w:rPr>
                    <w:t>噪声源</w:t>
                  </w:r>
                </w:p>
                <w:p w14:paraId="772F5041">
                  <w:pPr>
                    <w:adjustRightInd w:val="0"/>
                    <w:snapToGrid w:val="0"/>
                    <w:jc w:val="center"/>
                    <w:rPr>
                      <w:szCs w:val="21"/>
                    </w:rPr>
                  </w:pPr>
                  <w:r>
                    <w:rPr>
                      <w:szCs w:val="21"/>
                    </w:rPr>
                    <w:t>dB</w:t>
                  </w:r>
                  <w:r>
                    <w:rPr>
                      <w:rFonts w:hint="eastAsia"/>
                      <w:szCs w:val="21"/>
                    </w:rPr>
                    <w:t>（</w:t>
                  </w:r>
                  <w:r>
                    <w:rPr>
                      <w:szCs w:val="21"/>
                    </w:rPr>
                    <w:t>A</w:t>
                  </w:r>
                  <w:r>
                    <w:rPr>
                      <w:rFonts w:hint="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14:paraId="63B281B0">
                  <w:pPr>
                    <w:adjustRightInd w:val="0"/>
                    <w:snapToGrid w:val="0"/>
                    <w:jc w:val="center"/>
                    <w:rPr>
                      <w:szCs w:val="21"/>
                    </w:rPr>
                  </w:pPr>
                  <w:r>
                    <w:rPr>
                      <w:rFonts w:hint="eastAsia"/>
                      <w:szCs w:val="21"/>
                    </w:rPr>
                    <w:t>数量（台）</w:t>
                  </w:r>
                </w:p>
              </w:tc>
              <w:tc>
                <w:tcPr>
                  <w:tcW w:w="968" w:type="dxa"/>
                  <w:tcBorders>
                    <w:top w:val="single" w:color="auto" w:sz="4" w:space="0"/>
                    <w:left w:val="single" w:color="auto" w:sz="4" w:space="0"/>
                    <w:bottom w:val="single" w:color="auto" w:sz="4" w:space="0"/>
                    <w:right w:val="single" w:color="auto" w:sz="4" w:space="0"/>
                  </w:tcBorders>
                  <w:vAlign w:val="center"/>
                </w:tcPr>
                <w:p w14:paraId="2CE5B04E">
                  <w:pPr>
                    <w:adjustRightInd w:val="0"/>
                    <w:snapToGrid w:val="0"/>
                    <w:jc w:val="center"/>
                    <w:rPr>
                      <w:szCs w:val="21"/>
                    </w:rPr>
                  </w:pPr>
                  <w:r>
                    <w:rPr>
                      <w:rFonts w:hint="eastAsia"/>
                      <w:szCs w:val="21"/>
                    </w:rPr>
                    <w:t>与东厂界最近距离</w:t>
                  </w:r>
                </w:p>
                <w:p w14:paraId="457E1067">
                  <w:pPr>
                    <w:adjustRightInd w:val="0"/>
                    <w:snapToGrid w:val="0"/>
                    <w:jc w:val="center"/>
                    <w:rPr>
                      <w:szCs w:val="21"/>
                    </w:rPr>
                  </w:pPr>
                  <w:r>
                    <w:rPr>
                      <w:rFonts w:hint="eastAsia"/>
                      <w:szCs w:val="21"/>
                    </w:rPr>
                    <w:t>（</w:t>
                  </w:r>
                  <w:r>
                    <w:rPr>
                      <w:szCs w:val="21"/>
                    </w:rPr>
                    <w:t>m</w:t>
                  </w:r>
                  <w:r>
                    <w:rPr>
                      <w:rFonts w:hint="eastAsia"/>
                      <w:szCs w:val="21"/>
                    </w:rPr>
                    <w:t>）</w:t>
                  </w:r>
                </w:p>
              </w:tc>
              <w:tc>
                <w:tcPr>
                  <w:tcW w:w="967" w:type="dxa"/>
                  <w:tcBorders>
                    <w:top w:val="single" w:color="auto" w:sz="4" w:space="0"/>
                    <w:left w:val="single" w:color="auto" w:sz="4" w:space="0"/>
                    <w:bottom w:val="single" w:color="auto" w:sz="4" w:space="0"/>
                    <w:right w:val="single" w:color="auto" w:sz="4" w:space="0"/>
                  </w:tcBorders>
                  <w:vAlign w:val="center"/>
                </w:tcPr>
                <w:p w14:paraId="40359C5F">
                  <w:pPr>
                    <w:adjustRightInd w:val="0"/>
                    <w:snapToGrid w:val="0"/>
                    <w:jc w:val="center"/>
                    <w:rPr>
                      <w:szCs w:val="21"/>
                    </w:rPr>
                  </w:pPr>
                  <w:r>
                    <w:rPr>
                      <w:rFonts w:hint="eastAsia"/>
                      <w:szCs w:val="21"/>
                    </w:rPr>
                    <w:t>与南厂界最近距离</w:t>
                  </w:r>
                </w:p>
                <w:p w14:paraId="52851BC8">
                  <w:pPr>
                    <w:adjustRightInd w:val="0"/>
                    <w:snapToGrid w:val="0"/>
                    <w:jc w:val="center"/>
                    <w:rPr>
                      <w:szCs w:val="21"/>
                    </w:rPr>
                  </w:pPr>
                  <w:r>
                    <w:rPr>
                      <w:rFonts w:hint="eastAsia"/>
                      <w:szCs w:val="21"/>
                    </w:rPr>
                    <w:t>（</w:t>
                  </w:r>
                  <w:r>
                    <w:rPr>
                      <w:szCs w:val="21"/>
                    </w:rPr>
                    <w:t>m</w:t>
                  </w:r>
                  <w:r>
                    <w:rPr>
                      <w:rFonts w:hint="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14:paraId="21E4FD07">
                  <w:pPr>
                    <w:adjustRightInd w:val="0"/>
                    <w:snapToGrid w:val="0"/>
                    <w:jc w:val="center"/>
                    <w:rPr>
                      <w:szCs w:val="21"/>
                    </w:rPr>
                  </w:pPr>
                  <w:r>
                    <w:rPr>
                      <w:rFonts w:hint="eastAsia"/>
                      <w:szCs w:val="21"/>
                    </w:rPr>
                    <w:t>与西厂界最近距离</w:t>
                  </w:r>
                </w:p>
                <w:p w14:paraId="77876769">
                  <w:pPr>
                    <w:adjustRightInd w:val="0"/>
                    <w:snapToGrid w:val="0"/>
                    <w:jc w:val="center"/>
                    <w:rPr>
                      <w:szCs w:val="21"/>
                    </w:rPr>
                  </w:pPr>
                  <w:r>
                    <w:rPr>
                      <w:rFonts w:hint="eastAsia"/>
                      <w:szCs w:val="21"/>
                    </w:rPr>
                    <w:t>（</w:t>
                  </w:r>
                  <w:r>
                    <w:rPr>
                      <w:szCs w:val="21"/>
                    </w:rPr>
                    <w:t>m</w:t>
                  </w:r>
                  <w:r>
                    <w:rPr>
                      <w:rFonts w:hint="eastAsia"/>
                      <w:szCs w:val="21"/>
                    </w:rPr>
                    <w:t>）</w:t>
                  </w:r>
                </w:p>
              </w:tc>
              <w:tc>
                <w:tcPr>
                  <w:tcW w:w="968" w:type="dxa"/>
                  <w:tcBorders>
                    <w:top w:val="single" w:color="auto" w:sz="4" w:space="0"/>
                    <w:left w:val="single" w:color="auto" w:sz="4" w:space="0"/>
                    <w:bottom w:val="single" w:color="auto" w:sz="4" w:space="0"/>
                    <w:right w:val="single" w:color="auto" w:sz="4" w:space="0"/>
                  </w:tcBorders>
                  <w:vAlign w:val="center"/>
                </w:tcPr>
                <w:p w14:paraId="45E35576">
                  <w:pPr>
                    <w:adjustRightInd w:val="0"/>
                    <w:snapToGrid w:val="0"/>
                    <w:jc w:val="center"/>
                    <w:rPr>
                      <w:szCs w:val="21"/>
                    </w:rPr>
                  </w:pPr>
                  <w:r>
                    <w:rPr>
                      <w:rFonts w:hint="eastAsia"/>
                      <w:szCs w:val="21"/>
                    </w:rPr>
                    <w:t>与北厂界最近距离</w:t>
                  </w:r>
                </w:p>
                <w:p w14:paraId="420669AF">
                  <w:pPr>
                    <w:adjustRightInd w:val="0"/>
                    <w:snapToGrid w:val="0"/>
                    <w:jc w:val="center"/>
                    <w:rPr>
                      <w:szCs w:val="21"/>
                    </w:rPr>
                  </w:pPr>
                  <w:r>
                    <w:rPr>
                      <w:rFonts w:hint="eastAsia"/>
                      <w:szCs w:val="21"/>
                    </w:rPr>
                    <w:t>（</w:t>
                  </w:r>
                  <w:r>
                    <w:rPr>
                      <w:szCs w:val="21"/>
                    </w:rPr>
                    <w:t>m</w:t>
                  </w:r>
                  <w:r>
                    <w:rPr>
                      <w:rFonts w:hint="eastAsia"/>
                      <w:szCs w:val="21"/>
                    </w:rPr>
                    <w:t>）</w:t>
                  </w:r>
                </w:p>
              </w:tc>
            </w:tr>
            <w:tr w14:paraId="76FF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07291368">
                  <w:pPr>
                    <w:jc w:val="center"/>
                    <w:rPr>
                      <w:sz w:val="22"/>
                      <w:szCs w:val="22"/>
                    </w:rPr>
                  </w:pPr>
                  <w:r>
                    <w:rPr>
                      <w:sz w:val="22"/>
                      <w:szCs w:val="22"/>
                    </w:rPr>
                    <w:t>1</w:t>
                  </w:r>
                </w:p>
              </w:tc>
              <w:tc>
                <w:tcPr>
                  <w:tcW w:w="1664" w:type="dxa"/>
                  <w:tcBorders>
                    <w:top w:val="single" w:color="auto" w:sz="4" w:space="0"/>
                    <w:left w:val="single" w:color="auto" w:sz="4" w:space="0"/>
                    <w:bottom w:val="single" w:color="auto" w:sz="4" w:space="0"/>
                    <w:right w:val="single" w:color="auto" w:sz="4" w:space="0"/>
                  </w:tcBorders>
                  <w:vAlign w:val="center"/>
                </w:tcPr>
                <w:p w14:paraId="50093042">
                  <w:pPr>
                    <w:widowControl/>
                    <w:jc w:val="center"/>
                    <w:rPr>
                      <w:kern w:val="0"/>
                      <w:szCs w:val="21"/>
                    </w:rPr>
                  </w:pPr>
                  <w:r>
                    <w:rPr>
                      <w:rFonts w:hint="eastAsia"/>
                      <w:szCs w:val="21"/>
                    </w:rPr>
                    <w:t>熔化炉</w:t>
                  </w:r>
                </w:p>
              </w:tc>
              <w:tc>
                <w:tcPr>
                  <w:tcW w:w="967" w:type="dxa"/>
                  <w:tcBorders>
                    <w:top w:val="single" w:color="auto" w:sz="4" w:space="0"/>
                    <w:left w:val="single" w:color="auto" w:sz="4" w:space="0"/>
                    <w:bottom w:val="single" w:color="auto" w:sz="4" w:space="0"/>
                    <w:right w:val="single" w:color="auto" w:sz="4" w:space="0"/>
                  </w:tcBorders>
                  <w:vAlign w:val="center"/>
                </w:tcPr>
                <w:p w14:paraId="08611C7E">
                  <w:pPr>
                    <w:jc w:val="center"/>
                    <w:rPr>
                      <w:rFonts w:eastAsia="等线"/>
                      <w:sz w:val="22"/>
                      <w:szCs w:val="22"/>
                    </w:rPr>
                  </w:pPr>
                  <w:r>
                    <w:rPr>
                      <w:rFonts w:eastAsia="等线"/>
                      <w:sz w:val="22"/>
                      <w:szCs w:val="22"/>
                    </w:rPr>
                    <w:t>70</w:t>
                  </w:r>
                </w:p>
              </w:tc>
              <w:tc>
                <w:tcPr>
                  <w:tcW w:w="968" w:type="dxa"/>
                  <w:tcBorders>
                    <w:top w:val="single" w:color="auto" w:sz="4" w:space="0"/>
                    <w:left w:val="single" w:color="auto" w:sz="4" w:space="0"/>
                    <w:bottom w:val="single" w:color="auto" w:sz="4" w:space="0"/>
                    <w:right w:val="single" w:color="auto" w:sz="4" w:space="0"/>
                  </w:tcBorders>
                  <w:vAlign w:val="center"/>
                </w:tcPr>
                <w:p w14:paraId="337ADD2A">
                  <w:pPr>
                    <w:jc w:val="center"/>
                    <w:rPr>
                      <w:rFonts w:eastAsia="等线"/>
                      <w:szCs w:val="21"/>
                    </w:rPr>
                  </w:pPr>
                  <w:r>
                    <w:rPr>
                      <w:rFonts w:eastAsia="等线"/>
                      <w:szCs w:val="21"/>
                    </w:rPr>
                    <w:t>2</w:t>
                  </w:r>
                </w:p>
              </w:tc>
              <w:tc>
                <w:tcPr>
                  <w:tcW w:w="968" w:type="dxa"/>
                  <w:tcBorders>
                    <w:top w:val="single" w:color="auto" w:sz="4" w:space="0"/>
                    <w:left w:val="single" w:color="auto" w:sz="4" w:space="0"/>
                    <w:bottom w:val="single" w:color="auto" w:sz="4" w:space="0"/>
                    <w:right w:val="single" w:color="auto" w:sz="4" w:space="0"/>
                  </w:tcBorders>
                  <w:vAlign w:val="center"/>
                </w:tcPr>
                <w:p w14:paraId="398C8FD3">
                  <w:pPr>
                    <w:jc w:val="center"/>
                    <w:rPr>
                      <w:rFonts w:eastAsia="等线"/>
                      <w:szCs w:val="21"/>
                    </w:rPr>
                  </w:pPr>
                  <w:r>
                    <w:rPr>
                      <w:rFonts w:eastAsia="等线"/>
                      <w:szCs w:val="21"/>
                    </w:rPr>
                    <w:t>41</w:t>
                  </w:r>
                </w:p>
              </w:tc>
              <w:tc>
                <w:tcPr>
                  <w:tcW w:w="967" w:type="dxa"/>
                  <w:tcBorders>
                    <w:top w:val="single" w:color="auto" w:sz="4" w:space="0"/>
                    <w:left w:val="single" w:color="auto" w:sz="4" w:space="0"/>
                    <w:bottom w:val="single" w:color="auto" w:sz="4" w:space="0"/>
                    <w:right w:val="single" w:color="auto" w:sz="4" w:space="0"/>
                  </w:tcBorders>
                  <w:vAlign w:val="center"/>
                </w:tcPr>
                <w:p w14:paraId="7D5C0DBE">
                  <w:pPr>
                    <w:jc w:val="center"/>
                    <w:rPr>
                      <w:rFonts w:eastAsia="等线"/>
                      <w:szCs w:val="21"/>
                    </w:rPr>
                  </w:pPr>
                  <w:r>
                    <w:rPr>
                      <w:rFonts w:eastAsia="等线"/>
                      <w:szCs w:val="21"/>
                    </w:rPr>
                    <w:t>33</w:t>
                  </w:r>
                </w:p>
              </w:tc>
              <w:tc>
                <w:tcPr>
                  <w:tcW w:w="968" w:type="dxa"/>
                  <w:tcBorders>
                    <w:top w:val="single" w:color="auto" w:sz="4" w:space="0"/>
                    <w:left w:val="single" w:color="auto" w:sz="4" w:space="0"/>
                    <w:bottom w:val="single" w:color="auto" w:sz="4" w:space="0"/>
                    <w:right w:val="single" w:color="auto" w:sz="4" w:space="0"/>
                  </w:tcBorders>
                  <w:vAlign w:val="center"/>
                </w:tcPr>
                <w:p w14:paraId="60E8663B">
                  <w:pPr>
                    <w:jc w:val="center"/>
                    <w:rPr>
                      <w:rFonts w:eastAsia="等线"/>
                      <w:szCs w:val="21"/>
                    </w:rPr>
                  </w:pPr>
                  <w:r>
                    <w:rPr>
                      <w:rFonts w:eastAsia="等线"/>
                      <w:szCs w:val="21"/>
                    </w:rPr>
                    <w:t>132</w:t>
                  </w:r>
                </w:p>
              </w:tc>
              <w:tc>
                <w:tcPr>
                  <w:tcW w:w="968" w:type="dxa"/>
                  <w:tcBorders>
                    <w:top w:val="single" w:color="auto" w:sz="4" w:space="0"/>
                    <w:left w:val="single" w:color="auto" w:sz="4" w:space="0"/>
                    <w:bottom w:val="single" w:color="auto" w:sz="4" w:space="0"/>
                    <w:right w:val="single" w:color="auto" w:sz="4" w:space="0"/>
                  </w:tcBorders>
                  <w:vAlign w:val="center"/>
                </w:tcPr>
                <w:p w14:paraId="4972D78F">
                  <w:pPr>
                    <w:jc w:val="center"/>
                    <w:rPr>
                      <w:rFonts w:eastAsia="等线"/>
                      <w:szCs w:val="21"/>
                    </w:rPr>
                  </w:pPr>
                  <w:r>
                    <w:rPr>
                      <w:rFonts w:eastAsia="等线"/>
                      <w:szCs w:val="21"/>
                    </w:rPr>
                    <w:t>146</w:t>
                  </w:r>
                </w:p>
              </w:tc>
            </w:tr>
            <w:tr w14:paraId="658E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7976BBC1">
                  <w:pPr>
                    <w:jc w:val="center"/>
                    <w:rPr>
                      <w:sz w:val="22"/>
                      <w:szCs w:val="22"/>
                    </w:rPr>
                  </w:pPr>
                  <w:r>
                    <w:rPr>
                      <w:sz w:val="22"/>
                      <w:szCs w:val="22"/>
                    </w:rPr>
                    <w:t>2</w:t>
                  </w:r>
                </w:p>
              </w:tc>
              <w:tc>
                <w:tcPr>
                  <w:tcW w:w="1664" w:type="dxa"/>
                  <w:tcBorders>
                    <w:top w:val="single" w:color="auto" w:sz="4" w:space="0"/>
                    <w:left w:val="single" w:color="auto" w:sz="4" w:space="0"/>
                    <w:bottom w:val="single" w:color="auto" w:sz="4" w:space="0"/>
                    <w:right w:val="single" w:color="auto" w:sz="4" w:space="0"/>
                  </w:tcBorders>
                  <w:vAlign w:val="center"/>
                </w:tcPr>
                <w:p w14:paraId="1435A629">
                  <w:pPr>
                    <w:jc w:val="center"/>
                    <w:rPr>
                      <w:rFonts w:ascii="宋体" w:hAnsi="宋体" w:cs="宋体"/>
                      <w:szCs w:val="21"/>
                    </w:rPr>
                  </w:pPr>
                  <w:r>
                    <w:rPr>
                      <w:rFonts w:hint="eastAsia"/>
                      <w:szCs w:val="21"/>
                    </w:rPr>
                    <w:t>压铸机</w:t>
                  </w:r>
                </w:p>
              </w:tc>
              <w:tc>
                <w:tcPr>
                  <w:tcW w:w="967" w:type="dxa"/>
                  <w:tcBorders>
                    <w:top w:val="single" w:color="auto" w:sz="4" w:space="0"/>
                    <w:left w:val="single" w:color="auto" w:sz="4" w:space="0"/>
                    <w:bottom w:val="single" w:color="auto" w:sz="4" w:space="0"/>
                    <w:right w:val="single" w:color="auto" w:sz="4" w:space="0"/>
                  </w:tcBorders>
                  <w:vAlign w:val="center"/>
                </w:tcPr>
                <w:p w14:paraId="561F6BC6">
                  <w:pPr>
                    <w:jc w:val="center"/>
                    <w:rPr>
                      <w:rFonts w:eastAsia="等线"/>
                      <w:sz w:val="22"/>
                      <w:szCs w:val="22"/>
                    </w:rPr>
                  </w:pPr>
                  <w:r>
                    <w:rPr>
                      <w:rFonts w:eastAsia="等线"/>
                      <w:sz w:val="22"/>
                      <w:szCs w:val="22"/>
                    </w:rPr>
                    <w:t>80</w:t>
                  </w:r>
                </w:p>
              </w:tc>
              <w:tc>
                <w:tcPr>
                  <w:tcW w:w="968" w:type="dxa"/>
                  <w:tcBorders>
                    <w:top w:val="single" w:color="auto" w:sz="4" w:space="0"/>
                    <w:left w:val="single" w:color="auto" w:sz="4" w:space="0"/>
                    <w:bottom w:val="single" w:color="auto" w:sz="4" w:space="0"/>
                    <w:right w:val="single" w:color="auto" w:sz="4" w:space="0"/>
                  </w:tcBorders>
                  <w:vAlign w:val="center"/>
                </w:tcPr>
                <w:p w14:paraId="16608BF3">
                  <w:pPr>
                    <w:jc w:val="center"/>
                    <w:rPr>
                      <w:rFonts w:eastAsia="等线"/>
                      <w:szCs w:val="21"/>
                    </w:rPr>
                  </w:pPr>
                  <w:r>
                    <w:rPr>
                      <w:rFonts w:eastAsia="等线"/>
                      <w:szCs w:val="21"/>
                    </w:rPr>
                    <w:t>12</w:t>
                  </w:r>
                </w:p>
              </w:tc>
              <w:tc>
                <w:tcPr>
                  <w:tcW w:w="968" w:type="dxa"/>
                  <w:tcBorders>
                    <w:top w:val="single" w:color="auto" w:sz="4" w:space="0"/>
                    <w:left w:val="single" w:color="auto" w:sz="4" w:space="0"/>
                    <w:bottom w:val="single" w:color="auto" w:sz="4" w:space="0"/>
                    <w:right w:val="single" w:color="auto" w:sz="4" w:space="0"/>
                  </w:tcBorders>
                  <w:vAlign w:val="center"/>
                </w:tcPr>
                <w:p w14:paraId="496F79F2">
                  <w:pPr>
                    <w:jc w:val="center"/>
                    <w:rPr>
                      <w:rFonts w:eastAsia="等线"/>
                      <w:szCs w:val="21"/>
                    </w:rPr>
                  </w:pPr>
                  <w:r>
                    <w:rPr>
                      <w:rFonts w:eastAsia="等线"/>
                      <w:szCs w:val="21"/>
                    </w:rPr>
                    <w:t>55</w:t>
                  </w:r>
                </w:p>
              </w:tc>
              <w:tc>
                <w:tcPr>
                  <w:tcW w:w="967" w:type="dxa"/>
                  <w:tcBorders>
                    <w:top w:val="single" w:color="auto" w:sz="4" w:space="0"/>
                    <w:left w:val="single" w:color="auto" w:sz="4" w:space="0"/>
                    <w:bottom w:val="single" w:color="auto" w:sz="4" w:space="0"/>
                    <w:right w:val="single" w:color="auto" w:sz="4" w:space="0"/>
                  </w:tcBorders>
                  <w:vAlign w:val="center"/>
                </w:tcPr>
                <w:p w14:paraId="71C581BD">
                  <w:pPr>
                    <w:jc w:val="center"/>
                    <w:rPr>
                      <w:rFonts w:eastAsia="等线"/>
                      <w:szCs w:val="21"/>
                    </w:rPr>
                  </w:pPr>
                  <w:r>
                    <w:rPr>
                      <w:rFonts w:eastAsia="等线"/>
                      <w:szCs w:val="21"/>
                    </w:rPr>
                    <w:t>28</w:t>
                  </w:r>
                </w:p>
              </w:tc>
              <w:tc>
                <w:tcPr>
                  <w:tcW w:w="968" w:type="dxa"/>
                  <w:tcBorders>
                    <w:top w:val="single" w:color="auto" w:sz="4" w:space="0"/>
                    <w:left w:val="single" w:color="auto" w:sz="4" w:space="0"/>
                    <w:bottom w:val="single" w:color="auto" w:sz="4" w:space="0"/>
                    <w:right w:val="single" w:color="auto" w:sz="4" w:space="0"/>
                  </w:tcBorders>
                  <w:vAlign w:val="center"/>
                </w:tcPr>
                <w:p w14:paraId="5B2341ED">
                  <w:pPr>
                    <w:jc w:val="center"/>
                    <w:rPr>
                      <w:rFonts w:eastAsia="等线"/>
                      <w:szCs w:val="21"/>
                    </w:rPr>
                  </w:pPr>
                  <w:r>
                    <w:rPr>
                      <w:rFonts w:eastAsia="等线"/>
                      <w:szCs w:val="21"/>
                    </w:rPr>
                    <w:t>64</w:t>
                  </w:r>
                </w:p>
              </w:tc>
              <w:tc>
                <w:tcPr>
                  <w:tcW w:w="968" w:type="dxa"/>
                  <w:tcBorders>
                    <w:top w:val="single" w:color="auto" w:sz="4" w:space="0"/>
                    <w:left w:val="single" w:color="auto" w:sz="4" w:space="0"/>
                    <w:bottom w:val="single" w:color="auto" w:sz="4" w:space="0"/>
                    <w:right w:val="single" w:color="auto" w:sz="4" w:space="0"/>
                  </w:tcBorders>
                  <w:vAlign w:val="center"/>
                </w:tcPr>
                <w:p w14:paraId="2F083C23">
                  <w:pPr>
                    <w:jc w:val="center"/>
                    <w:rPr>
                      <w:rFonts w:eastAsia="等线"/>
                      <w:szCs w:val="21"/>
                    </w:rPr>
                  </w:pPr>
                  <w:r>
                    <w:rPr>
                      <w:rFonts w:eastAsia="等线"/>
                      <w:szCs w:val="21"/>
                    </w:rPr>
                    <w:t>125</w:t>
                  </w:r>
                </w:p>
              </w:tc>
            </w:tr>
            <w:tr w14:paraId="0FC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349902E6">
                  <w:pPr>
                    <w:jc w:val="center"/>
                    <w:rPr>
                      <w:sz w:val="22"/>
                      <w:szCs w:val="22"/>
                    </w:rPr>
                  </w:pPr>
                  <w:r>
                    <w:rPr>
                      <w:sz w:val="22"/>
                      <w:szCs w:val="22"/>
                    </w:rPr>
                    <w:t>3</w:t>
                  </w:r>
                </w:p>
              </w:tc>
              <w:tc>
                <w:tcPr>
                  <w:tcW w:w="1664" w:type="dxa"/>
                  <w:tcBorders>
                    <w:top w:val="single" w:color="auto" w:sz="4" w:space="0"/>
                    <w:left w:val="single" w:color="auto" w:sz="4" w:space="0"/>
                    <w:bottom w:val="single" w:color="auto" w:sz="4" w:space="0"/>
                    <w:right w:val="single" w:color="auto" w:sz="4" w:space="0"/>
                  </w:tcBorders>
                  <w:vAlign w:val="center"/>
                </w:tcPr>
                <w:p w14:paraId="4B82135B">
                  <w:pPr>
                    <w:jc w:val="center"/>
                    <w:rPr>
                      <w:rFonts w:ascii="宋体" w:hAnsi="宋体" w:cs="宋体"/>
                      <w:szCs w:val="21"/>
                    </w:rPr>
                  </w:pPr>
                  <w:r>
                    <w:rPr>
                      <w:rFonts w:hint="eastAsia"/>
                      <w:szCs w:val="21"/>
                    </w:rPr>
                    <w:t>抛丸机</w:t>
                  </w:r>
                </w:p>
              </w:tc>
              <w:tc>
                <w:tcPr>
                  <w:tcW w:w="967" w:type="dxa"/>
                  <w:tcBorders>
                    <w:top w:val="single" w:color="auto" w:sz="4" w:space="0"/>
                    <w:left w:val="single" w:color="auto" w:sz="4" w:space="0"/>
                    <w:bottom w:val="single" w:color="auto" w:sz="4" w:space="0"/>
                    <w:right w:val="single" w:color="auto" w:sz="4" w:space="0"/>
                  </w:tcBorders>
                  <w:vAlign w:val="center"/>
                </w:tcPr>
                <w:p w14:paraId="41A96963">
                  <w:pPr>
                    <w:jc w:val="center"/>
                    <w:rPr>
                      <w:rFonts w:eastAsia="等线"/>
                      <w:sz w:val="22"/>
                      <w:szCs w:val="22"/>
                    </w:rPr>
                  </w:pPr>
                  <w:r>
                    <w:rPr>
                      <w:rFonts w:eastAsia="等线"/>
                      <w:sz w:val="22"/>
                      <w:szCs w:val="22"/>
                    </w:rPr>
                    <w:t>90</w:t>
                  </w:r>
                </w:p>
              </w:tc>
              <w:tc>
                <w:tcPr>
                  <w:tcW w:w="968" w:type="dxa"/>
                  <w:tcBorders>
                    <w:top w:val="single" w:color="auto" w:sz="4" w:space="0"/>
                    <w:left w:val="single" w:color="auto" w:sz="4" w:space="0"/>
                    <w:bottom w:val="single" w:color="auto" w:sz="4" w:space="0"/>
                    <w:right w:val="single" w:color="auto" w:sz="4" w:space="0"/>
                  </w:tcBorders>
                  <w:vAlign w:val="center"/>
                </w:tcPr>
                <w:p w14:paraId="4B602821">
                  <w:pPr>
                    <w:jc w:val="center"/>
                    <w:rPr>
                      <w:rFonts w:eastAsia="等线"/>
                      <w:szCs w:val="21"/>
                    </w:rPr>
                  </w:pPr>
                  <w:r>
                    <w:rPr>
                      <w:rFonts w:eastAsia="等线"/>
                      <w:szCs w:val="21"/>
                    </w:rPr>
                    <w:t>4</w:t>
                  </w:r>
                </w:p>
              </w:tc>
              <w:tc>
                <w:tcPr>
                  <w:tcW w:w="968" w:type="dxa"/>
                  <w:tcBorders>
                    <w:top w:val="single" w:color="auto" w:sz="4" w:space="0"/>
                    <w:left w:val="single" w:color="auto" w:sz="4" w:space="0"/>
                    <w:bottom w:val="single" w:color="auto" w:sz="4" w:space="0"/>
                    <w:right w:val="single" w:color="auto" w:sz="4" w:space="0"/>
                  </w:tcBorders>
                  <w:vAlign w:val="center"/>
                </w:tcPr>
                <w:p w14:paraId="5B26616D">
                  <w:pPr>
                    <w:jc w:val="center"/>
                    <w:rPr>
                      <w:rFonts w:eastAsia="等线"/>
                      <w:szCs w:val="21"/>
                    </w:rPr>
                  </w:pPr>
                  <w:r>
                    <w:rPr>
                      <w:rFonts w:eastAsia="等线"/>
                      <w:szCs w:val="21"/>
                    </w:rPr>
                    <w:t>144</w:t>
                  </w:r>
                </w:p>
              </w:tc>
              <w:tc>
                <w:tcPr>
                  <w:tcW w:w="967" w:type="dxa"/>
                  <w:tcBorders>
                    <w:top w:val="single" w:color="auto" w:sz="4" w:space="0"/>
                    <w:left w:val="single" w:color="auto" w:sz="4" w:space="0"/>
                    <w:bottom w:val="single" w:color="auto" w:sz="4" w:space="0"/>
                    <w:right w:val="single" w:color="auto" w:sz="4" w:space="0"/>
                  </w:tcBorders>
                  <w:vAlign w:val="center"/>
                </w:tcPr>
                <w:p w14:paraId="19AFCAF0">
                  <w:pPr>
                    <w:jc w:val="center"/>
                    <w:rPr>
                      <w:rFonts w:eastAsia="等线"/>
                      <w:szCs w:val="21"/>
                    </w:rPr>
                  </w:pPr>
                  <w:r>
                    <w:rPr>
                      <w:rFonts w:eastAsia="等线"/>
                      <w:szCs w:val="21"/>
                    </w:rPr>
                    <w:t>104</w:t>
                  </w:r>
                </w:p>
              </w:tc>
              <w:tc>
                <w:tcPr>
                  <w:tcW w:w="968" w:type="dxa"/>
                  <w:tcBorders>
                    <w:top w:val="single" w:color="auto" w:sz="4" w:space="0"/>
                    <w:left w:val="single" w:color="auto" w:sz="4" w:space="0"/>
                    <w:bottom w:val="single" w:color="auto" w:sz="4" w:space="0"/>
                    <w:right w:val="single" w:color="auto" w:sz="4" w:space="0"/>
                  </w:tcBorders>
                  <w:vAlign w:val="center"/>
                </w:tcPr>
                <w:p w14:paraId="34897AA8">
                  <w:pPr>
                    <w:jc w:val="center"/>
                    <w:rPr>
                      <w:rFonts w:eastAsia="等线"/>
                      <w:szCs w:val="21"/>
                    </w:rPr>
                  </w:pPr>
                  <w:r>
                    <w:rPr>
                      <w:rFonts w:eastAsia="等线"/>
                      <w:szCs w:val="21"/>
                    </w:rPr>
                    <w:t>25</w:t>
                  </w:r>
                </w:p>
              </w:tc>
              <w:tc>
                <w:tcPr>
                  <w:tcW w:w="968" w:type="dxa"/>
                  <w:tcBorders>
                    <w:top w:val="single" w:color="auto" w:sz="4" w:space="0"/>
                    <w:left w:val="single" w:color="auto" w:sz="4" w:space="0"/>
                    <w:bottom w:val="single" w:color="auto" w:sz="4" w:space="0"/>
                    <w:right w:val="single" w:color="auto" w:sz="4" w:space="0"/>
                  </w:tcBorders>
                  <w:vAlign w:val="center"/>
                </w:tcPr>
                <w:p w14:paraId="61514CEE">
                  <w:pPr>
                    <w:jc w:val="center"/>
                    <w:rPr>
                      <w:rFonts w:eastAsia="等线"/>
                      <w:szCs w:val="21"/>
                    </w:rPr>
                  </w:pPr>
                  <w:r>
                    <w:rPr>
                      <w:rFonts w:eastAsia="等线"/>
                      <w:szCs w:val="21"/>
                    </w:rPr>
                    <w:t>54</w:t>
                  </w:r>
                </w:p>
              </w:tc>
            </w:tr>
            <w:tr w14:paraId="3075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70ECD5B0">
                  <w:pPr>
                    <w:jc w:val="center"/>
                    <w:rPr>
                      <w:sz w:val="22"/>
                      <w:szCs w:val="22"/>
                    </w:rPr>
                  </w:pPr>
                  <w:r>
                    <w:rPr>
                      <w:sz w:val="22"/>
                      <w:szCs w:val="22"/>
                    </w:rPr>
                    <w:t>4</w:t>
                  </w:r>
                </w:p>
              </w:tc>
              <w:tc>
                <w:tcPr>
                  <w:tcW w:w="1664" w:type="dxa"/>
                  <w:tcBorders>
                    <w:top w:val="single" w:color="auto" w:sz="4" w:space="0"/>
                    <w:left w:val="single" w:color="auto" w:sz="4" w:space="0"/>
                    <w:bottom w:val="single" w:color="auto" w:sz="4" w:space="0"/>
                    <w:right w:val="single" w:color="auto" w:sz="4" w:space="0"/>
                  </w:tcBorders>
                  <w:vAlign w:val="center"/>
                </w:tcPr>
                <w:p w14:paraId="6A437961">
                  <w:pPr>
                    <w:jc w:val="center"/>
                    <w:rPr>
                      <w:rFonts w:ascii="宋体" w:hAnsi="宋体" w:cs="宋体"/>
                      <w:szCs w:val="21"/>
                    </w:rPr>
                  </w:pPr>
                  <w:r>
                    <w:rPr>
                      <w:rFonts w:hint="eastAsia"/>
                      <w:szCs w:val="21"/>
                    </w:rPr>
                    <w:t>机加工设备</w:t>
                  </w:r>
                </w:p>
              </w:tc>
              <w:tc>
                <w:tcPr>
                  <w:tcW w:w="967" w:type="dxa"/>
                  <w:tcBorders>
                    <w:top w:val="single" w:color="auto" w:sz="4" w:space="0"/>
                    <w:left w:val="single" w:color="auto" w:sz="4" w:space="0"/>
                    <w:bottom w:val="single" w:color="auto" w:sz="4" w:space="0"/>
                    <w:right w:val="single" w:color="auto" w:sz="4" w:space="0"/>
                  </w:tcBorders>
                  <w:vAlign w:val="center"/>
                </w:tcPr>
                <w:p w14:paraId="0028B93E">
                  <w:pPr>
                    <w:jc w:val="center"/>
                    <w:rPr>
                      <w:rFonts w:eastAsia="等线"/>
                      <w:sz w:val="22"/>
                      <w:szCs w:val="22"/>
                    </w:rPr>
                  </w:pPr>
                  <w:r>
                    <w:rPr>
                      <w:rFonts w:eastAsia="等线"/>
                      <w:sz w:val="22"/>
                      <w:szCs w:val="22"/>
                    </w:rPr>
                    <w:t>75</w:t>
                  </w:r>
                </w:p>
              </w:tc>
              <w:tc>
                <w:tcPr>
                  <w:tcW w:w="968" w:type="dxa"/>
                  <w:tcBorders>
                    <w:top w:val="single" w:color="auto" w:sz="4" w:space="0"/>
                    <w:left w:val="single" w:color="auto" w:sz="4" w:space="0"/>
                    <w:bottom w:val="single" w:color="auto" w:sz="4" w:space="0"/>
                    <w:right w:val="single" w:color="auto" w:sz="4" w:space="0"/>
                  </w:tcBorders>
                  <w:vAlign w:val="center"/>
                </w:tcPr>
                <w:p w14:paraId="743AA15D">
                  <w:pPr>
                    <w:jc w:val="center"/>
                    <w:rPr>
                      <w:rFonts w:eastAsia="等线"/>
                      <w:szCs w:val="21"/>
                    </w:rPr>
                  </w:pPr>
                  <w:r>
                    <w:rPr>
                      <w:rFonts w:eastAsia="等线"/>
                      <w:szCs w:val="21"/>
                    </w:rPr>
                    <w:t>140</w:t>
                  </w:r>
                </w:p>
              </w:tc>
              <w:tc>
                <w:tcPr>
                  <w:tcW w:w="968" w:type="dxa"/>
                  <w:tcBorders>
                    <w:top w:val="single" w:color="auto" w:sz="4" w:space="0"/>
                    <w:left w:val="single" w:color="auto" w:sz="4" w:space="0"/>
                    <w:bottom w:val="single" w:color="auto" w:sz="4" w:space="0"/>
                    <w:right w:val="single" w:color="auto" w:sz="4" w:space="0"/>
                  </w:tcBorders>
                  <w:vAlign w:val="center"/>
                </w:tcPr>
                <w:p w14:paraId="71432E15">
                  <w:pPr>
                    <w:jc w:val="center"/>
                    <w:rPr>
                      <w:rFonts w:eastAsia="等线"/>
                      <w:szCs w:val="21"/>
                    </w:rPr>
                  </w:pPr>
                  <w:r>
                    <w:rPr>
                      <w:rFonts w:eastAsia="等线"/>
                      <w:szCs w:val="21"/>
                    </w:rPr>
                    <w:t>55</w:t>
                  </w:r>
                </w:p>
              </w:tc>
              <w:tc>
                <w:tcPr>
                  <w:tcW w:w="967" w:type="dxa"/>
                  <w:tcBorders>
                    <w:top w:val="single" w:color="auto" w:sz="4" w:space="0"/>
                    <w:left w:val="single" w:color="auto" w:sz="4" w:space="0"/>
                    <w:bottom w:val="single" w:color="auto" w:sz="4" w:space="0"/>
                    <w:right w:val="single" w:color="auto" w:sz="4" w:space="0"/>
                  </w:tcBorders>
                  <w:vAlign w:val="center"/>
                </w:tcPr>
                <w:p w14:paraId="4B80B095">
                  <w:pPr>
                    <w:jc w:val="center"/>
                    <w:rPr>
                      <w:rFonts w:eastAsia="等线"/>
                      <w:szCs w:val="21"/>
                    </w:rPr>
                  </w:pPr>
                  <w:r>
                    <w:rPr>
                      <w:rFonts w:eastAsia="等线"/>
                      <w:szCs w:val="21"/>
                    </w:rPr>
                    <w:t>70</w:t>
                  </w:r>
                </w:p>
              </w:tc>
              <w:tc>
                <w:tcPr>
                  <w:tcW w:w="968" w:type="dxa"/>
                  <w:tcBorders>
                    <w:top w:val="single" w:color="auto" w:sz="4" w:space="0"/>
                    <w:left w:val="single" w:color="auto" w:sz="4" w:space="0"/>
                    <w:bottom w:val="single" w:color="auto" w:sz="4" w:space="0"/>
                    <w:right w:val="single" w:color="auto" w:sz="4" w:space="0"/>
                  </w:tcBorders>
                  <w:vAlign w:val="center"/>
                </w:tcPr>
                <w:p w14:paraId="0B3A0D39">
                  <w:pPr>
                    <w:jc w:val="center"/>
                    <w:rPr>
                      <w:rFonts w:eastAsia="等线"/>
                      <w:szCs w:val="21"/>
                    </w:rPr>
                  </w:pPr>
                  <w:r>
                    <w:rPr>
                      <w:rFonts w:eastAsia="等线"/>
                      <w:szCs w:val="21"/>
                    </w:rPr>
                    <w:t>39</w:t>
                  </w:r>
                </w:p>
              </w:tc>
              <w:tc>
                <w:tcPr>
                  <w:tcW w:w="968" w:type="dxa"/>
                  <w:tcBorders>
                    <w:top w:val="single" w:color="auto" w:sz="4" w:space="0"/>
                    <w:left w:val="single" w:color="auto" w:sz="4" w:space="0"/>
                    <w:bottom w:val="single" w:color="auto" w:sz="4" w:space="0"/>
                    <w:right w:val="single" w:color="auto" w:sz="4" w:space="0"/>
                  </w:tcBorders>
                  <w:vAlign w:val="center"/>
                </w:tcPr>
                <w:p w14:paraId="39903446">
                  <w:pPr>
                    <w:jc w:val="center"/>
                    <w:rPr>
                      <w:rFonts w:eastAsia="等线"/>
                      <w:szCs w:val="21"/>
                    </w:rPr>
                  </w:pPr>
                  <w:r>
                    <w:rPr>
                      <w:rFonts w:eastAsia="等线"/>
                      <w:szCs w:val="21"/>
                    </w:rPr>
                    <w:t>80</w:t>
                  </w:r>
                </w:p>
              </w:tc>
            </w:tr>
            <w:tr w14:paraId="3292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30BD77DC">
                  <w:pPr>
                    <w:jc w:val="center"/>
                    <w:rPr>
                      <w:sz w:val="22"/>
                      <w:szCs w:val="22"/>
                    </w:rPr>
                  </w:pPr>
                  <w:r>
                    <w:rPr>
                      <w:sz w:val="22"/>
                      <w:szCs w:val="22"/>
                    </w:rPr>
                    <w:t>5</w:t>
                  </w:r>
                </w:p>
              </w:tc>
              <w:tc>
                <w:tcPr>
                  <w:tcW w:w="1664" w:type="dxa"/>
                  <w:tcBorders>
                    <w:top w:val="single" w:color="auto" w:sz="4" w:space="0"/>
                    <w:left w:val="single" w:color="auto" w:sz="4" w:space="0"/>
                    <w:bottom w:val="single" w:color="auto" w:sz="4" w:space="0"/>
                    <w:right w:val="single" w:color="auto" w:sz="4" w:space="0"/>
                  </w:tcBorders>
                  <w:vAlign w:val="center"/>
                </w:tcPr>
                <w:p w14:paraId="3C05D097">
                  <w:pPr>
                    <w:jc w:val="center"/>
                    <w:rPr>
                      <w:rFonts w:ascii="宋体" w:hAnsi="宋体" w:cs="宋体"/>
                      <w:szCs w:val="21"/>
                    </w:rPr>
                  </w:pPr>
                  <w:r>
                    <w:rPr>
                      <w:rFonts w:hint="eastAsia"/>
                      <w:szCs w:val="21"/>
                    </w:rPr>
                    <w:t>空压机</w:t>
                  </w:r>
                </w:p>
              </w:tc>
              <w:tc>
                <w:tcPr>
                  <w:tcW w:w="967" w:type="dxa"/>
                  <w:tcBorders>
                    <w:top w:val="single" w:color="auto" w:sz="4" w:space="0"/>
                    <w:left w:val="single" w:color="auto" w:sz="4" w:space="0"/>
                    <w:bottom w:val="single" w:color="auto" w:sz="4" w:space="0"/>
                    <w:right w:val="single" w:color="auto" w:sz="4" w:space="0"/>
                  </w:tcBorders>
                  <w:vAlign w:val="center"/>
                </w:tcPr>
                <w:p w14:paraId="6451188D">
                  <w:pPr>
                    <w:jc w:val="center"/>
                    <w:rPr>
                      <w:rFonts w:eastAsia="等线"/>
                      <w:sz w:val="22"/>
                      <w:szCs w:val="22"/>
                    </w:rPr>
                  </w:pPr>
                  <w:r>
                    <w:rPr>
                      <w:rFonts w:eastAsia="等线"/>
                      <w:sz w:val="22"/>
                      <w:szCs w:val="22"/>
                    </w:rPr>
                    <w:t>95</w:t>
                  </w:r>
                </w:p>
              </w:tc>
              <w:tc>
                <w:tcPr>
                  <w:tcW w:w="968" w:type="dxa"/>
                  <w:tcBorders>
                    <w:top w:val="single" w:color="auto" w:sz="4" w:space="0"/>
                    <w:left w:val="single" w:color="auto" w:sz="4" w:space="0"/>
                    <w:bottom w:val="single" w:color="auto" w:sz="4" w:space="0"/>
                    <w:right w:val="single" w:color="auto" w:sz="4" w:space="0"/>
                  </w:tcBorders>
                  <w:vAlign w:val="center"/>
                </w:tcPr>
                <w:p w14:paraId="6858D62F">
                  <w:pPr>
                    <w:jc w:val="center"/>
                    <w:rPr>
                      <w:rFonts w:eastAsia="等线"/>
                      <w:szCs w:val="21"/>
                    </w:rPr>
                  </w:pPr>
                  <w:r>
                    <w:rPr>
                      <w:rFonts w:eastAsia="等线"/>
                      <w:szCs w:val="21"/>
                    </w:rPr>
                    <w:t>5</w:t>
                  </w:r>
                </w:p>
              </w:tc>
              <w:tc>
                <w:tcPr>
                  <w:tcW w:w="968" w:type="dxa"/>
                  <w:tcBorders>
                    <w:top w:val="single" w:color="auto" w:sz="4" w:space="0"/>
                    <w:left w:val="single" w:color="auto" w:sz="4" w:space="0"/>
                    <w:bottom w:val="single" w:color="auto" w:sz="4" w:space="0"/>
                    <w:right w:val="single" w:color="auto" w:sz="4" w:space="0"/>
                  </w:tcBorders>
                  <w:vAlign w:val="center"/>
                </w:tcPr>
                <w:p w14:paraId="583458D6">
                  <w:pPr>
                    <w:jc w:val="center"/>
                    <w:rPr>
                      <w:rFonts w:eastAsia="等线"/>
                      <w:szCs w:val="21"/>
                    </w:rPr>
                  </w:pPr>
                  <w:r>
                    <w:rPr>
                      <w:rFonts w:eastAsia="等线"/>
                      <w:szCs w:val="21"/>
                    </w:rPr>
                    <w:t>53</w:t>
                  </w:r>
                </w:p>
              </w:tc>
              <w:tc>
                <w:tcPr>
                  <w:tcW w:w="967" w:type="dxa"/>
                  <w:tcBorders>
                    <w:top w:val="single" w:color="auto" w:sz="4" w:space="0"/>
                    <w:left w:val="single" w:color="auto" w:sz="4" w:space="0"/>
                    <w:bottom w:val="single" w:color="auto" w:sz="4" w:space="0"/>
                    <w:right w:val="single" w:color="auto" w:sz="4" w:space="0"/>
                  </w:tcBorders>
                  <w:vAlign w:val="center"/>
                </w:tcPr>
                <w:p w14:paraId="79BDF5A1">
                  <w:pPr>
                    <w:jc w:val="center"/>
                    <w:rPr>
                      <w:rFonts w:eastAsia="等线"/>
                      <w:szCs w:val="21"/>
                    </w:rPr>
                  </w:pPr>
                  <w:r>
                    <w:rPr>
                      <w:rFonts w:eastAsia="等线"/>
                      <w:szCs w:val="21"/>
                    </w:rPr>
                    <w:t>148</w:t>
                  </w:r>
                </w:p>
              </w:tc>
              <w:tc>
                <w:tcPr>
                  <w:tcW w:w="968" w:type="dxa"/>
                  <w:tcBorders>
                    <w:top w:val="single" w:color="auto" w:sz="4" w:space="0"/>
                    <w:left w:val="single" w:color="auto" w:sz="4" w:space="0"/>
                    <w:bottom w:val="single" w:color="auto" w:sz="4" w:space="0"/>
                    <w:right w:val="single" w:color="auto" w:sz="4" w:space="0"/>
                  </w:tcBorders>
                  <w:vAlign w:val="center"/>
                </w:tcPr>
                <w:p w14:paraId="3BEBBCA7">
                  <w:pPr>
                    <w:jc w:val="center"/>
                    <w:rPr>
                      <w:rFonts w:eastAsia="等线"/>
                      <w:szCs w:val="21"/>
                    </w:rPr>
                  </w:pPr>
                  <w:r>
                    <w:rPr>
                      <w:rFonts w:eastAsia="等线"/>
                      <w:szCs w:val="21"/>
                    </w:rPr>
                    <w:t>102</w:t>
                  </w:r>
                </w:p>
              </w:tc>
              <w:tc>
                <w:tcPr>
                  <w:tcW w:w="968" w:type="dxa"/>
                  <w:tcBorders>
                    <w:top w:val="single" w:color="auto" w:sz="4" w:space="0"/>
                    <w:left w:val="single" w:color="auto" w:sz="4" w:space="0"/>
                    <w:bottom w:val="single" w:color="auto" w:sz="4" w:space="0"/>
                    <w:right w:val="single" w:color="auto" w:sz="4" w:space="0"/>
                  </w:tcBorders>
                  <w:vAlign w:val="center"/>
                </w:tcPr>
                <w:p w14:paraId="411909A5">
                  <w:pPr>
                    <w:jc w:val="center"/>
                    <w:rPr>
                      <w:rFonts w:eastAsia="等线"/>
                      <w:szCs w:val="21"/>
                    </w:rPr>
                  </w:pPr>
                  <w:r>
                    <w:rPr>
                      <w:rFonts w:eastAsia="等线"/>
                      <w:szCs w:val="21"/>
                    </w:rPr>
                    <w:t>30</w:t>
                  </w:r>
                </w:p>
              </w:tc>
            </w:tr>
            <w:tr w14:paraId="12FA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377A1D22">
                  <w:pPr>
                    <w:jc w:val="center"/>
                    <w:rPr>
                      <w:sz w:val="22"/>
                      <w:szCs w:val="22"/>
                    </w:rPr>
                  </w:pPr>
                  <w:r>
                    <w:rPr>
                      <w:sz w:val="22"/>
                      <w:szCs w:val="22"/>
                    </w:rPr>
                    <w:t>6</w:t>
                  </w:r>
                </w:p>
              </w:tc>
              <w:tc>
                <w:tcPr>
                  <w:tcW w:w="1664" w:type="dxa"/>
                  <w:tcBorders>
                    <w:top w:val="single" w:color="auto" w:sz="4" w:space="0"/>
                    <w:left w:val="single" w:color="auto" w:sz="4" w:space="0"/>
                    <w:bottom w:val="single" w:color="auto" w:sz="4" w:space="0"/>
                    <w:right w:val="single" w:color="auto" w:sz="4" w:space="0"/>
                  </w:tcBorders>
                  <w:vAlign w:val="center"/>
                </w:tcPr>
                <w:p w14:paraId="78E89FF1">
                  <w:pPr>
                    <w:jc w:val="center"/>
                    <w:rPr>
                      <w:rFonts w:ascii="宋体" w:hAnsi="宋体" w:cs="宋体"/>
                      <w:szCs w:val="21"/>
                    </w:rPr>
                  </w:pPr>
                  <w:r>
                    <w:rPr>
                      <w:rFonts w:hint="eastAsia"/>
                      <w:szCs w:val="21"/>
                    </w:rPr>
                    <w:t>风机</w:t>
                  </w:r>
                </w:p>
              </w:tc>
              <w:tc>
                <w:tcPr>
                  <w:tcW w:w="967" w:type="dxa"/>
                  <w:tcBorders>
                    <w:top w:val="single" w:color="auto" w:sz="4" w:space="0"/>
                    <w:left w:val="single" w:color="auto" w:sz="4" w:space="0"/>
                    <w:bottom w:val="single" w:color="auto" w:sz="4" w:space="0"/>
                    <w:right w:val="single" w:color="auto" w:sz="4" w:space="0"/>
                  </w:tcBorders>
                  <w:vAlign w:val="center"/>
                </w:tcPr>
                <w:p w14:paraId="0EBD52B4">
                  <w:pPr>
                    <w:jc w:val="center"/>
                    <w:rPr>
                      <w:rFonts w:eastAsia="等线"/>
                      <w:sz w:val="22"/>
                      <w:szCs w:val="22"/>
                    </w:rPr>
                  </w:pPr>
                  <w:r>
                    <w:rPr>
                      <w:rFonts w:eastAsia="等线"/>
                      <w:sz w:val="22"/>
                      <w:szCs w:val="22"/>
                    </w:rPr>
                    <w:t>85</w:t>
                  </w:r>
                </w:p>
              </w:tc>
              <w:tc>
                <w:tcPr>
                  <w:tcW w:w="968" w:type="dxa"/>
                  <w:tcBorders>
                    <w:top w:val="single" w:color="auto" w:sz="4" w:space="0"/>
                    <w:left w:val="single" w:color="auto" w:sz="4" w:space="0"/>
                    <w:bottom w:val="single" w:color="auto" w:sz="4" w:space="0"/>
                    <w:right w:val="single" w:color="auto" w:sz="4" w:space="0"/>
                  </w:tcBorders>
                  <w:vAlign w:val="center"/>
                </w:tcPr>
                <w:p w14:paraId="26AC5106">
                  <w:pPr>
                    <w:jc w:val="center"/>
                    <w:rPr>
                      <w:rFonts w:eastAsia="等线"/>
                      <w:szCs w:val="21"/>
                    </w:rPr>
                  </w:pPr>
                  <w:r>
                    <w:rPr>
                      <w:rFonts w:eastAsia="等线"/>
                      <w:szCs w:val="21"/>
                    </w:rPr>
                    <w:t>4</w:t>
                  </w:r>
                </w:p>
              </w:tc>
              <w:tc>
                <w:tcPr>
                  <w:tcW w:w="968" w:type="dxa"/>
                  <w:tcBorders>
                    <w:top w:val="single" w:color="auto" w:sz="4" w:space="0"/>
                    <w:left w:val="single" w:color="auto" w:sz="4" w:space="0"/>
                    <w:bottom w:val="single" w:color="auto" w:sz="4" w:space="0"/>
                    <w:right w:val="single" w:color="auto" w:sz="4" w:space="0"/>
                  </w:tcBorders>
                  <w:vAlign w:val="center"/>
                </w:tcPr>
                <w:p w14:paraId="30B221CE">
                  <w:pPr>
                    <w:jc w:val="center"/>
                    <w:rPr>
                      <w:rFonts w:eastAsia="等线"/>
                      <w:szCs w:val="21"/>
                    </w:rPr>
                  </w:pPr>
                  <w:r>
                    <w:rPr>
                      <w:rFonts w:eastAsia="等线"/>
                      <w:szCs w:val="21"/>
                    </w:rPr>
                    <w:t>30</w:t>
                  </w:r>
                </w:p>
              </w:tc>
              <w:tc>
                <w:tcPr>
                  <w:tcW w:w="967" w:type="dxa"/>
                  <w:tcBorders>
                    <w:top w:val="single" w:color="auto" w:sz="4" w:space="0"/>
                    <w:left w:val="single" w:color="auto" w:sz="4" w:space="0"/>
                    <w:bottom w:val="single" w:color="auto" w:sz="4" w:space="0"/>
                    <w:right w:val="single" w:color="auto" w:sz="4" w:space="0"/>
                  </w:tcBorders>
                  <w:vAlign w:val="center"/>
                </w:tcPr>
                <w:p w14:paraId="224C1FE0">
                  <w:pPr>
                    <w:jc w:val="center"/>
                    <w:rPr>
                      <w:rFonts w:eastAsia="等线"/>
                      <w:szCs w:val="21"/>
                    </w:rPr>
                  </w:pPr>
                  <w:r>
                    <w:rPr>
                      <w:rFonts w:eastAsia="等线"/>
                      <w:szCs w:val="21"/>
                    </w:rPr>
                    <w:t>117</w:t>
                  </w:r>
                </w:p>
              </w:tc>
              <w:tc>
                <w:tcPr>
                  <w:tcW w:w="968" w:type="dxa"/>
                  <w:tcBorders>
                    <w:top w:val="single" w:color="auto" w:sz="4" w:space="0"/>
                    <w:left w:val="single" w:color="auto" w:sz="4" w:space="0"/>
                    <w:bottom w:val="single" w:color="auto" w:sz="4" w:space="0"/>
                    <w:right w:val="single" w:color="auto" w:sz="4" w:space="0"/>
                  </w:tcBorders>
                  <w:vAlign w:val="center"/>
                </w:tcPr>
                <w:p w14:paraId="6FD5E5A2">
                  <w:pPr>
                    <w:jc w:val="center"/>
                    <w:rPr>
                      <w:rFonts w:eastAsia="等线"/>
                      <w:szCs w:val="21"/>
                    </w:rPr>
                  </w:pPr>
                  <w:r>
                    <w:rPr>
                      <w:rFonts w:eastAsia="等线"/>
                      <w:szCs w:val="21"/>
                    </w:rPr>
                    <w:t>20</w:t>
                  </w:r>
                </w:p>
              </w:tc>
              <w:tc>
                <w:tcPr>
                  <w:tcW w:w="968" w:type="dxa"/>
                  <w:tcBorders>
                    <w:top w:val="single" w:color="auto" w:sz="4" w:space="0"/>
                    <w:left w:val="single" w:color="auto" w:sz="4" w:space="0"/>
                    <w:bottom w:val="single" w:color="auto" w:sz="4" w:space="0"/>
                    <w:right w:val="single" w:color="auto" w:sz="4" w:space="0"/>
                  </w:tcBorders>
                  <w:vAlign w:val="center"/>
                </w:tcPr>
                <w:p w14:paraId="1D16B1E5">
                  <w:pPr>
                    <w:jc w:val="center"/>
                    <w:rPr>
                      <w:rFonts w:eastAsia="等线"/>
                      <w:szCs w:val="21"/>
                    </w:rPr>
                  </w:pPr>
                  <w:r>
                    <w:rPr>
                      <w:rFonts w:eastAsia="等线"/>
                      <w:szCs w:val="21"/>
                    </w:rPr>
                    <w:t>23</w:t>
                  </w:r>
                </w:p>
              </w:tc>
            </w:tr>
            <w:tr w14:paraId="2641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123B6BF8">
                  <w:pPr>
                    <w:jc w:val="center"/>
                    <w:rPr>
                      <w:sz w:val="22"/>
                      <w:szCs w:val="22"/>
                    </w:rPr>
                  </w:pPr>
                  <w:r>
                    <w:rPr>
                      <w:sz w:val="22"/>
                      <w:szCs w:val="22"/>
                    </w:rPr>
                    <w:t>7</w:t>
                  </w:r>
                </w:p>
              </w:tc>
              <w:tc>
                <w:tcPr>
                  <w:tcW w:w="1664" w:type="dxa"/>
                  <w:tcBorders>
                    <w:top w:val="single" w:color="auto" w:sz="4" w:space="0"/>
                    <w:left w:val="single" w:color="auto" w:sz="4" w:space="0"/>
                    <w:bottom w:val="single" w:color="auto" w:sz="4" w:space="0"/>
                    <w:right w:val="single" w:color="auto" w:sz="4" w:space="0"/>
                  </w:tcBorders>
                  <w:vAlign w:val="center"/>
                </w:tcPr>
                <w:p w14:paraId="79CDB096">
                  <w:pPr>
                    <w:jc w:val="center"/>
                    <w:rPr>
                      <w:rFonts w:ascii="宋体" w:hAnsi="宋体" w:cs="宋体"/>
                      <w:szCs w:val="21"/>
                    </w:rPr>
                  </w:pPr>
                  <w:r>
                    <w:rPr>
                      <w:rFonts w:hint="eastAsia"/>
                      <w:szCs w:val="21"/>
                    </w:rPr>
                    <w:t>快丝线切割机床</w:t>
                  </w:r>
                </w:p>
              </w:tc>
              <w:tc>
                <w:tcPr>
                  <w:tcW w:w="967" w:type="dxa"/>
                  <w:tcBorders>
                    <w:top w:val="single" w:color="auto" w:sz="4" w:space="0"/>
                    <w:left w:val="single" w:color="auto" w:sz="4" w:space="0"/>
                    <w:bottom w:val="single" w:color="auto" w:sz="4" w:space="0"/>
                    <w:right w:val="single" w:color="auto" w:sz="4" w:space="0"/>
                  </w:tcBorders>
                  <w:vAlign w:val="center"/>
                </w:tcPr>
                <w:p w14:paraId="4E469EF1">
                  <w:pPr>
                    <w:jc w:val="center"/>
                    <w:rPr>
                      <w:rFonts w:eastAsia="等线"/>
                      <w:sz w:val="22"/>
                      <w:szCs w:val="22"/>
                    </w:rPr>
                  </w:pPr>
                  <w:r>
                    <w:rPr>
                      <w:rFonts w:eastAsia="等线"/>
                      <w:sz w:val="22"/>
                      <w:szCs w:val="22"/>
                    </w:rPr>
                    <w:t>80</w:t>
                  </w:r>
                </w:p>
              </w:tc>
              <w:tc>
                <w:tcPr>
                  <w:tcW w:w="968" w:type="dxa"/>
                  <w:tcBorders>
                    <w:top w:val="single" w:color="auto" w:sz="4" w:space="0"/>
                    <w:left w:val="single" w:color="auto" w:sz="4" w:space="0"/>
                    <w:bottom w:val="single" w:color="auto" w:sz="4" w:space="0"/>
                    <w:right w:val="single" w:color="auto" w:sz="4" w:space="0"/>
                  </w:tcBorders>
                  <w:vAlign w:val="center"/>
                </w:tcPr>
                <w:p w14:paraId="3D1A7F26">
                  <w:pPr>
                    <w:jc w:val="center"/>
                    <w:rPr>
                      <w:rFonts w:eastAsia="等线"/>
                      <w:szCs w:val="21"/>
                    </w:rPr>
                  </w:pPr>
                  <w:r>
                    <w:rPr>
                      <w:rFonts w:eastAsia="等线"/>
                      <w:szCs w:val="21"/>
                    </w:rPr>
                    <w:t>1</w:t>
                  </w:r>
                </w:p>
              </w:tc>
              <w:tc>
                <w:tcPr>
                  <w:tcW w:w="968" w:type="dxa"/>
                  <w:tcBorders>
                    <w:top w:val="single" w:color="auto" w:sz="4" w:space="0"/>
                    <w:left w:val="single" w:color="auto" w:sz="4" w:space="0"/>
                    <w:bottom w:val="single" w:color="auto" w:sz="4" w:space="0"/>
                    <w:right w:val="single" w:color="auto" w:sz="4" w:space="0"/>
                  </w:tcBorders>
                  <w:vAlign w:val="center"/>
                </w:tcPr>
                <w:p w14:paraId="7F662253">
                  <w:pPr>
                    <w:jc w:val="center"/>
                    <w:rPr>
                      <w:rFonts w:eastAsia="等线"/>
                      <w:szCs w:val="21"/>
                    </w:rPr>
                  </w:pPr>
                  <w:r>
                    <w:rPr>
                      <w:rFonts w:eastAsia="等线"/>
                      <w:szCs w:val="21"/>
                    </w:rPr>
                    <w:t>114</w:t>
                  </w:r>
                </w:p>
              </w:tc>
              <w:tc>
                <w:tcPr>
                  <w:tcW w:w="967" w:type="dxa"/>
                  <w:tcBorders>
                    <w:top w:val="single" w:color="auto" w:sz="4" w:space="0"/>
                    <w:left w:val="single" w:color="auto" w:sz="4" w:space="0"/>
                    <w:bottom w:val="single" w:color="auto" w:sz="4" w:space="0"/>
                    <w:right w:val="single" w:color="auto" w:sz="4" w:space="0"/>
                  </w:tcBorders>
                  <w:vAlign w:val="center"/>
                </w:tcPr>
                <w:p w14:paraId="371C8943">
                  <w:pPr>
                    <w:jc w:val="center"/>
                    <w:rPr>
                      <w:rFonts w:eastAsia="等线"/>
                      <w:szCs w:val="21"/>
                    </w:rPr>
                  </w:pPr>
                  <w:r>
                    <w:rPr>
                      <w:rFonts w:eastAsia="等线"/>
                      <w:szCs w:val="21"/>
                    </w:rPr>
                    <w:t>123</w:t>
                  </w:r>
                </w:p>
              </w:tc>
              <w:tc>
                <w:tcPr>
                  <w:tcW w:w="968" w:type="dxa"/>
                  <w:tcBorders>
                    <w:top w:val="single" w:color="auto" w:sz="4" w:space="0"/>
                    <w:left w:val="single" w:color="auto" w:sz="4" w:space="0"/>
                    <w:bottom w:val="single" w:color="auto" w:sz="4" w:space="0"/>
                    <w:right w:val="single" w:color="auto" w:sz="4" w:space="0"/>
                  </w:tcBorders>
                  <w:vAlign w:val="center"/>
                </w:tcPr>
                <w:p w14:paraId="3A379744">
                  <w:pPr>
                    <w:jc w:val="center"/>
                    <w:rPr>
                      <w:rFonts w:eastAsia="等线"/>
                      <w:szCs w:val="21"/>
                    </w:rPr>
                  </w:pPr>
                  <w:r>
                    <w:rPr>
                      <w:rFonts w:eastAsia="等线"/>
                      <w:szCs w:val="21"/>
                    </w:rPr>
                    <w:t>37</w:t>
                  </w:r>
                </w:p>
              </w:tc>
              <w:tc>
                <w:tcPr>
                  <w:tcW w:w="968" w:type="dxa"/>
                  <w:tcBorders>
                    <w:top w:val="single" w:color="auto" w:sz="4" w:space="0"/>
                    <w:left w:val="single" w:color="auto" w:sz="4" w:space="0"/>
                    <w:bottom w:val="single" w:color="auto" w:sz="4" w:space="0"/>
                    <w:right w:val="single" w:color="auto" w:sz="4" w:space="0"/>
                  </w:tcBorders>
                  <w:vAlign w:val="center"/>
                </w:tcPr>
                <w:p w14:paraId="615317B6">
                  <w:pPr>
                    <w:jc w:val="center"/>
                    <w:rPr>
                      <w:rFonts w:eastAsia="等线"/>
                      <w:szCs w:val="21"/>
                    </w:rPr>
                  </w:pPr>
                  <w:r>
                    <w:rPr>
                      <w:rFonts w:eastAsia="等线"/>
                      <w:szCs w:val="21"/>
                    </w:rPr>
                    <w:t>47</w:t>
                  </w:r>
                </w:p>
              </w:tc>
            </w:tr>
            <w:tr w14:paraId="2758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6535C6BB">
                  <w:pPr>
                    <w:jc w:val="center"/>
                    <w:rPr>
                      <w:sz w:val="22"/>
                      <w:szCs w:val="22"/>
                    </w:rPr>
                  </w:pPr>
                  <w:r>
                    <w:rPr>
                      <w:sz w:val="22"/>
                      <w:szCs w:val="22"/>
                    </w:rPr>
                    <w:t>8</w:t>
                  </w:r>
                </w:p>
              </w:tc>
              <w:tc>
                <w:tcPr>
                  <w:tcW w:w="1664" w:type="dxa"/>
                  <w:tcBorders>
                    <w:top w:val="single" w:color="auto" w:sz="4" w:space="0"/>
                    <w:left w:val="single" w:color="auto" w:sz="4" w:space="0"/>
                    <w:bottom w:val="single" w:color="auto" w:sz="4" w:space="0"/>
                    <w:right w:val="single" w:color="auto" w:sz="4" w:space="0"/>
                  </w:tcBorders>
                  <w:vAlign w:val="center"/>
                </w:tcPr>
                <w:p w14:paraId="161A3B16">
                  <w:pPr>
                    <w:jc w:val="center"/>
                    <w:rPr>
                      <w:rFonts w:ascii="宋体" w:hAnsi="宋体" w:cs="宋体"/>
                      <w:szCs w:val="21"/>
                    </w:rPr>
                  </w:pPr>
                  <w:r>
                    <w:rPr>
                      <w:rFonts w:hint="eastAsia"/>
                      <w:szCs w:val="21"/>
                    </w:rPr>
                    <w:t>平面磨床</w:t>
                  </w:r>
                </w:p>
              </w:tc>
              <w:tc>
                <w:tcPr>
                  <w:tcW w:w="967" w:type="dxa"/>
                  <w:tcBorders>
                    <w:top w:val="single" w:color="auto" w:sz="4" w:space="0"/>
                    <w:left w:val="single" w:color="auto" w:sz="4" w:space="0"/>
                    <w:bottom w:val="single" w:color="auto" w:sz="4" w:space="0"/>
                    <w:right w:val="single" w:color="auto" w:sz="4" w:space="0"/>
                  </w:tcBorders>
                  <w:vAlign w:val="center"/>
                </w:tcPr>
                <w:p w14:paraId="08134045">
                  <w:pPr>
                    <w:jc w:val="center"/>
                    <w:rPr>
                      <w:rFonts w:eastAsia="等线"/>
                      <w:sz w:val="22"/>
                      <w:szCs w:val="22"/>
                    </w:rPr>
                  </w:pPr>
                  <w:r>
                    <w:rPr>
                      <w:rFonts w:eastAsia="等线"/>
                      <w:sz w:val="22"/>
                      <w:szCs w:val="22"/>
                    </w:rPr>
                    <w:t>85</w:t>
                  </w:r>
                </w:p>
              </w:tc>
              <w:tc>
                <w:tcPr>
                  <w:tcW w:w="968" w:type="dxa"/>
                  <w:tcBorders>
                    <w:top w:val="single" w:color="auto" w:sz="4" w:space="0"/>
                    <w:left w:val="single" w:color="auto" w:sz="4" w:space="0"/>
                    <w:bottom w:val="single" w:color="auto" w:sz="4" w:space="0"/>
                    <w:right w:val="single" w:color="auto" w:sz="4" w:space="0"/>
                  </w:tcBorders>
                  <w:vAlign w:val="center"/>
                </w:tcPr>
                <w:p w14:paraId="2CC5FAC8">
                  <w:pPr>
                    <w:jc w:val="center"/>
                    <w:rPr>
                      <w:rFonts w:eastAsia="等线"/>
                      <w:szCs w:val="21"/>
                    </w:rPr>
                  </w:pPr>
                  <w:r>
                    <w:rPr>
                      <w:rFonts w:eastAsia="等线"/>
                      <w:szCs w:val="21"/>
                    </w:rPr>
                    <w:t>1</w:t>
                  </w:r>
                </w:p>
              </w:tc>
              <w:tc>
                <w:tcPr>
                  <w:tcW w:w="968" w:type="dxa"/>
                  <w:tcBorders>
                    <w:top w:val="single" w:color="auto" w:sz="4" w:space="0"/>
                    <w:left w:val="single" w:color="auto" w:sz="4" w:space="0"/>
                    <w:bottom w:val="single" w:color="auto" w:sz="4" w:space="0"/>
                    <w:right w:val="single" w:color="auto" w:sz="4" w:space="0"/>
                  </w:tcBorders>
                  <w:vAlign w:val="center"/>
                </w:tcPr>
                <w:p w14:paraId="7117B5F9">
                  <w:pPr>
                    <w:jc w:val="center"/>
                    <w:rPr>
                      <w:rFonts w:eastAsia="等线"/>
                      <w:szCs w:val="21"/>
                    </w:rPr>
                  </w:pPr>
                  <w:r>
                    <w:rPr>
                      <w:rFonts w:eastAsia="等线"/>
                      <w:szCs w:val="21"/>
                    </w:rPr>
                    <w:t>110</w:t>
                  </w:r>
                </w:p>
              </w:tc>
              <w:tc>
                <w:tcPr>
                  <w:tcW w:w="967" w:type="dxa"/>
                  <w:tcBorders>
                    <w:top w:val="single" w:color="auto" w:sz="4" w:space="0"/>
                    <w:left w:val="single" w:color="auto" w:sz="4" w:space="0"/>
                    <w:bottom w:val="single" w:color="auto" w:sz="4" w:space="0"/>
                    <w:right w:val="single" w:color="auto" w:sz="4" w:space="0"/>
                  </w:tcBorders>
                  <w:vAlign w:val="center"/>
                </w:tcPr>
                <w:p w14:paraId="2B16F7F4">
                  <w:pPr>
                    <w:jc w:val="center"/>
                    <w:rPr>
                      <w:rFonts w:eastAsia="等线"/>
                      <w:szCs w:val="21"/>
                    </w:rPr>
                  </w:pPr>
                  <w:r>
                    <w:rPr>
                      <w:rFonts w:eastAsia="等线"/>
                      <w:szCs w:val="21"/>
                    </w:rPr>
                    <w:t>120</w:t>
                  </w:r>
                </w:p>
              </w:tc>
              <w:tc>
                <w:tcPr>
                  <w:tcW w:w="968" w:type="dxa"/>
                  <w:tcBorders>
                    <w:top w:val="single" w:color="auto" w:sz="4" w:space="0"/>
                    <w:left w:val="single" w:color="auto" w:sz="4" w:space="0"/>
                    <w:bottom w:val="single" w:color="auto" w:sz="4" w:space="0"/>
                    <w:right w:val="single" w:color="auto" w:sz="4" w:space="0"/>
                  </w:tcBorders>
                  <w:vAlign w:val="center"/>
                </w:tcPr>
                <w:p w14:paraId="694B5ED8">
                  <w:pPr>
                    <w:jc w:val="center"/>
                    <w:rPr>
                      <w:rFonts w:eastAsia="等线"/>
                      <w:szCs w:val="21"/>
                    </w:rPr>
                  </w:pPr>
                  <w:r>
                    <w:rPr>
                      <w:rFonts w:eastAsia="等线"/>
                      <w:szCs w:val="21"/>
                    </w:rPr>
                    <w:t>45</w:t>
                  </w:r>
                </w:p>
              </w:tc>
              <w:tc>
                <w:tcPr>
                  <w:tcW w:w="968" w:type="dxa"/>
                  <w:tcBorders>
                    <w:top w:val="single" w:color="auto" w:sz="4" w:space="0"/>
                    <w:left w:val="single" w:color="auto" w:sz="4" w:space="0"/>
                    <w:bottom w:val="single" w:color="auto" w:sz="4" w:space="0"/>
                    <w:right w:val="single" w:color="auto" w:sz="4" w:space="0"/>
                  </w:tcBorders>
                  <w:vAlign w:val="center"/>
                </w:tcPr>
                <w:p w14:paraId="308B3815">
                  <w:pPr>
                    <w:jc w:val="center"/>
                    <w:rPr>
                      <w:rFonts w:eastAsia="等线"/>
                      <w:szCs w:val="21"/>
                    </w:rPr>
                  </w:pPr>
                  <w:r>
                    <w:rPr>
                      <w:rFonts w:eastAsia="等线"/>
                      <w:szCs w:val="21"/>
                    </w:rPr>
                    <w:t>50</w:t>
                  </w:r>
                </w:p>
              </w:tc>
            </w:tr>
            <w:tr w14:paraId="1D59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6947C365">
                  <w:pPr>
                    <w:jc w:val="center"/>
                    <w:rPr>
                      <w:sz w:val="22"/>
                      <w:szCs w:val="22"/>
                    </w:rPr>
                  </w:pPr>
                  <w:r>
                    <w:rPr>
                      <w:sz w:val="22"/>
                      <w:szCs w:val="22"/>
                    </w:rPr>
                    <w:t>9</w:t>
                  </w:r>
                </w:p>
              </w:tc>
              <w:tc>
                <w:tcPr>
                  <w:tcW w:w="1664" w:type="dxa"/>
                  <w:tcBorders>
                    <w:top w:val="single" w:color="auto" w:sz="4" w:space="0"/>
                    <w:left w:val="single" w:color="auto" w:sz="4" w:space="0"/>
                    <w:bottom w:val="single" w:color="auto" w:sz="4" w:space="0"/>
                    <w:right w:val="single" w:color="auto" w:sz="4" w:space="0"/>
                  </w:tcBorders>
                  <w:vAlign w:val="center"/>
                </w:tcPr>
                <w:p w14:paraId="1D2A0494">
                  <w:pPr>
                    <w:jc w:val="center"/>
                    <w:rPr>
                      <w:rFonts w:ascii="宋体" w:hAnsi="宋体" w:cs="宋体"/>
                      <w:szCs w:val="21"/>
                    </w:rPr>
                  </w:pPr>
                  <w:r>
                    <w:rPr>
                      <w:rFonts w:hint="eastAsia"/>
                      <w:szCs w:val="21"/>
                    </w:rPr>
                    <w:t>二级车床</w:t>
                  </w:r>
                </w:p>
              </w:tc>
              <w:tc>
                <w:tcPr>
                  <w:tcW w:w="967" w:type="dxa"/>
                  <w:tcBorders>
                    <w:top w:val="single" w:color="auto" w:sz="4" w:space="0"/>
                    <w:left w:val="single" w:color="auto" w:sz="4" w:space="0"/>
                    <w:bottom w:val="single" w:color="auto" w:sz="4" w:space="0"/>
                    <w:right w:val="single" w:color="auto" w:sz="4" w:space="0"/>
                  </w:tcBorders>
                  <w:vAlign w:val="center"/>
                </w:tcPr>
                <w:p w14:paraId="53EBCC6B">
                  <w:pPr>
                    <w:jc w:val="center"/>
                    <w:rPr>
                      <w:rFonts w:eastAsia="等线"/>
                      <w:sz w:val="22"/>
                      <w:szCs w:val="22"/>
                    </w:rPr>
                  </w:pPr>
                  <w:r>
                    <w:rPr>
                      <w:rFonts w:eastAsia="等线"/>
                      <w:sz w:val="22"/>
                      <w:szCs w:val="22"/>
                    </w:rPr>
                    <w:t>85</w:t>
                  </w:r>
                </w:p>
              </w:tc>
              <w:tc>
                <w:tcPr>
                  <w:tcW w:w="968" w:type="dxa"/>
                  <w:tcBorders>
                    <w:top w:val="single" w:color="auto" w:sz="4" w:space="0"/>
                    <w:left w:val="single" w:color="auto" w:sz="4" w:space="0"/>
                    <w:bottom w:val="single" w:color="auto" w:sz="4" w:space="0"/>
                    <w:right w:val="single" w:color="auto" w:sz="4" w:space="0"/>
                  </w:tcBorders>
                  <w:vAlign w:val="center"/>
                </w:tcPr>
                <w:p w14:paraId="7BCDFED0">
                  <w:pPr>
                    <w:jc w:val="center"/>
                    <w:rPr>
                      <w:rFonts w:eastAsia="等线"/>
                      <w:szCs w:val="21"/>
                    </w:rPr>
                  </w:pPr>
                  <w:r>
                    <w:rPr>
                      <w:rFonts w:eastAsia="等线"/>
                      <w:szCs w:val="21"/>
                    </w:rPr>
                    <w:t>2</w:t>
                  </w:r>
                </w:p>
              </w:tc>
              <w:tc>
                <w:tcPr>
                  <w:tcW w:w="968" w:type="dxa"/>
                  <w:tcBorders>
                    <w:top w:val="single" w:color="auto" w:sz="4" w:space="0"/>
                    <w:left w:val="single" w:color="auto" w:sz="4" w:space="0"/>
                    <w:bottom w:val="single" w:color="auto" w:sz="4" w:space="0"/>
                    <w:right w:val="single" w:color="auto" w:sz="4" w:space="0"/>
                  </w:tcBorders>
                  <w:vAlign w:val="center"/>
                </w:tcPr>
                <w:p w14:paraId="59050B94">
                  <w:pPr>
                    <w:jc w:val="center"/>
                    <w:rPr>
                      <w:rFonts w:eastAsia="等线"/>
                      <w:szCs w:val="21"/>
                    </w:rPr>
                  </w:pPr>
                  <w:r>
                    <w:rPr>
                      <w:rFonts w:eastAsia="等线"/>
                      <w:szCs w:val="21"/>
                    </w:rPr>
                    <w:t>115</w:t>
                  </w:r>
                </w:p>
              </w:tc>
              <w:tc>
                <w:tcPr>
                  <w:tcW w:w="967" w:type="dxa"/>
                  <w:tcBorders>
                    <w:top w:val="single" w:color="auto" w:sz="4" w:space="0"/>
                    <w:left w:val="single" w:color="auto" w:sz="4" w:space="0"/>
                    <w:bottom w:val="single" w:color="auto" w:sz="4" w:space="0"/>
                    <w:right w:val="single" w:color="auto" w:sz="4" w:space="0"/>
                  </w:tcBorders>
                  <w:vAlign w:val="center"/>
                </w:tcPr>
                <w:p w14:paraId="7DE1DEC3">
                  <w:pPr>
                    <w:jc w:val="center"/>
                    <w:rPr>
                      <w:rFonts w:eastAsia="等线"/>
                      <w:szCs w:val="21"/>
                    </w:rPr>
                  </w:pPr>
                  <w:r>
                    <w:rPr>
                      <w:rFonts w:eastAsia="等线"/>
                      <w:szCs w:val="21"/>
                    </w:rPr>
                    <w:t>110</w:t>
                  </w:r>
                </w:p>
              </w:tc>
              <w:tc>
                <w:tcPr>
                  <w:tcW w:w="968" w:type="dxa"/>
                  <w:tcBorders>
                    <w:top w:val="single" w:color="auto" w:sz="4" w:space="0"/>
                    <w:left w:val="single" w:color="auto" w:sz="4" w:space="0"/>
                    <w:bottom w:val="single" w:color="auto" w:sz="4" w:space="0"/>
                    <w:right w:val="single" w:color="auto" w:sz="4" w:space="0"/>
                  </w:tcBorders>
                  <w:vAlign w:val="center"/>
                </w:tcPr>
                <w:p w14:paraId="6F829D80">
                  <w:pPr>
                    <w:jc w:val="center"/>
                    <w:rPr>
                      <w:rFonts w:eastAsia="等线"/>
                      <w:szCs w:val="21"/>
                    </w:rPr>
                  </w:pPr>
                  <w:r>
                    <w:rPr>
                      <w:rFonts w:eastAsia="等线"/>
                      <w:szCs w:val="21"/>
                    </w:rPr>
                    <w:t>50</w:t>
                  </w:r>
                </w:p>
              </w:tc>
              <w:tc>
                <w:tcPr>
                  <w:tcW w:w="968" w:type="dxa"/>
                  <w:tcBorders>
                    <w:top w:val="single" w:color="auto" w:sz="4" w:space="0"/>
                    <w:left w:val="single" w:color="auto" w:sz="4" w:space="0"/>
                    <w:bottom w:val="single" w:color="auto" w:sz="4" w:space="0"/>
                    <w:right w:val="single" w:color="auto" w:sz="4" w:space="0"/>
                  </w:tcBorders>
                  <w:vAlign w:val="center"/>
                </w:tcPr>
                <w:p w14:paraId="1B10B022">
                  <w:pPr>
                    <w:jc w:val="center"/>
                    <w:rPr>
                      <w:rFonts w:eastAsia="等线"/>
                      <w:szCs w:val="21"/>
                    </w:rPr>
                  </w:pPr>
                  <w:r>
                    <w:rPr>
                      <w:rFonts w:eastAsia="等线"/>
                      <w:szCs w:val="21"/>
                    </w:rPr>
                    <w:t>60</w:t>
                  </w:r>
                </w:p>
              </w:tc>
            </w:tr>
            <w:tr w14:paraId="6727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dxa"/>
                  <w:tcBorders>
                    <w:top w:val="single" w:color="auto" w:sz="4" w:space="0"/>
                    <w:left w:val="single" w:color="auto" w:sz="4" w:space="0"/>
                    <w:bottom w:val="single" w:color="auto" w:sz="4" w:space="0"/>
                    <w:right w:val="single" w:color="auto" w:sz="4" w:space="0"/>
                  </w:tcBorders>
                  <w:vAlign w:val="center"/>
                </w:tcPr>
                <w:p w14:paraId="373E3C8C">
                  <w:pPr>
                    <w:jc w:val="center"/>
                    <w:rPr>
                      <w:sz w:val="22"/>
                      <w:szCs w:val="22"/>
                    </w:rPr>
                  </w:pPr>
                  <w:r>
                    <w:rPr>
                      <w:sz w:val="22"/>
                      <w:szCs w:val="22"/>
                    </w:rPr>
                    <w:t>10</w:t>
                  </w:r>
                </w:p>
              </w:tc>
              <w:tc>
                <w:tcPr>
                  <w:tcW w:w="1664" w:type="dxa"/>
                  <w:tcBorders>
                    <w:top w:val="single" w:color="auto" w:sz="4" w:space="0"/>
                    <w:left w:val="single" w:color="auto" w:sz="4" w:space="0"/>
                    <w:bottom w:val="single" w:color="auto" w:sz="4" w:space="0"/>
                    <w:right w:val="single" w:color="auto" w:sz="4" w:space="0"/>
                  </w:tcBorders>
                  <w:vAlign w:val="center"/>
                </w:tcPr>
                <w:p w14:paraId="2BBC7DE0">
                  <w:pPr>
                    <w:jc w:val="center"/>
                    <w:rPr>
                      <w:rFonts w:ascii="宋体" w:hAnsi="宋体" w:cs="宋体"/>
                      <w:szCs w:val="21"/>
                    </w:rPr>
                  </w:pPr>
                  <w:r>
                    <w:rPr>
                      <w:rFonts w:hint="eastAsia"/>
                      <w:szCs w:val="21"/>
                    </w:rPr>
                    <w:t>冷却水塔</w:t>
                  </w:r>
                </w:p>
              </w:tc>
              <w:tc>
                <w:tcPr>
                  <w:tcW w:w="967" w:type="dxa"/>
                  <w:tcBorders>
                    <w:top w:val="single" w:color="auto" w:sz="4" w:space="0"/>
                    <w:left w:val="single" w:color="auto" w:sz="4" w:space="0"/>
                    <w:bottom w:val="single" w:color="auto" w:sz="4" w:space="0"/>
                    <w:right w:val="single" w:color="auto" w:sz="4" w:space="0"/>
                  </w:tcBorders>
                  <w:vAlign w:val="center"/>
                </w:tcPr>
                <w:p w14:paraId="2E333C2C">
                  <w:pPr>
                    <w:jc w:val="center"/>
                    <w:rPr>
                      <w:rFonts w:eastAsia="等线"/>
                      <w:sz w:val="22"/>
                      <w:szCs w:val="22"/>
                    </w:rPr>
                  </w:pPr>
                  <w:r>
                    <w:rPr>
                      <w:rFonts w:eastAsia="等线"/>
                      <w:sz w:val="22"/>
                      <w:szCs w:val="22"/>
                    </w:rPr>
                    <w:t>90</w:t>
                  </w:r>
                </w:p>
              </w:tc>
              <w:tc>
                <w:tcPr>
                  <w:tcW w:w="968" w:type="dxa"/>
                  <w:tcBorders>
                    <w:top w:val="single" w:color="auto" w:sz="4" w:space="0"/>
                    <w:left w:val="single" w:color="auto" w:sz="4" w:space="0"/>
                    <w:bottom w:val="single" w:color="auto" w:sz="4" w:space="0"/>
                    <w:right w:val="single" w:color="auto" w:sz="4" w:space="0"/>
                  </w:tcBorders>
                  <w:vAlign w:val="center"/>
                </w:tcPr>
                <w:p w14:paraId="5BF0BF65">
                  <w:pPr>
                    <w:jc w:val="center"/>
                    <w:rPr>
                      <w:rFonts w:eastAsia="等线"/>
                      <w:szCs w:val="21"/>
                    </w:rPr>
                  </w:pPr>
                  <w:r>
                    <w:rPr>
                      <w:rFonts w:eastAsia="等线"/>
                      <w:szCs w:val="21"/>
                    </w:rPr>
                    <w:t>1</w:t>
                  </w:r>
                </w:p>
              </w:tc>
              <w:tc>
                <w:tcPr>
                  <w:tcW w:w="968" w:type="dxa"/>
                  <w:tcBorders>
                    <w:top w:val="single" w:color="auto" w:sz="4" w:space="0"/>
                    <w:left w:val="single" w:color="auto" w:sz="4" w:space="0"/>
                    <w:bottom w:val="single" w:color="auto" w:sz="4" w:space="0"/>
                    <w:right w:val="single" w:color="auto" w:sz="4" w:space="0"/>
                  </w:tcBorders>
                  <w:vAlign w:val="center"/>
                </w:tcPr>
                <w:p w14:paraId="701E6290">
                  <w:pPr>
                    <w:jc w:val="center"/>
                    <w:rPr>
                      <w:rFonts w:eastAsia="等线"/>
                      <w:szCs w:val="21"/>
                    </w:rPr>
                  </w:pPr>
                  <w:r>
                    <w:rPr>
                      <w:rFonts w:eastAsia="等线"/>
                      <w:szCs w:val="21"/>
                    </w:rPr>
                    <w:t>63</w:t>
                  </w:r>
                </w:p>
              </w:tc>
              <w:tc>
                <w:tcPr>
                  <w:tcW w:w="967" w:type="dxa"/>
                  <w:tcBorders>
                    <w:top w:val="single" w:color="auto" w:sz="4" w:space="0"/>
                    <w:left w:val="single" w:color="auto" w:sz="4" w:space="0"/>
                    <w:bottom w:val="single" w:color="auto" w:sz="4" w:space="0"/>
                    <w:right w:val="single" w:color="auto" w:sz="4" w:space="0"/>
                  </w:tcBorders>
                  <w:vAlign w:val="center"/>
                </w:tcPr>
                <w:p w14:paraId="0DA17B35">
                  <w:pPr>
                    <w:jc w:val="center"/>
                    <w:rPr>
                      <w:rFonts w:eastAsia="等线"/>
                      <w:szCs w:val="21"/>
                    </w:rPr>
                  </w:pPr>
                  <w:r>
                    <w:rPr>
                      <w:rFonts w:eastAsia="等线"/>
                      <w:szCs w:val="21"/>
                    </w:rPr>
                    <w:t>160</w:t>
                  </w:r>
                </w:p>
              </w:tc>
              <w:tc>
                <w:tcPr>
                  <w:tcW w:w="968" w:type="dxa"/>
                  <w:tcBorders>
                    <w:top w:val="single" w:color="auto" w:sz="4" w:space="0"/>
                    <w:left w:val="single" w:color="auto" w:sz="4" w:space="0"/>
                    <w:bottom w:val="single" w:color="auto" w:sz="4" w:space="0"/>
                    <w:right w:val="single" w:color="auto" w:sz="4" w:space="0"/>
                  </w:tcBorders>
                  <w:vAlign w:val="center"/>
                </w:tcPr>
                <w:p w14:paraId="031505C1">
                  <w:pPr>
                    <w:jc w:val="center"/>
                    <w:rPr>
                      <w:rFonts w:eastAsia="等线"/>
                      <w:szCs w:val="21"/>
                    </w:rPr>
                  </w:pPr>
                  <w:r>
                    <w:rPr>
                      <w:rFonts w:eastAsia="等线"/>
                      <w:szCs w:val="21"/>
                    </w:rPr>
                    <w:t>92</w:t>
                  </w:r>
                </w:p>
              </w:tc>
              <w:tc>
                <w:tcPr>
                  <w:tcW w:w="968" w:type="dxa"/>
                  <w:tcBorders>
                    <w:top w:val="single" w:color="auto" w:sz="4" w:space="0"/>
                    <w:left w:val="single" w:color="auto" w:sz="4" w:space="0"/>
                    <w:bottom w:val="single" w:color="auto" w:sz="4" w:space="0"/>
                    <w:right w:val="single" w:color="auto" w:sz="4" w:space="0"/>
                  </w:tcBorders>
                  <w:vAlign w:val="center"/>
                </w:tcPr>
                <w:p w14:paraId="432FBA5E">
                  <w:pPr>
                    <w:jc w:val="center"/>
                    <w:rPr>
                      <w:rFonts w:eastAsia="等线"/>
                      <w:szCs w:val="21"/>
                    </w:rPr>
                  </w:pPr>
                  <w:r>
                    <w:rPr>
                      <w:rFonts w:eastAsia="等线"/>
                      <w:szCs w:val="21"/>
                    </w:rPr>
                    <w:t>20</w:t>
                  </w:r>
                </w:p>
              </w:tc>
            </w:tr>
          </w:tbl>
          <w:p w14:paraId="557E2DD5">
            <w:pPr>
              <w:spacing w:line="460" w:lineRule="exact"/>
              <w:ind w:firstLine="480" w:firstLineChars="200"/>
              <w:rPr>
                <w:sz w:val="24"/>
              </w:rPr>
            </w:pPr>
            <w:r>
              <w:rPr>
                <w:sz w:val="24"/>
              </w:rPr>
              <w:t>（2）治理措施</w:t>
            </w:r>
          </w:p>
          <w:p w14:paraId="52E6940D">
            <w:pPr>
              <w:spacing w:line="460" w:lineRule="exact"/>
              <w:ind w:firstLine="480" w:firstLineChars="200"/>
              <w:rPr>
                <w:sz w:val="24"/>
              </w:rPr>
            </w:pPr>
            <w:r>
              <w:rPr>
                <w:rFonts w:hint="eastAsia"/>
                <w:sz w:val="24"/>
              </w:rPr>
              <w:t>①</w:t>
            </w:r>
            <w:r>
              <w:rPr>
                <w:sz w:val="24"/>
              </w:rPr>
              <w:t>生产过程中加强设备的保养和维护</w:t>
            </w:r>
            <w:r>
              <w:rPr>
                <w:rFonts w:hint="eastAsia"/>
                <w:sz w:val="24"/>
              </w:rPr>
              <w:t>，定期更换润滑油</w:t>
            </w:r>
            <w:r>
              <w:rPr>
                <w:sz w:val="24"/>
              </w:rPr>
              <w:t>；</w:t>
            </w:r>
          </w:p>
          <w:p w14:paraId="2EB873FA">
            <w:pPr>
              <w:spacing w:line="460" w:lineRule="exact"/>
              <w:ind w:firstLine="480" w:firstLineChars="200"/>
              <w:rPr>
                <w:sz w:val="24"/>
              </w:rPr>
            </w:pPr>
            <w:r>
              <w:rPr>
                <w:rFonts w:hint="eastAsia"/>
                <w:sz w:val="24"/>
              </w:rPr>
              <w:t>②对高噪声设备加装减震垫，保持车间窗户关闭，充分利用厂房建筑物隔声；</w:t>
            </w:r>
          </w:p>
          <w:p w14:paraId="69AACE39">
            <w:pPr>
              <w:spacing w:line="460" w:lineRule="exact"/>
              <w:ind w:firstLine="480" w:firstLineChars="200"/>
              <w:rPr>
                <w:rFonts w:hAnsi="宋体"/>
                <w:bCs/>
                <w:sz w:val="24"/>
              </w:rPr>
            </w:pPr>
            <w:r>
              <w:rPr>
                <w:rFonts w:hint="eastAsia"/>
                <w:sz w:val="24"/>
              </w:rPr>
              <w:t>③</w:t>
            </w:r>
            <w:r>
              <w:rPr>
                <w:rFonts w:hAnsi="宋体"/>
                <w:bCs/>
                <w:sz w:val="24"/>
              </w:rPr>
              <w:t>风机基础进行减振</w:t>
            </w:r>
            <w:r>
              <w:rPr>
                <w:rFonts w:hint="eastAsia" w:hAnsi="宋体"/>
                <w:bCs/>
                <w:sz w:val="24"/>
              </w:rPr>
              <w:t>；</w:t>
            </w:r>
          </w:p>
          <w:p w14:paraId="79FF6181">
            <w:pPr>
              <w:autoSpaceDE w:val="0"/>
              <w:autoSpaceDN w:val="0"/>
              <w:adjustRightInd w:val="0"/>
              <w:spacing w:line="460" w:lineRule="exact"/>
              <w:ind w:firstLine="480" w:firstLineChars="200"/>
              <w:jc w:val="left"/>
              <w:rPr>
                <w:kern w:val="0"/>
                <w:sz w:val="24"/>
              </w:rPr>
            </w:pPr>
            <w:r>
              <w:rPr>
                <w:rFonts w:hint="eastAsia" w:hAnsi="宋体"/>
                <w:bCs/>
                <w:sz w:val="24"/>
              </w:rPr>
              <w:t>④合理布置设备位置，高噪声设备尽量远离厂界，布置区厂房靠近内部位置</w:t>
            </w:r>
            <w:r>
              <w:rPr>
                <w:kern w:val="0"/>
                <w:sz w:val="24"/>
              </w:rPr>
              <w:t>。</w:t>
            </w:r>
          </w:p>
          <w:p w14:paraId="2382E44E">
            <w:pPr>
              <w:spacing w:line="460" w:lineRule="exact"/>
              <w:ind w:firstLine="480" w:firstLineChars="200"/>
              <w:rPr>
                <w:sz w:val="24"/>
              </w:rPr>
            </w:pPr>
            <w:r>
              <w:rPr>
                <w:sz w:val="24"/>
              </w:rPr>
              <w:t>（3）达标情况</w:t>
            </w:r>
          </w:p>
          <w:p w14:paraId="591AB686">
            <w:pPr>
              <w:autoSpaceDE w:val="0"/>
              <w:autoSpaceDN w:val="0"/>
              <w:adjustRightInd w:val="0"/>
              <w:spacing w:line="460" w:lineRule="exact"/>
              <w:ind w:firstLine="480" w:firstLineChars="200"/>
              <w:rPr>
                <w:sz w:val="24"/>
              </w:rPr>
            </w:pPr>
            <w:r>
              <w:rPr>
                <w:sz w:val="24"/>
              </w:rPr>
              <w:t>本评价根据《环境影响评价技术导则 声环境》HJ2.4-2009推荐的噪声户外传播衰减计算的替代方法进行噪声达标分析，其计算公式如下：</w:t>
            </w:r>
          </w:p>
          <w:p w14:paraId="6DE74E1A">
            <w:pPr>
              <w:autoSpaceDE w:val="0"/>
              <w:autoSpaceDN w:val="0"/>
              <w:adjustRightInd w:val="0"/>
              <w:ind w:firstLine="480" w:firstLineChars="200"/>
              <w:jc w:val="center"/>
              <w:rPr>
                <w:sz w:val="24"/>
              </w:rPr>
            </w:pPr>
            <w:r>
              <w:rPr>
                <w:sz w:val="24"/>
              </w:rPr>
              <w:drawing>
                <wp:inline distT="0" distB="0" distL="0" distR="0">
                  <wp:extent cx="3771900" cy="323850"/>
                  <wp:effectExtent l="0" t="0" r="0" b="0"/>
                  <wp:docPr id="535" name="图片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5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71900" cy="323850"/>
                          </a:xfrm>
                          <a:prstGeom prst="rect">
                            <a:avLst/>
                          </a:prstGeom>
                          <a:noFill/>
                          <a:ln>
                            <a:noFill/>
                          </a:ln>
                        </pic:spPr>
                      </pic:pic>
                    </a:graphicData>
                  </a:graphic>
                </wp:inline>
              </w:drawing>
            </w:r>
          </w:p>
          <w:p w14:paraId="6A563D8F">
            <w:pPr>
              <w:autoSpaceDE w:val="0"/>
              <w:autoSpaceDN w:val="0"/>
              <w:adjustRightInd w:val="0"/>
              <w:spacing w:line="460" w:lineRule="exact"/>
              <w:ind w:firstLine="480" w:firstLineChars="200"/>
              <w:rPr>
                <w:sz w:val="24"/>
              </w:rPr>
            </w:pPr>
            <w:r>
              <w:rPr>
                <w:sz w:val="24"/>
              </w:rPr>
              <w:t>式中：</w:t>
            </w:r>
            <w:r>
              <w:rPr>
                <w:sz w:val="24"/>
              </w:rPr>
              <w:drawing>
                <wp:inline distT="0" distB="0" distL="0" distR="0">
                  <wp:extent cx="390525" cy="219075"/>
                  <wp:effectExtent l="0" t="0" r="0" b="0"/>
                  <wp:docPr id="536" name="图片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5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0525" cy="219075"/>
                          </a:xfrm>
                          <a:prstGeom prst="rect">
                            <a:avLst/>
                          </a:prstGeom>
                          <a:noFill/>
                          <a:ln>
                            <a:noFill/>
                          </a:ln>
                        </pic:spPr>
                      </pic:pic>
                    </a:graphicData>
                  </a:graphic>
                </wp:inline>
              </w:drawing>
            </w:r>
            <w:r>
              <w:rPr>
                <w:sz w:val="24"/>
              </w:rPr>
              <w:t xml:space="preserve"> —距声源r处的A声级，dB；</w:t>
            </w:r>
          </w:p>
          <w:p w14:paraId="7DC51DD3">
            <w:pPr>
              <w:autoSpaceDE w:val="0"/>
              <w:autoSpaceDN w:val="0"/>
              <w:adjustRightInd w:val="0"/>
              <w:spacing w:line="460" w:lineRule="exact"/>
              <w:ind w:firstLine="1200" w:firstLineChars="500"/>
              <w:rPr>
                <w:sz w:val="24"/>
              </w:rPr>
            </w:pPr>
            <w:r>
              <w:rPr>
                <w:sz w:val="24"/>
              </w:rPr>
              <w:drawing>
                <wp:inline distT="0" distB="0" distL="0" distR="0">
                  <wp:extent cx="447675" cy="228600"/>
                  <wp:effectExtent l="0" t="0" r="0" b="0"/>
                  <wp:docPr id="537" name="图片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5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47675" cy="228600"/>
                          </a:xfrm>
                          <a:prstGeom prst="rect">
                            <a:avLst/>
                          </a:prstGeom>
                          <a:noFill/>
                          <a:ln>
                            <a:noFill/>
                          </a:ln>
                        </pic:spPr>
                      </pic:pic>
                    </a:graphicData>
                  </a:graphic>
                </wp:inline>
              </w:drawing>
            </w:r>
            <w:r>
              <w:rPr>
                <w:sz w:val="24"/>
              </w:rPr>
              <w:t>—参考位置r</w:t>
            </w:r>
            <w:r>
              <w:rPr>
                <w:sz w:val="24"/>
                <w:vertAlign w:val="subscript"/>
              </w:rPr>
              <w:t>0</w:t>
            </w:r>
            <w:r>
              <w:rPr>
                <w:sz w:val="24"/>
              </w:rPr>
              <w:t>处的A声级，dB；</w:t>
            </w:r>
          </w:p>
          <w:p w14:paraId="38B71D2D">
            <w:pPr>
              <w:autoSpaceDE w:val="0"/>
              <w:autoSpaceDN w:val="0"/>
              <w:adjustRightInd w:val="0"/>
              <w:spacing w:line="460" w:lineRule="exact"/>
              <w:ind w:firstLine="1200" w:firstLineChars="500"/>
              <w:rPr>
                <w:sz w:val="24"/>
              </w:rPr>
            </w:pPr>
            <w:r>
              <w:rPr>
                <w:sz w:val="24"/>
              </w:rPr>
              <w:drawing>
                <wp:inline distT="0" distB="0" distL="0" distR="0">
                  <wp:extent cx="266700" cy="228600"/>
                  <wp:effectExtent l="0" t="0" r="0" b="0"/>
                  <wp:docPr id="538" name="图片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5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sz w:val="24"/>
              </w:rPr>
              <w:t>—声波几何发散引起的A声级衰减量，dB；</w:t>
            </w:r>
          </w:p>
          <w:p w14:paraId="4FFD49A3">
            <w:pPr>
              <w:autoSpaceDE w:val="0"/>
              <w:autoSpaceDN w:val="0"/>
              <w:adjustRightInd w:val="0"/>
              <w:spacing w:line="460" w:lineRule="exact"/>
              <w:jc w:val="center"/>
              <w:rPr>
                <w:sz w:val="24"/>
              </w:rPr>
            </w:pPr>
            <w:r>
              <w:rPr>
                <w:sz w:val="24"/>
              </w:rPr>
              <w:drawing>
                <wp:inline distT="0" distB="0" distL="0" distR="0">
                  <wp:extent cx="1114425" cy="228600"/>
                  <wp:effectExtent l="0" t="0" r="0" b="0"/>
                  <wp:docPr id="539" name="图片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5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14425" cy="228600"/>
                          </a:xfrm>
                          <a:prstGeom prst="rect">
                            <a:avLst/>
                          </a:prstGeom>
                          <a:noFill/>
                          <a:ln>
                            <a:noFill/>
                          </a:ln>
                        </pic:spPr>
                      </pic:pic>
                    </a:graphicData>
                  </a:graphic>
                </wp:inline>
              </w:drawing>
            </w:r>
          </w:p>
          <w:p w14:paraId="137A598F">
            <w:pPr>
              <w:autoSpaceDE w:val="0"/>
              <w:autoSpaceDN w:val="0"/>
              <w:adjustRightInd w:val="0"/>
              <w:spacing w:line="460" w:lineRule="exact"/>
              <w:ind w:firstLine="1200" w:firstLineChars="500"/>
              <w:rPr>
                <w:sz w:val="24"/>
              </w:rPr>
            </w:pPr>
            <w:r>
              <w:rPr>
                <w:sz w:val="24"/>
              </w:rPr>
              <w:drawing>
                <wp:inline distT="0" distB="0" distL="0" distR="0">
                  <wp:extent cx="285750" cy="238125"/>
                  <wp:effectExtent l="0" t="0" r="0" b="9525"/>
                  <wp:docPr id="542" name="图片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5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85750" cy="238125"/>
                          </a:xfrm>
                          <a:prstGeom prst="rect">
                            <a:avLst/>
                          </a:prstGeom>
                          <a:noFill/>
                          <a:ln>
                            <a:noFill/>
                          </a:ln>
                        </pic:spPr>
                      </pic:pic>
                    </a:graphicData>
                  </a:graphic>
                </wp:inline>
              </w:drawing>
            </w:r>
            <w:r>
              <w:rPr>
                <w:sz w:val="24"/>
              </w:rPr>
              <w:t>—遮挡物引起的A声级衰减量，dB；</w:t>
            </w:r>
          </w:p>
          <w:p w14:paraId="429B5B6E">
            <w:pPr>
              <w:autoSpaceDE w:val="0"/>
              <w:autoSpaceDN w:val="0"/>
              <w:adjustRightInd w:val="0"/>
              <w:spacing w:line="460" w:lineRule="exact"/>
              <w:ind w:firstLine="1200" w:firstLineChars="500"/>
              <w:rPr>
                <w:sz w:val="24"/>
              </w:rPr>
            </w:pPr>
            <w:r>
              <w:rPr>
                <w:sz w:val="24"/>
              </w:rPr>
              <w:drawing>
                <wp:inline distT="0" distB="0" distL="0" distR="0">
                  <wp:extent cx="276225" cy="228600"/>
                  <wp:effectExtent l="0" t="0" r="0" b="0"/>
                  <wp:docPr id="540" name="图片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rPr>
                <w:sz w:val="24"/>
              </w:rPr>
              <w:t>—空气吸收引起的A声级衰减量，dB；</w:t>
            </w:r>
          </w:p>
          <w:p w14:paraId="5ABF9B6E">
            <w:pPr>
              <w:autoSpaceDE w:val="0"/>
              <w:autoSpaceDN w:val="0"/>
              <w:adjustRightInd w:val="0"/>
              <w:spacing w:line="460" w:lineRule="exact"/>
              <w:ind w:firstLine="1200" w:firstLineChars="500"/>
              <w:rPr>
                <w:sz w:val="24"/>
              </w:rPr>
            </w:pPr>
            <w:r>
              <w:rPr>
                <w:i/>
                <w:iCs/>
                <w:sz w:val="24"/>
              </w:rPr>
              <w:t>A</w:t>
            </w:r>
            <w:r>
              <w:rPr>
                <w:i/>
                <w:iCs/>
                <w:sz w:val="24"/>
                <w:vertAlign w:val="subscript"/>
              </w:rPr>
              <w:t>gr</w:t>
            </w:r>
            <w:r>
              <w:rPr>
                <w:sz w:val="24"/>
              </w:rPr>
              <w:t>—地面效应引起的倍频带衰减，dB；</w:t>
            </w:r>
          </w:p>
          <w:p w14:paraId="7F35C895">
            <w:pPr>
              <w:autoSpaceDE w:val="0"/>
              <w:autoSpaceDN w:val="0"/>
              <w:adjustRightInd w:val="0"/>
              <w:spacing w:line="460" w:lineRule="exact"/>
              <w:ind w:firstLine="1200" w:firstLineChars="500"/>
              <w:rPr>
                <w:sz w:val="24"/>
              </w:rPr>
            </w:pPr>
            <w:r>
              <w:rPr>
                <w:i/>
                <w:iCs/>
                <w:sz w:val="24"/>
              </w:rPr>
              <w:t>A</w:t>
            </w:r>
            <w:r>
              <w:rPr>
                <w:i/>
                <w:iCs/>
                <w:sz w:val="24"/>
                <w:vertAlign w:val="subscript"/>
              </w:rPr>
              <w:t>misc</w:t>
            </w:r>
            <w:r>
              <w:rPr>
                <w:sz w:val="24"/>
              </w:rPr>
              <w:t>—其他多方面效应引起的倍频带衰减，dB。</w:t>
            </w:r>
          </w:p>
          <w:p w14:paraId="7A39F7C3">
            <w:pPr>
              <w:spacing w:line="460" w:lineRule="exact"/>
              <w:ind w:firstLine="480" w:firstLineChars="200"/>
              <w:rPr>
                <w:sz w:val="24"/>
              </w:rPr>
            </w:pPr>
            <w:r>
              <w:rPr>
                <w:sz w:val="24"/>
              </w:rPr>
              <w:t>为避免计算中增大衰减量而造成预测值偏小，计算时忽略</w:t>
            </w:r>
            <w:r>
              <w:rPr>
                <w:sz w:val="24"/>
              </w:rPr>
              <w:object>
                <v:shape id="_x0000_i1033" o:spt="75" type="#_x0000_t75" style="height:21.8pt;width:21.8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sz w:val="24"/>
              </w:rPr>
              <w:t>、</w:t>
            </w:r>
            <w:r>
              <w:rPr>
                <w:sz w:val="24"/>
              </w:rPr>
              <w:object>
                <v:shape id="_x0000_i1034" o:spt="75" type="#_x0000_t75" style="height:21.8pt;width:21.8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4" r:id="rId29">
                  <o:LockedField>false</o:LockedField>
                </o:OLEObject>
              </w:object>
            </w:r>
            <w:r>
              <w:rPr>
                <w:sz w:val="24"/>
              </w:rPr>
              <w:t>和</w:t>
            </w:r>
            <w:r>
              <w:rPr>
                <w:i/>
                <w:iCs/>
                <w:sz w:val="24"/>
              </w:rPr>
              <w:t>A</w:t>
            </w:r>
            <w:r>
              <w:rPr>
                <w:i/>
                <w:iCs/>
                <w:sz w:val="24"/>
                <w:vertAlign w:val="subscript"/>
              </w:rPr>
              <w:t>gr</w:t>
            </w:r>
            <w:r>
              <w:rPr>
                <w:iCs/>
                <w:sz w:val="24"/>
              </w:rPr>
              <w:t>，</w:t>
            </w:r>
            <w:r>
              <w:rPr>
                <w:i/>
                <w:iCs/>
                <w:sz w:val="24"/>
              </w:rPr>
              <w:t>A</w:t>
            </w:r>
            <w:r>
              <w:rPr>
                <w:i/>
                <w:iCs/>
                <w:sz w:val="24"/>
                <w:vertAlign w:val="subscript"/>
              </w:rPr>
              <w:t>bar</w:t>
            </w:r>
            <w:r>
              <w:rPr>
                <w:sz w:val="24"/>
              </w:rPr>
              <w:t>引起的衰减考虑为15dB。</w:t>
            </w:r>
          </w:p>
          <w:p w14:paraId="5B8FA3FD">
            <w:pPr>
              <w:spacing w:line="460" w:lineRule="exact"/>
              <w:ind w:firstLine="480" w:firstLineChars="200"/>
              <w:rPr>
                <w:sz w:val="24"/>
              </w:rPr>
            </w:pPr>
            <w:r>
              <w:rPr>
                <w:sz w:val="24"/>
              </w:rPr>
              <w:t>根据声音的叠加方法，得到声级叠加公式为：</w:t>
            </w:r>
          </w:p>
          <w:p w14:paraId="25542A66">
            <w:pPr>
              <w:snapToGrid w:val="0"/>
              <w:spacing w:line="460" w:lineRule="exact"/>
              <w:jc w:val="center"/>
              <w:rPr>
                <w:bCs/>
                <w:sz w:val="24"/>
              </w:rPr>
            </w:pPr>
            <w:r>
              <w:rPr>
                <w:rStyle w:val="31"/>
                <w:kern w:val="0"/>
                <w:sz w:val="24"/>
              </w:rPr>
              <w:t>L</w:t>
            </w:r>
            <w:r>
              <w:rPr>
                <w:rStyle w:val="31"/>
                <w:kern w:val="0"/>
                <w:sz w:val="24"/>
                <w:vertAlign w:val="subscript"/>
              </w:rPr>
              <w:t>A</w:t>
            </w:r>
            <w:r>
              <w:rPr>
                <w:rStyle w:val="31"/>
                <w:kern w:val="0"/>
                <w:sz w:val="24"/>
              </w:rPr>
              <w:t>（总）=10 lg（</w:t>
            </w:r>
            <w:r>
              <w:rPr>
                <w:kern w:val="0"/>
                <w:position w:val="-28"/>
                <w:sz w:val="24"/>
              </w:rPr>
              <w:drawing>
                <wp:inline distT="0" distB="0" distL="0" distR="0">
                  <wp:extent cx="581025" cy="428625"/>
                  <wp:effectExtent l="0" t="0" r="0" b="0"/>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5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81025" cy="428625"/>
                          </a:xfrm>
                          <a:prstGeom prst="rect">
                            <a:avLst/>
                          </a:prstGeom>
                          <a:noFill/>
                          <a:ln>
                            <a:noFill/>
                          </a:ln>
                        </pic:spPr>
                      </pic:pic>
                    </a:graphicData>
                  </a:graphic>
                </wp:inline>
              </w:drawing>
            </w:r>
            <w:r>
              <w:rPr>
                <w:rStyle w:val="31"/>
                <w:kern w:val="0"/>
                <w:sz w:val="24"/>
              </w:rPr>
              <w:t>）</w:t>
            </w:r>
          </w:p>
          <w:p w14:paraId="5406FAE8">
            <w:pPr>
              <w:spacing w:line="460" w:lineRule="exact"/>
              <w:ind w:firstLine="480" w:firstLineChars="200"/>
              <w:rPr>
                <w:sz w:val="24"/>
              </w:rPr>
            </w:pPr>
            <w:r>
              <w:rPr>
                <w:sz w:val="24"/>
              </w:rPr>
              <w:t>式中：LA（总）—叠加后的总声级值，dB(A)；</w:t>
            </w:r>
          </w:p>
          <w:p w14:paraId="0FB982CF">
            <w:pPr>
              <w:spacing w:line="360" w:lineRule="auto"/>
              <w:ind w:firstLine="1200" w:firstLineChars="500"/>
              <w:rPr>
                <w:sz w:val="24"/>
              </w:rPr>
            </w:pPr>
            <w:r>
              <w:rPr>
                <w:sz w:val="24"/>
              </w:rPr>
              <w:t>Li—第I个声源对某点的声级值，dB(A)；</w:t>
            </w:r>
          </w:p>
          <w:p w14:paraId="5E369095">
            <w:pPr>
              <w:adjustRightInd w:val="0"/>
              <w:snapToGrid w:val="0"/>
              <w:spacing w:line="360" w:lineRule="auto"/>
              <w:ind w:firstLine="1200" w:firstLineChars="500"/>
              <w:rPr>
                <w:sz w:val="24"/>
              </w:rPr>
            </w:pPr>
            <w:r>
              <w:rPr>
                <w:sz w:val="24"/>
              </w:rPr>
              <w:t>n—声源个数。</w:t>
            </w:r>
          </w:p>
          <w:p w14:paraId="77DD6F66">
            <w:pPr>
              <w:spacing w:line="360" w:lineRule="auto"/>
              <w:ind w:firstLine="480" w:firstLineChars="200"/>
              <w:rPr>
                <w:sz w:val="24"/>
              </w:rPr>
            </w:pPr>
            <w:r>
              <w:rPr>
                <w:sz w:val="24"/>
              </w:rPr>
              <w:t>噪声预测结果见表4-13。</w:t>
            </w:r>
          </w:p>
          <w:p w14:paraId="49CD516A">
            <w:pPr>
              <w:spacing w:line="460" w:lineRule="exact"/>
              <w:jc w:val="center"/>
              <w:rPr>
                <w:sz w:val="24"/>
              </w:rPr>
            </w:pPr>
            <w:r>
              <w:rPr>
                <w:sz w:val="24"/>
              </w:rPr>
              <w:t>表4-13  厂界噪声影响预测结果  单位：dB</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333"/>
              <w:gridCol w:w="3061"/>
            </w:tblGrid>
            <w:tr w14:paraId="17A4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14:paraId="210E0380">
                  <w:pPr>
                    <w:jc w:val="center"/>
                    <w:rPr>
                      <w:szCs w:val="21"/>
                    </w:rPr>
                  </w:pPr>
                  <w:r>
                    <w:rPr>
                      <w:szCs w:val="21"/>
                    </w:rPr>
                    <w:t>预测点位</w:t>
                  </w:r>
                </w:p>
              </w:tc>
              <w:tc>
                <w:tcPr>
                  <w:tcW w:w="1424" w:type="pct"/>
                  <w:vAlign w:val="center"/>
                </w:tcPr>
                <w:p w14:paraId="0CE278EC">
                  <w:pPr>
                    <w:jc w:val="center"/>
                    <w:rPr>
                      <w:szCs w:val="21"/>
                    </w:rPr>
                  </w:pPr>
                  <w:r>
                    <w:rPr>
                      <w:rFonts w:hint="eastAsia"/>
                      <w:szCs w:val="21"/>
                    </w:rPr>
                    <w:t>贡献</w:t>
                  </w:r>
                  <w:r>
                    <w:rPr>
                      <w:szCs w:val="21"/>
                    </w:rPr>
                    <w:t>值</w:t>
                  </w:r>
                </w:p>
              </w:tc>
              <w:tc>
                <w:tcPr>
                  <w:tcW w:w="1868" w:type="pct"/>
                  <w:vAlign w:val="center"/>
                </w:tcPr>
                <w:p w14:paraId="61ED3C9B">
                  <w:pPr>
                    <w:jc w:val="center"/>
                    <w:rPr>
                      <w:szCs w:val="21"/>
                    </w:rPr>
                  </w:pPr>
                  <w:r>
                    <w:rPr>
                      <w:szCs w:val="21"/>
                    </w:rPr>
                    <w:t>评价标准</w:t>
                  </w:r>
                </w:p>
              </w:tc>
            </w:tr>
            <w:tr w14:paraId="3999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14:paraId="1821485D">
                  <w:pPr>
                    <w:jc w:val="center"/>
                    <w:rPr>
                      <w:szCs w:val="21"/>
                    </w:rPr>
                  </w:pPr>
                  <w:r>
                    <w:rPr>
                      <w:szCs w:val="21"/>
                    </w:rPr>
                    <w:t>东侧厂界</w:t>
                  </w:r>
                </w:p>
              </w:tc>
              <w:tc>
                <w:tcPr>
                  <w:tcW w:w="1424" w:type="pct"/>
                  <w:vAlign w:val="bottom"/>
                </w:tcPr>
                <w:p w14:paraId="1F8A9E25">
                  <w:pPr>
                    <w:jc w:val="center"/>
                    <w:rPr>
                      <w:szCs w:val="21"/>
                    </w:rPr>
                  </w:pPr>
                  <w:r>
                    <w:rPr>
                      <w:szCs w:val="21"/>
                    </w:rPr>
                    <w:t xml:space="preserve">47.7 </w:t>
                  </w:r>
                </w:p>
              </w:tc>
              <w:tc>
                <w:tcPr>
                  <w:tcW w:w="1868" w:type="pct"/>
                  <w:vMerge w:val="restart"/>
                  <w:vAlign w:val="center"/>
                </w:tcPr>
                <w:p w14:paraId="76384CD4">
                  <w:pPr>
                    <w:jc w:val="center"/>
                    <w:rPr>
                      <w:szCs w:val="21"/>
                    </w:rPr>
                  </w:pPr>
                  <w:r>
                    <w:rPr>
                      <w:szCs w:val="21"/>
                    </w:rPr>
                    <w:t>昼间≤65dB</w:t>
                  </w:r>
                </w:p>
                <w:p w14:paraId="79565BF0">
                  <w:pPr>
                    <w:jc w:val="center"/>
                    <w:rPr>
                      <w:sz w:val="24"/>
                    </w:rPr>
                  </w:pPr>
                  <w:r>
                    <w:rPr>
                      <w:rFonts w:hint="eastAsia"/>
                      <w:szCs w:val="21"/>
                    </w:rPr>
                    <w:t>夜间</w:t>
                  </w:r>
                  <w:r>
                    <w:rPr>
                      <w:szCs w:val="21"/>
                    </w:rPr>
                    <w:t>≤55dB</w:t>
                  </w:r>
                </w:p>
              </w:tc>
            </w:tr>
            <w:tr w14:paraId="0255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14:paraId="47854A37">
                  <w:pPr>
                    <w:jc w:val="center"/>
                    <w:rPr>
                      <w:szCs w:val="21"/>
                    </w:rPr>
                  </w:pPr>
                  <w:r>
                    <w:rPr>
                      <w:szCs w:val="21"/>
                    </w:rPr>
                    <w:t>南侧厂界</w:t>
                  </w:r>
                </w:p>
              </w:tc>
              <w:tc>
                <w:tcPr>
                  <w:tcW w:w="1424" w:type="pct"/>
                  <w:tcBorders>
                    <w:bottom w:val="single" w:color="auto" w:sz="2" w:space="0"/>
                  </w:tcBorders>
                  <w:vAlign w:val="bottom"/>
                </w:tcPr>
                <w:p w14:paraId="24254011">
                  <w:pPr>
                    <w:jc w:val="center"/>
                    <w:rPr>
                      <w:szCs w:val="21"/>
                    </w:rPr>
                  </w:pPr>
                  <w:r>
                    <w:rPr>
                      <w:szCs w:val="21"/>
                    </w:rPr>
                    <w:t xml:space="preserve">42.0 </w:t>
                  </w:r>
                </w:p>
              </w:tc>
              <w:tc>
                <w:tcPr>
                  <w:tcW w:w="1868" w:type="pct"/>
                  <w:vMerge w:val="continue"/>
                  <w:vAlign w:val="center"/>
                </w:tcPr>
                <w:p w14:paraId="3E6D8B90">
                  <w:pPr>
                    <w:jc w:val="center"/>
                    <w:rPr>
                      <w:sz w:val="24"/>
                    </w:rPr>
                  </w:pPr>
                </w:p>
              </w:tc>
            </w:tr>
            <w:tr w14:paraId="33E8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14:paraId="451A81C3">
                  <w:pPr>
                    <w:jc w:val="center"/>
                    <w:rPr>
                      <w:szCs w:val="21"/>
                    </w:rPr>
                  </w:pPr>
                  <w:r>
                    <w:rPr>
                      <w:szCs w:val="21"/>
                    </w:rPr>
                    <w:t>西侧</w:t>
                  </w:r>
                  <w:r>
                    <w:rPr>
                      <w:rFonts w:hint="eastAsia"/>
                      <w:szCs w:val="21"/>
                    </w:rPr>
                    <w:t>厂界</w:t>
                  </w:r>
                </w:p>
              </w:tc>
              <w:tc>
                <w:tcPr>
                  <w:tcW w:w="1424" w:type="pct"/>
                  <w:tcBorders>
                    <w:top w:val="single" w:color="auto" w:sz="2" w:space="0"/>
                    <w:bottom w:val="single" w:color="auto" w:sz="2" w:space="0"/>
                  </w:tcBorders>
                  <w:vAlign w:val="bottom"/>
                </w:tcPr>
                <w:p w14:paraId="2D86FC9F">
                  <w:pPr>
                    <w:jc w:val="center"/>
                    <w:rPr>
                      <w:szCs w:val="21"/>
                    </w:rPr>
                  </w:pPr>
                  <w:r>
                    <w:rPr>
                      <w:szCs w:val="21"/>
                    </w:rPr>
                    <w:t xml:space="preserve">50.0 </w:t>
                  </w:r>
                </w:p>
              </w:tc>
              <w:tc>
                <w:tcPr>
                  <w:tcW w:w="1868" w:type="pct"/>
                  <w:vMerge w:val="continue"/>
                  <w:vAlign w:val="center"/>
                </w:tcPr>
                <w:p w14:paraId="1DCE0A53">
                  <w:pPr>
                    <w:jc w:val="center"/>
                    <w:rPr>
                      <w:sz w:val="24"/>
                    </w:rPr>
                  </w:pPr>
                </w:p>
              </w:tc>
            </w:tr>
            <w:tr w14:paraId="0C31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14:paraId="30DED2BD">
                  <w:pPr>
                    <w:jc w:val="center"/>
                    <w:rPr>
                      <w:szCs w:val="21"/>
                    </w:rPr>
                  </w:pPr>
                  <w:r>
                    <w:rPr>
                      <w:rFonts w:hint="eastAsia"/>
                      <w:szCs w:val="21"/>
                    </w:rPr>
                    <w:t>北侧厂界</w:t>
                  </w:r>
                </w:p>
              </w:tc>
              <w:tc>
                <w:tcPr>
                  <w:tcW w:w="1424" w:type="pct"/>
                  <w:tcBorders>
                    <w:top w:val="single" w:color="auto" w:sz="2" w:space="0"/>
                  </w:tcBorders>
                  <w:vAlign w:val="bottom"/>
                </w:tcPr>
                <w:p w14:paraId="57761160">
                  <w:pPr>
                    <w:jc w:val="center"/>
                    <w:rPr>
                      <w:szCs w:val="21"/>
                    </w:rPr>
                  </w:pPr>
                  <w:r>
                    <w:rPr>
                      <w:szCs w:val="21"/>
                    </w:rPr>
                    <w:t xml:space="preserve">53.6 </w:t>
                  </w:r>
                </w:p>
              </w:tc>
              <w:tc>
                <w:tcPr>
                  <w:tcW w:w="1868" w:type="pct"/>
                  <w:vMerge w:val="continue"/>
                  <w:vAlign w:val="center"/>
                </w:tcPr>
                <w:p w14:paraId="42D03A31">
                  <w:pPr>
                    <w:jc w:val="center"/>
                    <w:rPr>
                      <w:sz w:val="24"/>
                    </w:rPr>
                  </w:pPr>
                </w:p>
              </w:tc>
            </w:tr>
          </w:tbl>
          <w:p w14:paraId="797CA42D">
            <w:pPr>
              <w:adjustRightInd w:val="0"/>
              <w:snapToGrid w:val="0"/>
              <w:spacing w:line="360" w:lineRule="auto"/>
              <w:ind w:firstLine="480" w:firstLineChars="200"/>
              <w:rPr>
                <w:sz w:val="24"/>
              </w:rPr>
            </w:pPr>
            <w:r>
              <w:rPr>
                <w:sz w:val="24"/>
              </w:rPr>
              <w:t>根据表4-10预测结果可知，项目营运后，采取相应噪声防治措施后，项目四周厂界</w:t>
            </w:r>
            <w:r>
              <w:rPr>
                <w:rFonts w:hint="eastAsia"/>
                <w:sz w:val="24"/>
              </w:rPr>
              <w:t>昼间、</w:t>
            </w:r>
            <w:r>
              <w:rPr>
                <w:sz w:val="24"/>
              </w:rPr>
              <w:t>夜间噪声贡献值均满足《工业企业厂界环境噪声排放标准》（GB12348-2008）3类标准</w:t>
            </w:r>
            <w:r>
              <w:rPr>
                <w:rFonts w:hint="eastAsia"/>
                <w:sz w:val="24"/>
              </w:rPr>
              <w:t>。</w:t>
            </w:r>
          </w:p>
          <w:p w14:paraId="46EB36AD">
            <w:pPr>
              <w:adjustRightInd w:val="0"/>
              <w:snapToGrid w:val="0"/>
              <w:spacing w:line="360" w:lineRule="auto"/>
              <w:ind w:firstLine="480" w:firstLineChars="200"/>
              <w:rPr>
                <w:sz w:val="24"/>
              </w:rPr>
            </w:pPr>
            <w:r>
              <w:rPr>
                <w:sz w:val="24"/>
              </w:rPr>
              <w:t>根据现场调查，项目周围50m范围内无环境保护目标分布，故项目营运期不会造成扰民现象，对声环境影响较小。</w:t>
            </w:r>
          </w:p>
          <w:p w14:paraId="69ABE1D1">
            <w:pPr>
              <w:adjustRightInd w:val="0"/>
              <w:snapToGrid w:val="0"/>
              <w:spacing w:line="360" w:lineRule="auto"/>
              <w:ind w:firstLine="480" w:firstLineChars="200"/>
              <w:rPr>
                <w:sz w:val="24"/>
              </w:rPr>
            </w:pPr>
            <w:r>
              <w:rPr>
                <w:sz w:val="24"/>
              </w:rPr>
              <w:t>（4）噪声自行监测要求</w:t>
            </w:r>
          </w:p>
          <w:p w14:paraId="3A87AD2E">
            <w:pPr>
              <w:adjustRightInd w:val="0"/>
              <w:snapToGrid w:val="0"/>
              <w:spacing w:line="360" w:lineRule="auto"/>
              <w:ind w:firstLine="480" w:firstLineChars="200"/>
              <w:rPr>
                <w:sz w:val="24"/>
              </w:rPr>
            </w:pPr>
            <w:r>
              <w:rPr>
                <w:snapToGrid w:val="0"/>
                <w:sz w:val="24"/>
              </w:rPr>
              <w:t>项目噪声监测要求详见表4-14。</w:t>
            </w:r>
          </w:p>
          <w:p w14:paraId="169EF762">
            <w:pPr>
              <w:jc w:val="center"/>
              <w:rPr>
                <w:sz w:val="24"/>
              </w:rPr>
            </w:pPr>
            <w:r>
              <w:rPr>
                <w:sz w:val="24"/>
              </w:rPr>
              <w:t>表4-14  噪声监测要求一览表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2732"/>
              <w:gridCol w:w="2730"/>
            </w:tblGrid>
            <w:tr w14:paraId="666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shd w:val="clear" w:color="auto" w:fill="auto"/>
                  <w:vAlign w:val="center"/>
                </w:tcPr>
                <w:p w14:paraId="0792F573">
                  <w:pPr>
                    <w:jc w:val="center"/>
                  </w:pPr>
                  <w:r>
                    <w:t>监测点位</w:t>
                  </w:r>
                </w:p>
              </w:tc>
              <w:tc>
                <w:tcPr>
                  <w:tcW w:w="1667" w:type="pct"/>
                  <w:shd w:val="clear" w:color="auto" w:fill="auto"/>
                  <w:vAlign w:val="center"/>
                </w:tcPr>
                <w:p w14:paraId="3F87ED6D">
                  <w:pPr>
                    <w:jc w:val="center"/>
                  </w:pPr>
                  <w:r>
                    <w:t>监测因子</w:t>
                  </w:r>
                </w:p>
              </w:tc>
              <w:tc>
                <w:tcPr>
                  <w:tcW w:w="1666" w:type="pct"/>
                  <w:shd w:val="clear" w:color="auto" w:fill="auto"/>
                  <w:vAlign w:val="center"/>
                </w:tcPr>
                <w:p w14:paraId="76EDA4E7">
                  <w:pPr>
                    <w:jc w:val="center"/>
                  </w:pPr>
                  <w:r>
                    <w:t>监测频次</w:t>
                  </w:r>
                </w:p>
              </w:tc>
            </w:tr>
            <w:tr w14:paraId="5F4F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shd w:val="clear" w:color="auto" w:fill="auto"/>
                  <w:vAlign w:val="center"/>
                </w:tcPr>
                <w:p w14:paraId="2A3369C6">
                  <w:pPr>
                    <w:jc w:val="center"/>
                  </w:pPr>
                  <w:r>
                    <w:rPr>
                      <w:rFonts w:hint="eastAsia"/>
                      <w:szCs w:val="21"/>
                    </w:rPr>
                    <w:t>东、南、西、北</w:t>
                  </w:r>
                  <w:r>
                    <w:rPr>
                      <w:szCs w:val="21"/>
                    </w:rPr>
                    <w:t>厂界</w:t>
                  </w:r>
                </w:p>
              </w:tc>
              <w:tc>
                <w:tcPr>
                  <w:tcW w:w="1667" w:type="pct"/>
                  <w:shd w:val="clear" w:color="auto" w:fill="auto"/>
                  <w:vAlign w:val="center"/>
                </w:tcPr>
                <w:p w14:paraId="56EFEE1D">
                  <w:pPr>
                    <w:jc w:val="center"/>
                  </w:pPr>
                  <w:r>
                    <w:t>等效连续A声级</w:t>
                  </w:r>
                </w:p>
              </w:tc>
              <w:tc>
                <w:tcPr>
                  <w:tcW w:w="1667" w:type="pct"/>
                  <w:shd w:val="clear" w:color="auto" w:fill="auto"/>
                  <w:vAlign w:val="center"/>
                </w:tcPr>
                <w:p w14:paraId="0BB005FA">
                  <w:pPr>
                    <w:jc w:val="center"/>
                  </w:pPr>
                  <w:r>
                    <w:t>1次/每季度</w:t>
                  </w:r>
                </w:p>
              </w:tc>
            </w:tr>
          </w:tbl>
          <w:p w14:paraId="71FDF993">
            <w:pPr>
              <w:adjustRightInd w:val="0"/>
              <w:snapToGrid w:val="0"/>
              <w:spacing w:line="360" w:lineRule="auto"/>
              <w:rPr>
                <w:b/>
                <w:bCs/>
                <w:spacing w:val="-10"/>
                <w:sz w:val="24"/>
              </w:rPr>
            </w:pPr>
            <w:r>
              <w:rPr>
                <w:b/>
                <w:bCs/>
                <w:spacing w:val="-10"/>
                <w:sz w:val="24"/>
              </w:rPr>
              <w:t>4、固体废物</w:t>
            </w:r>
          </w:p>
          <w:p w14:paraId="388E47A7">
            <w:pPr>
              <w:spacing w:line="360" w:lineRule="auto"/>
              <w:ind w:firstLine="480" w:firstLineChars="200"/>
              <w:rPr>
                <w:sz w:val="24"/>
              </w:rPr>
            </w:pPr>
            <w:r>
              <w:rPr>
                <w:rFonts w:hint="eastAsia"/>
                <w:sz w:val="24"/>
              </w:rPr>
              <w:t>项目固体废物包括一般工业固体废物、危险废物、生活垃圾及餐厨垃圾。迁建后项目一般固体废物包括废品、废边角料、废钢丸、废包装材料、表面清理及抛丸废气处理系统除尘灰，危险废物包括废液压油、废润滑油、废包装桶、铝灰渣、废切削液、熔化炉废气处理系统除尘灰、废铝屑、生产废水预处理废油和污泥、废活性炭、废紫外灯管、含油废棉纱及手套。</w:t>
            </w:r>
          </w:p>
          <w:p w14:paraId="6771D2EF">
            <w:pPr>
              <w:spacing w:line="360" w:lineRule="auto"/>
              <w:ind w:firstLine="480" w:firstLineChars="200"/>
              <w:rPr>
                <w:sz w:val="24"/>
              </w:rPr>
            </w:pPr>
            <w:r>
              <w:rPr>
                <w:rFonts w:hint="eastAsia"/>
                <w:sz w:val="24"/>
              </w:rPr>
              <w:t>（1）一般工业固废</w:t>
            </w:r>
          </w:p>
          <w:p w14:paraId="11785A0B">
            <w:pPr>
              <w:spacing w:line="360" w:lineRule="auto"/>
              <w:ind w:firstLine="480" w:firstLineChars="200"/>
              <w:rPr>
                <w:sz w:val="24"/>
              </w:rPr>
            </w:pPr>
            <w:r>
              <w:rPr>
                <w:rFonts w:hint="eastAsia"/>
                <w:sz w:val="24"/>
              </w:rPr>
              <w:t>①废品：项目压铸产品成品率约9</w:t>
            </w:r>
            <w:r>
              <w:rPr>
                <w:sz w:val="24"/>
              </w:rPr>
              <w:t>5</w:t>
            </w:r>
            <w:r>
              <w:rPr>
                <w:rFonts w:hint="eastAsia"/>
                <w:sz w:val="24"/>
              </w:rPr>
              <w:t>%，年压铸总量约</w:t>
            </w:r>
            <w:r>
              <w:rPr>
                <w:sz w:val="24"/>
              </w:rPr>
              <w:t>80</w:t>
            </w:r>
            <w:r>
              <w:rPr>
                <w:rFonts w:hint="eastAsia"/>
                <w:sz w:val="24"/>
              </w:rPr>
              <w:t>00t，则压铸废品约</w:t>
            </w:r>
            <w:r>
              <w:rPr>
                <w:sz w:val="24"/>
              </w:rPr>
              <w:t>400</w:t>
            </w:r>
            <w:r>
              <w:rPr>
                <w:rFonts w:hint="eastAsia"/>
                <w:sz w:val="24"/>
              </w:rPr>
              <w:t>t/a，收集后外售给重庆剑涛铝业有限公司。</w:t>
            </w:r>
          </w:p>
          <w:p w14:paraId="1A8DA2A7">
            <w:pPr>
              <w:spacing w:line="360" w:lineRule="auto"/>
              <w:ind w:firstLine="480" w:firstLineChars="200"/>
              <w:rPr>
                <w:sz w:val="24"/>
              </w:rPr>
            </w:pPr>
            <w:r>
              <w:rPr>
                <w:rFonts w:hint="eastAsia"/>
                <w:sz w:val="24"/>
              </w:rPr>
              <w:t>②废边角料：项目表面清理过程将产生毛刺等废边角料，产生量约为压铸总量的0</w:t>
            </w:r>
            <w:r>
              <w:rPr>
                <w:sz w:val="24"/>
              </w:rPr>
              <w:t>.1</w:t>
            </w:r>
            <w:r>
              <w:rPr>
                <w:rFonts w:hint="eastAsia"/>
                <w:sz w:val="24"/>
              </w:rPr>
              <w:t>%，则废边角料产生量为</w:t>
            </w:r>
            <w:r>
              <w:rPr>
                <w:sz w:val="24"/>
              </w:rPr>
              <w:t>80t/</w:t>
            </w:r>
            <w:r>
              <w:rPr>
                <w:rFonts w:hint="eastAsia"/>
                <w:sz w:val="24"/>
              </w:rPr>
              <w:t>a，收集后外售给重庆剑涛铝业有限公司。</w:t>
            </w:r>
          </w:p>
          <w:p w14:paraId="325794F5">
            <w:pPr>
              <w:spacing w:line="360" w:lineRule="auto"/>
              <w:ind w:firstLine="480" w:firstLineChars="200"/>
              <w:rPr>
                <w:sz w:val="24"/>
              </w:rPr>
            </w:pPr>
            <w:r>
              <w:rPr>
                <w:rFonts w:hint="eastAsia"/>
                <w:sz w:val="24"/>
              </w:rPr>
              <w:t>③废钢丸：项目建设4台抛丸机，根据业主经验数据，每台抛丸机钢丸使用量约为</w:t>
            </w:r>
            <w:r>
              <w:rPr>
                <w:sz w:val="24"/>
              </w:rPr>
              <w:t>5.2</w:t>
            </w:r>
            <w:r>
              <w:rPr>
                <w:rFonts w:hint="eastAsia"/>
                <w:sz w:val="24"/>
              </w:rPr>
              <w:t>t</w:t>
            </w:r>
            <w:r>
              <w:rPr>
                <w:sz w:val="24"/>
              </w:rPr>
              <w:t>/</w:t>
            </w:r>
            <w:r>
              <w:rPr>
                <w:rFonts w:hint="eastAsia"/>
                <w:sz w:val="24"/>
              </w:rPr>
              <w:t>a，则废钢丸产生量为</w:t>
            </w:r>
            <w:r>
              <w:rPr>
                <w:rFonts w:eastAsia="等线"/>
                <w:sz w:val="24"/>
              </w:rPr>
              <w:t>20.8</w:t>
            </w:r>
            <w:r>
              <w:rPr>
                <w:rFonts w:hint="eastAsia"/>
                <w:sz w:val="24"/>
              </w:rPr>
              <w:t>t</w:t>
            </w:r>
            <w:r>
              <w:rPr>
                <w:sz w:val="24"/>
              </w:rPr>
              <w:t>/</w:t>
            </w:r>
            <w:r>
              <w:rPr>
                <w:rFonts w:hint="eastAsia"/>
                <w:sz w:val="24"/>
              </w:rPr>
              <w:t>a，废钢丸定期外售废品收购站。</w:t>
            </w:r>
          </w:p>
          <w:p w14:paraId="06CEEE8E">
            <w:pPr>
              <w:spacing w:line="360" w:lineRule="auto"/>
              <w:ind w:firstLine="480" w:firstLineChars="200"/>
              <w:rPr>
                <w:sz w:val="24"/>
              </w:rPr>
            </w:pPr>
            <w:r>
              <w:rPr>
                <w:rFonts w:hint="eastAsia"/>
                <w:sz w:val="24"/>
              </w:rPr>
              <w:t>④废包装材料：项目采用仓笼作为包装物，包装物回收利用，有损耗时定期补充。废包装材料产生量约为</w:t>
            </w:r>
            <w:r>
              <w:rPr>
                <w:sz w:val="24"/>
              </w:rPr>
              <w:t>6</w:t>
            </w:r>
            <w:r>
              <w:rPr>
                <w:rFonts w:hint="eastAsia"/>
                <w:sz w:val="24"/>
              </w:rPr>
              <w:t>t</w:t>
            </w:r>
            <w:r>
              <w:rPr>
                <w:sz w:val="24"/>
              </w:rPr>
              <w:t>/</w:t>
            </w:r>
            <w:r>
              <w:rPr>
                <w:rFonts w:hint="eastAsia"/>
                <w:sz w:val="24"/>
              </w:rPr>
              <w:t>a，定期外售废品收购站</w:t>
            </w:r>
          </w:p>
          <w:p w14:paraId="2744A192">
            <w:pPr>
              <w:spacing w:line="360" w:lineRule="auto"/>
              <w:ind w:firstLine="480" w:firstLineChars="200"/>
              <w:rPr>
                <w:sz w:val="24"/>
              </w:rPr>
            </w:pPr>
            <w:r>
              <w:rPr>
                <w:rFonts w:hint="eastAsia"/>
                <w:sz w:val="24"/>
              </w:rPr>
              <w:t>⑤清理及抛丸废气处理系统除尘灰：根据工程分析计算可知，项目清理及抛丸废气处理系统除尘灰产生量为</w:t>
            </w:r>
            <w:r>
              <w:rPr>
                <w:sz w:val="24"/>
              </w:rPr>
              <w:t>19.404</w:t>
            </w:r>
            <w:r>
              <w:rPr>
                <w:rFonts w:hint="eastAsia"/>
                <w:sz w:val="24"/>
              </w:rPr>
              <w:t>t</w:t>
            </w:r>
            <w:r>
              <w:rPr>
                <w:sz w:val="24"/>
              </w:rPr>
              <w:t>/</w:t>
            </w:r>
            <w:r>
              <w:rPr>
                <w:rFonts w:hint="eastAsia"/>
                <w:sz w:val="24"/>
              </w:rPr>
              <w:t>a，收集后外售重庆剑涛铝业有限公司。</w:t>
            </w:r>
          </w:p>
          <w:p w14:paraId="1FC80FDF">
            <w:pPr>
              <w:spacing w:line="360" w:lineRule="auto"/>
              <w:ind w:firstLine="480" w:firstLineChars="200"/>
              <w:rPr>
                <w:sz w:val="24"/>
              </w:rPr>
            </w:pPr>
            <w:r>
              <w:rPr>
                <w:rFonts w:hint="eastAsia"/>
                <w:sz w:val="24"/>
              </w:rPr>
              <w:t>（</w:t>
            </w:r>
            <w:r>
              <w:rPr>
                <w:sz w:val="24"/>
              </w:rPr>
              <w:t>2</w:t>
            </w:r>
            <w:r>
              <w:rPr>
                <w:rFonts w:hint="eastAsia"/>
                <w:sz w:val="24"/>
              </w:rPr>
              <w:t>）危险废物</w:t>
            </w:r>
          </w:p>
          <w:p w14:paraId="3EBD0E8F">
            <w:pPr>
              <w:spacing w:line="360" w:lineRule="auto"/>
              <w:ind w:firstLine="480" w:firstLineChars="200"/>
              <w:rPr>
                <w:sz w:val="24"/>
              </w:rPr>
            </w:pPr>
            <w:r>
              <w:rPr>
                <w:rFonts w:hint="eastAsia"/>
                <w:sz w:val="24"/>
              </w:rPr>
              <w:t>①废液压油（HW08，</w:t>
            </w:r>
            <w:r>
              <w:rPr>
                <w:sz w:val="24"/>
              </w:rPr>
              <w:t>900-249-08</w:t>
            </w:r>
            <w:r>
              <w:rPr>
                <w:rFonts w:hint="eastAsia"/>
                <w:sz w:val="24"/>
              </w:rPr>
              <w:t>）：根据项目液压设备数量并结合现有工程生产经验，项目废液压油产生量约</w:t>
            </w:r>
            <w:r>
              <w:rPr>
                <w:rFonts w:eastAsia="等线"/>
                <w:sz w:val="24"/>
                <w:szCs w:val="22"/>
              </w:rPr>
              <w:t>12.5</w:t>
            </w:r>
            <w:r>
              <w:rPr>
                <w:rFonts w:hint="eastAsia"/>
                <w:sz w:val="24"/>
              </w:rPr>
              <w:t>t/a，经惰性桶收集后交由具有危险废物处理资质的单位处置。</w:t>
            </w:r>
          </w:p>
          <w:p w14:paraId="19626AD0">
            <w:pPr>
              <w:spacing w:line="360" w:lineRule="auto"/>
              <w:ind w:firstLine="480" w:firstLineChars="200"/>
              <w:rPr>
                <w:sz w:val="24"/>
              </w:rPr>
            </w:pPr>
            <w:r>
              <w:rPr>
                <w:rFonts w:hint="eastAsia"/>
                <w:sz w:val="24"/>
              </w:rPr>
              <w:t>②废润滑油（HW08，</w:t>
            </w:r>
            <w:r>
              <w:rPr>
                <w:sz w:val="24"/>
              </w:rPr>
              <w:t>900-249-08</w:t>
            </w:r>
            <w:r>
              <w:rPr>
                <w:rFonts w:hint="eastAsia"/>
                <w:sz w:val="24"/>
              </w:rPr>
              <w:t>）：根据现有工程生产经验，项目模具维修及设备维护废润滑油产生量约</w:t>
            </w:r>
            <w:r>
              <w:rPr>
                <w:rFonts w:eastAsia="等线"/>
                <w:sz w:val="24"/>
                <w:szCs w:val="21"/>
              </w:rPr>
              <w:t>67</w:t>
            </w:r>
            <w:r>
              <w:rPr>
                <w:rFonts w:hint="eastAsia"/>
                <w:sz w:val="24"/>
              </w:rPr>
              <w:t>t/a，经惰性桶收集后交由具有危险废物处理资质的单位处置。</w:t>
            </w:r>
          </w:p>
          <w:p w14:paraId="605055C6">
            <w:pPr>
              <w:spacing w:line="360" w:lineRule="auto"/>
              <w:ind w:firstLine="480" w:firstLineChars="200"/>
              <w:rPr>
                <w:sz w:val="24"/>
              </w:rPr>
            </w:pPr>
            <w:r>
              <w:rPr>
                <w:rFonts w:hint="eastAsia"/>
                <w:sz w:val="24"/>
              </w:rPr>
              <w:t>③废包装桶（HW49，900-041-49）：主要为废液压油、废脱模剂、废清洗剂及废切削液包装桶，根据项目原辅材料使用量核算，项目废包装桶产生量约</w:t>
            </w:r>
            <w:r>
              <w:rPr>
                <w:sz w:val="24"/>
              </w:rPr>
              <w:t>8.0</w:t>
            </w:r>
            <w:r>
              <w:rPr>
                <w:rFonts w:hint="eastAsia"/>
                <w:sz w:val="24"/>
              </w:rPr>
              <w:t>t/a，收集后厂家回收或交由具有危险废物处理资质的单位处置。</w:t>
            </w:r>
          </w:p>
          <w:p w14:paraId="537252C9">
            <w:pPr>
              <w:spacing w:line="360" w:lineRule="auto"/>
              <w:ind w:firstLine="480" w:firstLineChars="200"/>
              <w:rPr>
                <w:sz w:val="24"/>
              </w:rPr>
            </w:pPr>
            <w:r>
              <w:rPr>
                <w:rFonts w:hint="eastAsia"/>
                <w:sz w:val="24"/>
              </w:rPr>
              <w:t>④铝灰渣（HW48，</w:t>
            </w:r>
            <w:r>
              <w:rPr>
                <w:sz w:val="24"/>
              </w:rPr>
              <w:t>321-026-48</w:t>
            </w:r>
            <w:r>
              <w:rPr>
                <w:rFonts w:hint="eastAsia"/>
                <w:sz w:val="24"/>
              </w:rPr>
              <w:t>）：项目为合金锭的熔化，铝灰渣产生量很少，主要为铝锭及铝液烧损产生，成分主要为氧化铝及少量的金属铝，产生量约为15kg/t铝液，项目铝灰渣产生量约</w:t>
            </w:r>
            <w:r>
              <w:rPr>
                <w:sz w:val="24"/>
              </w:rPr>
              <w:t>120</w:t>
            </w:r>
            <w:r>
              <w:rPr>
                <w:rFonts w:hint="eastAsia"/>
                <w:sz w:val="24"/>
              </w:rPr>
              <w:t>t/a，收集后交由具有危险废物处理资质的单位处置。</w:t>
            </w:r>
          </w:p>
          <w:p w14:paraId="078E0C14">
            <w:pPr>
              <w:spacing w:line="360" w:lineRule="auto"/>
              <w:ind w:firstLine="480" w:firstLineChars="200"/>
              <w:rPr>
                <w:sz w:val="24"/>
              </w:rPr>
            </w:pPr>
            <w:r>
              <w:rPr>
                <w:rFonts w:hint="eastAsia"/>
                <w:sz w:val="24"/>
              </w:rPr>
              <w:t>⑤废切削液（HW09，900-006-09），项目切削液每半年配置1次，每次配置量为5</w:t>
            </w:r>
            <w:r>
              <w:rPr>
                <w:sz w:val="24"/>
              </w:rPr>
              <w:t>0t</w:t>
            </w:r>
            <w:r>
              <w:rPr>
                <w:rFonts w:hint="eastAsia"/>
                <w:sz w:val="24"/>
              </w:rPr>
              <w:t>，切削液每半年更换一次，则废切削液</w:t>
            </w:r>
            <w:r>
              <w:rPr>
                <w:sz w:val="24"/>
              </w:rPr>
              <w:t>产生量</w:t>
            </w:r>
            <w:r>
              <w:rPr>
                <w:rFonts w:hint="eastAsia"/>
                <w:sz w:val="24"/>
              </w:rPr>
              <w:t>约</w:t>
            </w:r>
            <w:r>
              <w:rPr>
                <w:sz w:val="24"/>
              </w:rPr>
              <w:t>100</w:t>
            </w:r>
            <w:r>
              <w:rPr>
                <w:rFonts w:hint="eastAsia"/>
                <w:sz w:val="24"/>
              </w:rPr>
              <w:t>t/a，经惰性桶收集后交由具有危险废物处理资质的单位处置。</w:t>
            </w:r>
          </w:p>
          <w:p w14:paraId="6DBAD850">
            <w:pPr>
              <w:spacing w:line="360" w:lineRule="auto"/>
              <w:ind w:firstLine="480" w:firstLineChars="200"/>
              <w:rPr>
                <w:sz w:val="24"/>
              </w:rPr>
            </w:pPr>
            <w:r>
              <w:rPr>
                <w:rFonts w:hint="eastAsia"/>
                <w:sz w:val="24"/>
              </w:rPr>
              <w:t>⑥</w:t>
            </w:r>
            <w:r>
              <w:rPr>
                <w:sz w:val="24"/>
              </w:rPr>
              <w:t>废脱模剂</w:t>
            </w:r>
            <w:r>
              <w:rPr>
                <w:rFonts w:hint="eastAsia"/>
                <w:sz w:val="24"/>
              </w:rPr>
              <w:t>（HW09，900-006-09）：项目脱模剂每年配置1次，每次配置量为</w:t>
            </w:r>
            <w:r>
              <w:rPr>
                <w:sz w:val="24"/>
              </w:rPr>
              <w:t>12t</w:t>
            </w:r>
            <w:r>
              <w:rPr>
                <w:rFonts w:hint="eastAsia"/>
                <w:sz w:val="24"/>
              </w:rPr>
              <w:t>，</w:t>
            </w:r>
            <w:r>
              <w:rPr>
                <w:sz w:val="24"/>
              </w:rPr>
              <w:t>脱模剂</w:t>
            </w:r>
            <w:r>
              <w:rPr>
                <w:rFonts w:hint="eastAsia"/>
                <w:sz w:val="24"/>
              </w:rPr>
              <w:t>每年更换一次，则废</w:t>
            </w:r>
            <w:r>
              <w:rPr>
                <w:sz w:val="24"/>
              </w:rPr>
              <w:t>脱模剂产生量</w:t>
            </w:r>
            <w:r>
              <w:rPr>
                <w:rFonts w:hint="eastAsia"/>
                <w:sz w:val="24"/>
              </w:rPr>
              <w:t>约</w:t>
            </w:r>
            <w:r>
              <w:rPr>
                <w:sz w:val="24"/>
              </w:rPr>
              <w:t>12</w:t>
            </w:r>
            <w:r>
              <w:rPr>
                <w:rFonts w:hint="eastAsia"/>
                <w:sz w:val="24"/>
              </w:rPr>
              <w:t>t/a，经惰性桶收集后交由具有危险废物处理资质的单位处置。</w:t>
            </w:r>
          </w:p>
          <w:p w14:paraId="5C93F556">
            <w:pPr>
              <w:spacing w:line="360" w:lineRule="auto"/>
              <w:ind w:firstLine="480" w:firstLineChars="200"/>
              <w:rPr>
                <w:sz w:val="24"/>
              </w:rPr>
            </w:pPr>
            <w:r>
              <w:rPr>
                <w:rFonts w:hint="eastAsia"/>
                <w:sz w:val="24"/>
              </w:rPr>
              <w:t>⑦熔化炉废气处理系统除尘灰（HW48，</w:t>
            </w:r>
            <w:r>
              <w:rPr>
                <w:sz w:val="24"/>
              </w:rPr>
              <w:t>321-034-48</w:t>
            </w:r>
            <w:r>
              <w:rPr>
                <w:rFonts w:hint="eastAsia"/>
                <w:sz w:val="24"/>
              </w:rPr>
              <w:t>）：根据前文废气治理计算结果，熔化炉废气处理系统除尘灰产生量约为</w:t>
            </w:r>
            <w:r>
              <w:rPr>
                <w:sz w:val="24"/>
              </w:rPr>
              <w:t>1.06</w:t>
            </w:r>
            <w:r>
              <w:rPr>
                <w:rFonts w:hint="eastAsia"/>
                <w:sz w:val="24"/>
              </w:rPr>
              <w:t>t/a，主要成分为氧化铝，惰性桶收集后交由具有危险废物处理资质的单位处置。</w:t>
            </w:r>
          </w:p>
          <w:p w14:paraId="7FD4CA9F">
            <w:pPr>
              <w:spacing w:line="360" w:lineRule="auto"/>
              <w:ind w:firstLine="480" w:firstLineChars="200"/>
              <w:rPr>
                <w:sz w:val="24"/>
              </w:rPr>
            </w:pPr>
            <w:r>
              <w:rPr>
                <w:rFonts w:hint="eastAsia"/>
                <w:sz w:val="24"/>
              </w:rPr>
              <w:t>⑧废铝屑（HW09，900-006-09）：项目机加工过程将产生废铝屑，废铝屑产生量约为加工量的2%，切削压铸件总重约</w:t>
            </w:r>
            <w:r>
              <w:rPr>
                <w:sz w:val="24"/>
              </w:rPr>
              <w:t>7520</w:t>
            </w:r>
            <w:r>
              <w:rPr>
                <w:rFonts w:hint="eastAsia"/>
                <w:sz w:val="24"/>
              </w:rPr>
              <w:t>t，则机加工产生的铝屑量约</w:t>
            </w:r>
            <w:r>
              <w:rPr>
                <w:sz w:val="24"/>
              </w:rPr>
              <w:t>150.4</w:t>
            </w:r>
            <w:r>
              <w:rPr>
                <w:rFonts w:hint="eastAsia"/>
                <w:sz w:val="24"/>
              </w:rPr>
              <w:t>t/a，惰性桶收集后交由具有危险废物处理资质的单位处置。</w:t>
            </w:r>
          </w:p>
          <w:p w14:paraId="560646EF">
            <w:pPr>
              <w:spacing w:line="360" w:lineRule="auto"/>
              <w:ind w:firstLine="480" w:firstLineChars="200"/>
              <w:rPr>
                <w:sz w:val="24"/>
              </w:rPr>
            </w:pPr>
            <w:r>
              <w:rPr>
                <w:rFonts w:hint="eastAsia"/>
                <w:sz w:val="24"/>
              </w:rPr>
              <w:t>⑨生产废水预处理废油和污泥（HW</w:t>
            </w:r>
            <w:r>
              <w:rPr>
                <w:sz w:val="24"/>
              </w:rPr>
              <w:t>08</w:t>
            </w:r>
            <w:r>
              <w:rPr>
                <w:rFonts w:hint="eastAsia"/>
                <w:sz w:val="24"/>
              </w:rPr>
              <w:t>，</w:t>
            </w:r>
            <w:r>
              <w:rPr>
                <w:sz w:val="24"/>
              </w:rPr>
              <w:t>900-210-08</w:t>
            </w:r>
            <w:r>
              <w:rPr>
                <w:rFonts w:hint="eastAsia"/>
                <w:sz w:val="24"/>
              </w:rPr>
              <w:t>）：主要为废水预处理阶段（隔油+调节池+破乳+气浮）产生的废油及污泥，项目运营期生产废水预处理量为</w:t>
            </w:r>
            <w:r>
              <w:rPr>
                <w:sz w:val="24"/>
              </w:rPr>
              <w:fldChar w:fldCharType="begin"/>
            </w:r>
            <w:r>
              <w:rPr>
                <w:sz w:val="24"/>
              </w:rPr>
              <w:instrText xml:space="preserve"> =SUM(ABOVE) </w:instrText>
            </w:r>
            <w:r>
              <w:rPr>
                <w:sz w:val="24"/>
              </w:rPr>
              <w:fldChar w:fldCharType="separate"/>
            </w:r>
            <w:r>
              <w:rPr>
                <w:sz w:val="24"/>
              </w:rPr>
              <w:t>5578.06</w:t>
            </w:r>
            <w:r>
              <w:rPr>
                <w:sz w:val="24"/>
              </w:rPr>
              <w:fldChar w:fldCharType="end"/>
            </w:r>
            <w:r>
              <w:rPr>
                <w:sz w:val="24"/>
              </w:rPr>
              <w:t>m</w:t>
            </w:r>
            <w:r>
              <w:rPr>
                <w:sz w:val="24"/>
                <w:vertAlign w:val="superscript"/>
              </w:rPr>
              <w:t>3</w:t>
            </w:r>
            <w:r>
              <w:rPr>
                <w:sz w:val="24"/>
              </w:rPr>
              <w:t>/a，产物系数按照40kg/100m</w:t>
            </w:r>
            <w:r>
              <w:rPr>
                <w:sz w:val="24"/>
                <w:vertAlign w:val="superscript"/>
              </w:rPr>
              <w:t>3</w:t>
            </w:r>
            <w:r>
              <w:rPr>
                <w:sz w:val="24"/>
              </w:rPr>
              <w:t>计</w:t>
            </w:r>
            <w:r>
              <w:rPr>
                <w:rFonts w:hint="eastAsia" w:eastAsia="等线"/>
                <w:sz w:val="24"/>
              </w:rPr>
              <w:t>，</w:t>
            </w:r>
            <w:r>
              <w:rPr>
                <w:rFonts w:eastAsia="等线"/>
                <w:sz w:val="24"/>
              </w:rPr>
              <w:t>则</w:t>
            </w:r>
            <w:r>
              <w:rPr>
                <w:rFonts w:hint="eastAsia"/>
                <w:sz w:val="24"/>
              </w:rPr>
              <w:t>产生量约</w:t>
            </w:r>
            <w:r>
              <w:rPr>
                <w:sz w:val="24"/>
              </w:rPr>
              <w:t>2.23</w:t>
            </w:r>
            <w:r>
              <w:rPr>
                <w:rFonts w:hint="eastAsia"/>
                <w:sz w:val="24"/>
              </w:rPr>
              <w:t>t/a，经惰性桶收集后交由具有危险废物处理资质的单位处置。</w:t>
            </w:r>
          </w:p>
          <w:p w14:paraId="292E0DC4">
            <w:pPr>
              <w:spacing w:line="360" w:lineRule="auto"/>
              <w:ind w:firstLine="480" w:firstLineChars="200"/>
              <w:rPr>
                <w:sz w:val="24"/>
              </w:rPr>
            </w:pPr>
            <w:r>
              <w:rPr>
                <w:rFonts w:hint="eastAsia"/>
                <w:sz w:val="24"/>
              </w:rPr>
              <w:t>⑩废活性炭（HW08，</w:t>
            </w:r>
            <w:r>
              <w:rPr>
                <w:sz w:val="24"/>
              </w:rPr>
              <w:t>900-039-49</w:t>
            </w:r>
            <w:r>
              <w:rPr>
                <w:rFonts w:hint="eastAsia"/>
                <w:sz w:val="24"/>
              </w:rPr>
              <w:t>）：项目压铸工序脱模废气治理过程将产生废活性炭，按1t活性炭吸收0.25tVOC计算，本项目非甲烷总烃治理量为</w:t>
            </w:r>
            <w:r>
              <w:rPr>
                <w:sz w:val="24"/>
              </w:rPr>
              <w:t>0.371t</w:t>
            </w:r>
            <w:r>
              <w:rPr>
                <w:rFonts w:hint="eastAsia"/>
                <w:sz w:val="24"/>
              </w:rPr>
              <w:t>/a，产生量约为</w:t>
            </w:r>
            <w:r>
              <w:rPr>
                <w:sz w:val="24"/>
              </w:rPr>
              <w:t>1.86</w:t>
            </w:r>
            <w:r>
              <w:rPr>
                <w:rFonts w:hint="eastAsia"/>
                <w:sz w:val="24"/>
              </w:rPr>
              <w:t>t</w:t>
            </w:r>
            <w:r>
              <w:rPr>
                <w:sz w:val="24"/>
              </w:rPr>
              <w:t>/</w:t>
            </w:r>
            <w:r>
              <w:rPr>
                <w:rFonts w:hint="eastAsia"/>
                <w:sz w:val="24"/>
              </w:rPr>
              <w:t>a，经惰性桶收集后交由具有危险废物处理资质的单位处置。</w:t>
            </w:r>
          </w:p>
          <w:p w14:paraId="2A162230">
            <w:pPr>
              <w:spacing w:line="360" w:lineRule="auto"/>
              <w:ind w:firstLine="480" w:firstLineChars="200"/>
              <w:rPr>
                <w:sz w:val="24"/>
              </w:rPr>
            </w:pPr>
            <w:r>
              <w:rPr>
                <w:rFonts w:ascii="Cambria Math" w:hAnsi="Cambria Math" w:cs="Cambria Math"/>
                <w:sz w:val="24"/>
              </w:rPr>
              <w:t>⑪</w:t>
            </w:r>
            <w:r>
              <w:rPr>
                <w:rFonts w:hint="eastAsia"/>
                <w:sz w:val="24"/>
              </w:rPr>
              <w:t>废紫外灯管（</w:t>
            </w:r>
            <w:r>
              <w:rPr>
                <w:sz w:val="24"/>
              </w:rPr>
              <w:t>HW29</w:t>
            </w:r>
            <w:r>
              <w:rPr>
                <w:rFonts w:hint="eastAsia"/>
                <w:sz w:val="24"/>
              </w:rPr>
              <w:t>，</w:t>
            </w:r>
            <w:r>
              <w:rPr>
                <w:sz w:val="24"/>
              </w:rPr>
              <w:t>900-023-29</w:t>
            </w:r>
            <w:r>
              <w:rPr>
                <w:rFonts w:hint="eastAsia"/>
                <w:sz w:val="24"/>
              </w:rPr>
              <w:t>）：项目压铸工序脱模废气治理过程将产生废紫外灯管，产生量约为</w:t>
            </w:r>
            <w:r>
              <w:rPr>
                <w:sz w:val="24"/>
              </w:rPr>
              <w:t>0.02</w:t>
            </w:r>
            <w:r>
              <w:rPr>
                <w:rFonts w:hint="eastAsia"/>
                <w:sz w:val="24"/>
              </w:rPr>
              <w:t>t</w:t>
            </w:r>
            <w:r>
              <w:rPr>
                <w:sz w:val="24"/>
              </w:rPr>
              <w:t>/</w:t>
            </w:r>
            <w:r>
              <w:rPr>
                <w:rFonts w:hint="eastAsia"/>
                <w:sz w:val="24"/>
              </w:rPr>
              <w:t>a，惰性桶收集后交由具有危险废物处理资质的单位处置。</w:t>
            </w:r>
          </w:p>
          <w:p w14:paraId="2592BEA7">
            <w:pPr>
              <w:spacing w:line="360" w:lineRule="auto"/>
              <w:ind w:firstLine="480" w:firstLineChars="200"/>
              <w:rPr>
                <w:sz w:val="24"/>
              </w:rPr>
            </w:pPr>
            <w:r>
              <w:rPr>
                <w:rFonts w:ascii="Cambria Math" w:hAnsi="Cambria Math" w:cs="Cambria Math"/>
                <w:sz w:val="24"/>
              </w:rPr>
              <w:t>⑫</w:t>
            </w:r>
            <w:r>
              <w:rPr>
                <w:rFonts w:hint="eastAsia"/>
                <w:sz w:val="24"/>
              </w:rPr>
              <w:t>含油废棉纱及手套（HW</w:t>
            </w:r>
            <w:r>
              <w:rPr>
                <w:sz w:val="24"/>
              </w:rPr>
              <w:t>49</w:t>
            </w:r>
            <w:r>
              <w:rPr>
                <w:rFonts w:hint="eastAsia"/>
                <w:sz w:val="24"/>
              </w:rPr>
              <w:t>，</w:t>
            </w:r>
            <w:r>
              <w:rPr>
                <w:sz w:val="24"/>
              </w:rPr>
              <w:t>900-041-49</w:t>
            </w:r>
            <w:r>
              <w:rPr>
                <w:rFonts w:hint="eastAsia"/>
                <w:sz w:val="24"/>
              </w:rPr>
              <w:t>）：项目生产过程中含油废棉纱及手套产生量约为</w:t>
            </w:r>
            <w:r>
              <w:rPr>
                <w:sz w:val="24"/>
              </w:rPr>
              <w:t>5</w:t>
            </w:r>
            <w:r>
              <w:rPr>
                <w:rFonts w:hint="eastAsia"/>
                <w:sz w:val="24"/>
              </w:rPr>
              <w:t>t</w:t>
            </w:r>
            <w:r>
              <w:rPr>
                <w:sz w:val="24"/>
              </w:rPr>
              <w:t>/</w:t>
            </w:r>
            <w:r>
              <w:rPr>
                <w:rFonts w:hint="eastAsia"/>
                <w:sz w:val="24"/>
              </w:rPr>
              <w:t>a，惰性桶收集后交由具有危险废物处理资质的单位处置。</w:t>
            </w:r>
          </w:p>
          <w:p w14:paraId="7F1DC6D1">
            <w:pPr>
              <w:spacing w:line="360" w:lineRule="auto"/>
              <w:ind w:firstLine="480" w:firstLineChars="200"/>
              <w:rPr>
                <w:sz w:val="24"/>
              </w:rPr>
            </w:pPr>
            <w:r>
              <w:rPr>
                <w:rFonts w:hint="eastAsia"/>
                <w:sz w:val="24"/>
              </w:rPr>
              <w:t>（3）生活垃圾</w:t>
            </w:r>
          </w:p>
          <w:p w14:paraId="2F65A302">
            <w:pPr>
              <w:spacing w:line="360" w:lineRule="auto"/>
              <w:ind w:firstLine="480" w:firstLineChars="200"/>
              <w:rPr>
                <w:sz w:val="24"/>
              </w:rPr>
            </w:pPr>
            <w:r>
              <w:rPr>
                <w:rFonts w:hint="eastAsia"/>
                <w:sz w:val="24"/>
              </w:rPr>
              <w:t>项目劳动定员</w:t>
            </w:r>
            <w:r>
              <w:rPr>
                <w:sz w:val="24"/>
              </w:rPr>
              <w:t>388</w:t>
            </w:r>
            <w:r>
              <w:rPr>
                <w:rFonts w:hint="eastAsia"/>
                <w:sz w:val="24"/>
              </w:rPr>
              <w:t>人，按照生活垃圾产生系数0.5kg/人·d，年工作300天，则生活垃圾年生产量为</w:t>
            </w:r>
            <w:r>
              <w:rPr>
                <w:sz w:val="24"/>
              </w:rPr>
              <w:t>58.2</w:t>
            </w:r>
            <w:r>
              <w:rPr>
                <w:rFonts w:hint="eastAsia"/>
                <w:sz w:val="24"/>
              </w:rPr>
              <w:t>t/a。生活垃圾袋装收集后，交由当地环卫部门统一收运处置。</w:t>
            </w:r>
          </w:p>
          <w:p w14:paraId="0943378A">
            <w:pPr>
              <w:spacing w:line="360" w:lineRule="auto"/>
              <w:ind w:firstLine="480" w:firstLineChars="200"/>
              <w:rPr>
                <w:sz w:val="24"/>
              </w:rPr>
            </w:pPr>
            <w:r>
              <w:rPr>
                <w:rFonts w:hint="eastAsia"/>
                <w:sz w:val="24"/>
              </w:rPr>
              <w:t>（4）餐厨垃圾</w:t>
            </w:r>
          </w:p>
          <w:p w14:paraId="5787F53C">
            <w:pPr>
              <w:spacing w:line="360" w:lineRule="auto"/>
              <w:ind w:firstLine="480" w:firstLineChars="200"/>
              <w:rPr>
                <w:sz w:val="24"/>
              </w:rPr>
            </w:pPr>
            <w:r>
              <w:rPr>
                <w:rFonts w:hint="eastAsia"/>
                <w:sz w:val="24"/>
              </w:rPr>
              <w:t>项目员工均在食堂就餐，</w:t>
            </w:r>
            <w:r>
              <w:rPr>
                <w:sz w:val="24"/>
              </w:rPr>
              <w:t>3</w:t>
            </w:r>
            <w:r>
              <w:rPr>
                <w:rFonts w:hint="eastAsia"/>
                <w:sz w:val="24"/>
              </w:rPr>
              <w:t>餐</w:t>
            </w:r>
            <w:r>
              <w:rPr>
                <w:sz w:val="24"/>
              </w:rPr>
              <w:t>/d</w:t>
            </w:r>
            <w:r>
              <w:rPr>
                <w:rFonts w:hint="eastAsia"/>
                <w:sz w:val="24"/>
              </w:rPr>
              <w:t>，食堂餐厨垃圾产生量按</w:t>
            </w:r>
            <w:r>
              <w:rPr>
                <w:sz w:val="24"/>
              </w:rPr>
              <w:t>0.2kg/</w:t>
            </w:r>
            <w:r>
              <w:rPr>
                <w:rFonts w:hint="eastAsia"/>
                <w:sz w:val="24"/>
              </w:rPr>
              <w:t>人</w:t>
            </w:r>
            <w:r>
              <w:rPr>
                <w:sz w:val="24"/>
              </w:rPr>
              <w:t>·</w:t>
            </w:r>
            <w:r>
              <w:rPr>
                <w:rFonts w:hint="eastAsia"/>
                <w:sz w:val="24"/>
              </w:rPr>
              <w:t>餐，则餐厨垃圾产生量约</w:t>
            </w:r>
            <w:r>
              <w:rPr>
                <w:sz w:val="24"/>
              </w:rPr>
              <w:t>69.84t/a</w:t>
            </w:r>
            <w:r>
              <w:rPr>
                <w:rFonts w:hint="eastAsia"/>
                <w:sz w:val="24"/>
              </w:rPr>
              <w:t>。采用专用桶收集，交由餐厨垃圾专业回收单位处置。</w:t>
            </w:r>
          </w:p>
          <w:p w14:paraId="1F64F987">
            <w:pPr>
              <w:spacing w:line="360" w:lineRule="auto"/>
              <w:ind w:firstLine="480" w:firstLineChars="200"/>
              <w:rPr>
                <w:sz w:val="24"/>
              </w:rPr>
            </w:pPr>
            <w:r>
              <w:rPr>
                <w:sz w:val="24"/>
              </w:rPr>
              <w:t>项目</w:t>
            </w:r>
            <w:r>
              <w:rPr>
                <w:rFonts w:hint="eastAsia"/>
                <w:sz w:val="24"/>
              </w:rPr>
              <w:t>迁</w:t>
            </w:r>
            <w:r>
              <w:rPr>
                <w:sz w:val="24"/>
              </w:rPr>
              <w:t>建后固废产生及处置情况见表4-15和表4-16</w:t>
            </w:r>
            <w:r>
              <w:rPr>
                <w:rFonts w:hint="eastAsia"/>
                <w:sz w:val="24"/>
              </w:rPr>
              <w:t>。</w:t>
            </w:r>
          </w:p>
          <w:p w14:paraId="321F6963">
            <w:pPr>
              <w:spacing w:line="360" w:lineRule="auto"/>
              <w:ind w:firstLine="480" w:firstLineChars="200"/>
              <w:rPr>
                <w:sz w:val="24"/>
              </w:rPr>
            </w:pPr>
          </w:p>
          <w:p w14:paraId="6A278AB4">
            <w:pPr>
              <w:spacing w:line="360" w:lineRule="auto"/>
              <w:ind w:firstLine="560" w:firstLineChars="200"/>
              <w:rPr>
                <w:sz w:val="28"/>
                <w:szCs w:val="28"/>
              </w:rPr>
            </w:pPr>
          </w:p>
        </w:tc>
      </w:tr>
    </w:tbl>
    <w:p w14:paraId="1E339EBA">
      <w:pPr>
        <w:tabs>
          <w:tab w:val="center" w:pos="4422"/>
        </w:tabs>
        <w:rPr>
          <w:sz w:val="28"/>
          <w:szCs w:val="28"/>
        </w:rPr>
        <w:sectPr>
          <w:pgSz w:w="11907" w:h="16840"/>
          <w:pgMar w:top="1701" w:right="1531" w:bottom="2127" w:left="1531" w:header="851" w:footer="851" w:gutter="0"/>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2733"/>
      </w:tblGrid>
      <w:tr w14:paraId="7C9F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392" w:type="dxa"/>
            <w:shd w:val="clear" w:color="auto" w:fill="auto"/>
          </w:tcPr>
          <w:p w14:paraId="5C4319BD">
            <w:pPr>
              <w:tabs>
                <w:tab w:val="center" w:pos="4422"/>
              </w:tabs>
              <w:rPr>
                <w:sz w:val="28"/>
                <w:szCs w:val="28"/>
              </w:rPr>
            </w:pPr>
            <w:r>
              <w:rPr>
                <w:sz w:val="28"/>
                <w:szCs w:val="28"/>
              </w:rPr>
              <w:t>运营期环境影响和保护措施</w:t>
            </w:r>
          </w:p>
        </w:tc>
        <w:tc>
          <w:tcPr>
            <w:tcW w:w="12837" w:type="dxa"/>
            <w:shd w:val="clear" w:color="auto" w:fill="auto"/>
          </w:tcPr>
          <w:p w14:paraId="7C13AD64">
            <w:pPr>
              <w:tabs>
                <w:tab w:val="center" w:pos="4422"/>
              </w:tabs>
              <w:jc w:val="center"/>
              <w:rPr>
                <w:sz w:val="24"/>
              </w:rPr>
            </w:pPr>
            <w:r>
              <w:rPr>
                <w:sz w:val="24"/>
              </w:rPr>
              <w:t xml:space="preserve">表4-15  </w:t>
            </w:r>
            <w:r>
              <w:rPr>
                <w:rFonts w:hint="eastAsia"/>
                <w:sz w:val="24"/>
              </w:rPr>
              <w:t>迁</w:t>
            </w:r>
            <w:r>
              <w:rPr>
                <w:sz w:val="24"/>
              </w:rPr>
              <w:t>建后固废产生情况表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80"/>
              <w:gridCol w:w="1864"/>
              <w:gridCol w:w="2155"/>
              <w:gridCol w:w="1149"/>
              <w:gridCol w:w="1291"/>
              <w:gridCol w:w="1026"/>
              <w:gridCol w:w="1854"/>
              <w:gridCol w:w="993"/>
            </w:tblGrid>
            <w:tr w14:paraId="23475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vMerge w:val="restart"/>
                  <w:tcBorders>
                    <w:right w:val="single" w:color="auto" w:sz="4" w:space="0"/>
                  </w:tcBorders>
                  <w:vAlign w:val="center"/>
                </w:tcPr>
                <w:p w14:paraId="3072455B">
                  <w:pPr>
                    <w:pStyle w:val="69"/>
                    <w:autoSpaceDE/>
                    <w:autoSpaceDN/>
                    <w:adjustRightInd/>
                    <w:snapToGrid/>
                    <w:spacing w:line="260" w:lineRule="exact"/>
                    <w:rPr>
                      <w:rFonts w:ascii="Times New Roman" w:hAnsi="Times New Roman"/>
                    </w:rPr>
                  </w:pPr>
                  <w:r>
                    <w:rPr>
                      <w:rFonts w:ascii="Times New Roman" w:hAnsi="Times New Roman"/>
                    </w:rPr>
                    <w:t>产生环节</w:t>
                  </w:r>
                </w:p>
              </w:tc>
              <w:tc>
                <w:tcPr>
                  <w:tcW w:w="745" w:type="pct"/>
                  <w:vMerge w:val="restart"/>
                  <w:vAlign w:val="center"/>
                </w:tcPr>
                <w:p w14:paraId="498AE9D1">
                  <w:pPr>
                    <w:pStyle w:val="69"/>
                    <w:autoSpaceDE/>
                    <w:autoSpaceDN/>
                    <w:adjustRightInd/>
                    <w:snapToGrid/>
                    <w:spacing w:line="260" w:lineRule="exact"/>
                    <w:rPr>
                      <w:rFonts w:ascii="Times New Roman" w:hAnsi="Times New Roman"/>
                    </w:rPr>
                  </w:pPr>
                  <w:r>
                    <w:rPr>
                      <w:rFonts w:ascii="Times New Roman" w:hAnsi="Times New Roman"/>
                    </w:rPr>
                    <w:t>固体废物名称</w:t>
                  </w:r>
                </w:p>
              </w:tc>
              <w:tc>
                <w:tcPr>
                  <w:tcW w:w="861" w:type="pct"/>
                  <w:vMerge w:val="restart"/>
                  <w:vAlign w:val="center"/>
                </w:tcPr>
                <w:p w14:paraId="79BDC3FC">
                  <w:pPr>
                    <w:pStyle w:val="69"/>
                    <w:autoSpaceDE/>
                    <w:autoSpaceDN/>
                    <w:adjustRightInd/>
                    <w:snapToGrid/>
                    <w:spacing w:line="260" w:lineRule="exact"/>
                    <w:rPr>
                      <w:rFonts w:ascii="Times New Roman" w:hAnsi="Times New Roman"/>
                    </w:rPr>
                  </w:pPr>
                  <w:r>
                    <w:rPr>
                      <w:rFonts w:ascii="Times New Roman" w:hAnsi="Times New Roman"/>
                    </w:rPr>
                    <w:t>固废属性</w:t>
                  </w:r>
                </w:p>
              </w:tc>
              <w:tc>
                <w:tcPr>
                  <w:tcW w:w="459" w:type="pct"/>
                  <w:vMerge w:val="restart"/>
                  <w:vAlign w:val="center"/>
                </w:tcPr>
                <w:p w14:paraId="28384408">
                  <w:pPr>
                    <w:pStyle w:val="69"/>
                    <w:autoSpaceDE/>
                    <w:autoSpaceDN/>
                    <w:adjustRightInd/>
                    <w:snapToGrid/>
                    <w:spacing w:line="260" w:lineRule="exact"/>
                    <w:rPr>
                      <w:rFonts w:ascii="Times New Roman" w:hAnsi="Times New Roman"/>
                    </w:rPr>
                  </w:pPr>
                  <w:r>
                    <w:rPr>
                      <w:rFonts w:ascii="Times New Roman" w:hAnsi="Times New Roman"/>
                    </w:rPr>
                    <w:t>产生量</w:t>
                  </w:r>
                </w:p>
                <w:p w14:paraId="50D46DBF">
                  <w:pPr>
                    <w:pStyle w:val="69"/>
                    <w:autoSpaceDE/>
                    <w:autoSpaceDN/>
                    <w:adjustRightInd/>
                    <w:snapToGrid/>
                    <w:spacing w:line="260" w:lineRule="exact"/>
                    <w:rPr>
                      <w:rFonts w:ascii="Times New Roman" w:hAnsi="Times New Roman"/>
                    </w:rPr>
                  </w:pPr>
                  <w:r>
                    <w:rPr>
                      <w:rFonts w:ascii="Times New Roman" w:hAnsi="Times New Roman"/>
                    </w:rPr>
                    <w:t>t/a</w:t>
                  </w:r>
                </w:p>
              </w:tc>
              <w:tc>
                <w:tcPr>
                  <w:tcW w:w="926" w:type="pct"/>
                  <w:gridSpan w:val="2"/>
                  <w:vAlign w:val="center"/>
                </w:tcPr>
                <w:p w14:paraId="628B66E1">
                  <w:pPr>
                    <w:pStyle w:val="69"/>
                    <w:autoSpaceDE/>
                    <w:autoSpaceDN/>
                    <w:adjustRightInd/>
                    <w:snapToGrid/>
                    <w:spacing w:line="260" w:lineRule="exact"/>
                    <w:rPr>
                      <w:rFonts w:ascii="Times New Roman" w:hAnsi="Times New Roman"/>
                    </w:rPr>
                  </w:pPr>
                  <w:r>
                    <w:rPr>
                      <w:rFonts w:ascii="Times New Roman" w:hAnsi="Times New Roman"/>
                    </w:rPr>
                    <w:t>利用处置方式</w:t>
                  </w:r>
                </w:p>
              </w:tc>
              <w:tc>
                <w:tcPr>
                  <w:tcW w:w="741" w:type="pct"/>
                  <w:vMerge w:val="restart"/>
                  <w:vAlign w:val="center"/>
                </w:tcPr>
                <w:p w14:paraId="7C3B618C">
                  <w:pPr>
                    <w:pStyle w:val="69"/>
                    <w:autoSpaceDE/>
                    <w:autoSpaceDN/>
                    <w:adjustRightInd/>
                    <w:snapToGrid/>
                    <w:spacing w:line="260" w:lineRule="exact"/>
                    <w:rPr>
                      <w:rFonts w:ascii="Times New Roman" w:hAnsi="Times New Roman"/>
                    </w:rPr>
                  </w:pPr>
                  <w:r>
                    <w:rPr>
                      <w:rFonts w:ascii="Times New Roman" w:hAnsi="Times New Roman"/>
                    </w:rPr>
                    <w:t>最终去向</w:t>
                  </w:r>
                </w:p>
              </w:tc>
              <w:tc>
                <w:tcPr>
                  <w:tcW w:w="397" w:type="pct"/>
                  <w:vMerge w:val="restart"/>
                  <w:vAlign w:val="center"/>
                </w:tcPr>
                <w:p w14:paraId="4E400755">
                  <w:pPr>
                    <w:pStyle w:val="69"/>
                    <w:autoSpaceDE/>
                    <w:autoSpaceDN/>
                    <w:adjustRightInd/>
                    <w:snapToGrid/>
                    <w:spacing w:line="260" w:lineRule="exact"/>
                    <w:rPr>
                      <w:rFonts w:ascii="Times New Roman" w:hAnsi="Times New Roman"/>
                    </w:rPr>
                  </w:pPr>
                  <w:r>
                    <w:rPr>
                      <w:rFonts w:ascii="Times New Roman" w:hAnsi="Times New Roman"/>
                    </w:rPr>
                    <w:t>环境管理要求</w:t>
                  </w:r>
                </w:p>
              </w:tc>
            </w:tr>
            <w:tr w14:paraId="181B8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vMerge w:val="continue"/>
                  <w:tcBorders>
                    <w:right w:val="single" w:color="auto" w:sz="4" w:space="0"/>
                  </w:tcBorders>
                  <w:vAlign w:val="center"/>
                </w:tcPr>
                <w:p w14:paraId="5B0C5AF5">
                  <w:pPr>
                    <w:pStyle w:val="69"/>
                    <w:autoSpaceDE/>
                    <w:autoSpaceDN/>
                    <w:adjustRightInd/>
                    <w:snapToGrid/>
                    <w:spacing w:line="260" w:lineRule="exact"/>
                    <w:rPr>
                      <w:rFonts w:ascii="Times New Roman" w:hAnsi="Times New Roman"/>
                    </w:rPr>
                  </w:pPr>
                </w:p>
              </w:tc>
              <w:tc>
                <w:tcPr>
                  <w:tcW w:w="745" w:type="pct"/>
                  <w:vMerge w:val="continue"/>
                  <w:vAlign w:val="center"/>
                </w:tcPr>
                <w:p w14:paraId="5D1670C2">
                  <w:pPr>
                    <w:pStyle w:val="69"/>
                    <w:autoSpaceDE/>
                    <w:autoSpaceDN/>
                    <w:adjustRightInd/>
                    <w:snapToGrid/>
                    <w:spacing w:line="260" w:lineRule="exact"/>
                    <w:rPr>
                      <w:rFonts w:ascii="Times New Roman" w:hAnsi="Times New Roman"/>
                    </w:rPr>
                  </w:pPr>
                </w:p>
              </w:tc>
              <w:tc>
                <w:tcPr>
                  <w:tcW w:w="861" w:type="pct"/>
                  <w:vMerge w:val="continue"/>
                  <w:vAlign w:val="center"/>
                </w:tcPr>
                <w:p w14:paraId="65B96AD8">
                  <w:pPr>
                    <w:pStyle w:val="69"/>
                    <w:autoSpaceDE/>
                    <w:autoSpaceDN/>
                    <w:adjustRightInd/>
                    <w:snapToGrid/>
                    <w:spacing w:line="260" w:lineRule="exact"/>
                    <w:rPr>
                      <w:rFonts w:ascii="Times New Roman" w:hAnsi="Times New Roman"/>
                    </w:rPr>
                  </w:pPr>
                </w:p>
              </w:tc>
              <w:tc>
                <w:tcPr>
                  <w:tcW w:w="459" w:type="pct"/>
                  <w:vMerge w:val="continue"/>
                  <w:vAlign w:val="center"/>
                </w:tcPr>
                <w:p w14:paraId="26E4D02A">
                  <w:pPr>
                    <w:pStyle w:val="69"/>
                    <w:autoSpaceDE/>
                    <w:autoSpaceDN/>
                    <w:adjustRightInd/>
                    <w:snapToGrid/>
                    <w:spacing w:line="260" w:lineRule="exact"/>
                    <w:rPr>
                      <w:rFonts w:ascii="Times New Roman" w:hAnsi="Times New Roman"/>
                    </w:rPr>
                  </w:pPr>
                </w:p>
              </w:tc>
              <w:tc>
                <w:tcPr>
                  <w:tcW w:w="516" w:type="pct"/>
                  <w:vAlign w:val="center"/>
                </w:tcPr>
                <w:p w14:paraId="4BCD2334">
                  <w:pPr>
                    <w:pStyle w:val="69"/>
                    <w:autoSpaceDE/>
                    <w:autoSpaceDN/>
                    <w:adjustRightInd/>
                    <w:snapToGrid/>
                    <w:spacing w:line="260" w:lineRule="exact"/>
                    <w:rPr>
                      <w:rFonts w:ascii="Times New Roman" w:hAnsi="Times New Roman"/>
                    </w:rPr>
                  </w:pPr>
                  <w:r>
                    <w:rPr>
                      <w:rFonts w:ascii="Times New Roman" w:hAnsi="Times New Roman"/>
                    </w:rPr>
                    <w:t>处置方式</w:t>
                  </w:r>
                </w:p>
              </w:tc>
              <w:tc>
                <w:tcPr>
                  <w:tcW w:w="410" w:type="pct"/>
                  <w:vAlign w:val="center"/>
                </w:tcPr>
                <w:p w14:paraId="7BF86D39">
                  <w:pPr>
                    <w:pStyle w:val="69"/>
                    <w:autoSpaceDE/>
                    <w:autoSpaceDN/>
                    <w:adjustRightInd/>
                    <w:snapToGrid/>
                    <w:spacing w:line="260" w:lineRule="exact"/>
                    <w:rPr>
                      <w:rFonts w:ascii="Times New Roman" w:hAnsi="Times New Roman"/>
                    </w:rPr>
                  </w:pPr>
                  <w:r>
                    <w:rPr>
                      <w:rFonts w:ascii="Times New Roman" w:hAnsi="Times New Roman"/>
                    </w:rPr>
                    <w:t>处置量t/a</w:t>
                  </w:r>
                </w:p>
              </w:tc>
              <w:tc>
                <w:tcPr>
                  <w:tcW w:w="741" w:type="pct"/>
                  <w:vMerge w:val="continue"/>
                  <w:vAlign w:val="center"/>
                </w:tcPr>
                <w:p w14:paraId="0CF119D0">
                  <w:pPr>
                    <w:pStyle w:val="69"/>
                    <w:autoSpaceDE/>
                    <w:autoSpaceDN/>
                    <w:adjustRightInd/>
                    <w:snapToGrid/>
                    <w:spacing w:line="260" w:lineRule="exact"/>
                    <w:rPr>
                      <w:rFonts w:ascii="Times New Roman" w:hAnsi="Times New Roman"/>
                    </w:rPr>
                  </w:pPr>
                </w:p>
              </w:tc>
              <w:tc>
                <w:tcPr>
                  <w:tcW w:w="397" w:type="pct"/>
                  <w:vMerge w:val="continue"/>
                  <w:vAlign w:val="center"/>
                </w:tcPr>
                <w:p w14:paraId="154C7896">
                  <w:pPr>
                    <w:pStyle w:val="69"/>
                    <w:autoSpaceDE/>
                    <w:autoSpaceDN/>
                    <w:adjustRightInd/>
                    <w:snapToGrid/>
                    <w:spacing w:line="260" w:lineRule="exact"/>
                    <w:rPr>
                      <w:rFonts w:ascii="Times New Roman" w:hAnsi="Times New Roman"/>
                    </w:rPr>
                  </w:pPr>
                </w:p>
              </w:tc>
            </w:tr>
            <w:tr w14:paraId="052A3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right w:val="single" w:color="auto" w:sz="4" w:space="0"/>
                  </w:tcBorders>
                  <w:vAlign w:val="center"/>
                </w:tcPr>
                <w:p w14:paraId="72C3A2B5">
                  <w:pPr>
                    <w:pStyle w:val="69"/>
                    <w:autoSpaceDE/>
                    <w:autoSpaceDN/>
                    <w:adjustRightInd/>
                    <w:snapToGrid/>
                    <w:spacing w:line="260" w:lineRule="exact"/>
                    <w:rPr>
                      <w:rFonts w:ascii="Times New Roman" w:hAnsi="Times New Roman"/>
                    </w:rPr>
                  </w:pPr>
                  <w:r>
                    <w:rPr>
                      <w:rFonts w:ascii="Times New Roman" w:hAnsi="Times New Roman"/>
                    </w:rPr>
                    <w:t>压铸工序、检验工序</w:t>
                  </w:r>
                </w:p>
              </w:tc>
              <w:tc>
                <w:tcPr>
                  <w:tcW w:w="745" w:type="pct"/>
                  <w:vAlign w:val="center"/>
                </w:tcPr>
                <w:p w14:paraId="3888B115">
                  <w:pPr>
                    <w:pStyle w:val="69"/>
                    <w:autoSpaceDE/>
                    <w:autoSpaceDN/>
                    <w:adjustRightInd/>
                    <w:snapToGrid/>
                    <w:spacing w:line="260" w:lineRule="exact"/>
                    <w:rPr>
                      <w:rFonts w:ascii="Times New Roman" w:hAnsi="Times New Roman"/>
                    </w:rPr>
                  </w:pPr>
                  <w:r>
                    <w:rPr>
                      <w:rFonts w:ascii="Times New Roman" w:hAnsi="Times New Roman"/>
                    </w:rPr>
                    <w:t>废品</w:t>
                  </w:r>
                </w:p>
              </w:tc>
              <w:tc>
                <w:tcPr>
                  <w:tcW w:w="861" w:type="pct"/>
                  <w:vAlign w:val="center"/>
                </w:tcPr>
                <w:p w14:paraId="43385FC0">
                  <w:pPr>
                    <w:pStyle w:val="69"/>
                    <w:autoSpaceDE/>
                    <w:autoSpaceDN/>
                    <w:adjustRightInd/>
                    <w:snapToGrid/>
                    <w:spacing w:line="260" w:lineRule="exact"/>
                    <w:rPr>
                      <w:rFonts w:ascii="Times New Roman" w:hAnsi="Times New Roman"/>
                    </w:rPr>
                  </w:pPr>
                  <w:r>
                    <w:rPr>
                      <w:rFonts w:ascii="Times New Roman" w:hAnsi="Times New Roman"/>
                    </w:rPr>
                    <w:t>一般固废</w:t>
                  </w:r>
                </w:p>
                <w:p w14:paraId="1D656557">
                  <w:pPr>
                    <w:pStyle w:val="69"/>
                    <w:autoSpaceDE/>
                    <w:autoSpaceDN/>
                    <w:adjustRightInd/>
                    <w:snapToGrid/>
                    <w:spacing w:line="260" w:lineRule="exact"/>
                    <w:rPr>
                      <w:rFonts w:ascii="Times New Roman" w:hAnsi="Times New Roman"/>
                    </w:rPr>
                  </w:pPr>
                  <w:r>
                    <w:rPr>
                      <w:rFonts w:ascii="Times New Roman" w:hAnsi="Times New Roman"/>
                    </w:rPr>
                    <w:t>367-001-99</w:t>
                  </w:r>
                </w:p>
              </w:tc>
              <w:tc>
                <w:tcPr>
                  <w:tcW w:w="459" w:type="pct"/>
                  <w:vAlign w:val="center"/>
                </w:tcPr>
                <w:p w14:paraId="180DB366">
                  <w:pPr>
                    <w:pStyle w:val="69"/>
                    <w:autoSpaceDE/>
                    <w:autoSpaceDN/>
                    <w:adjustRightInd/>
                    <w:snapToGrid/>
                    <w:spacing w:line="260" w:lineRule="exact"/>
                    <w:rPr>
                      <w:rFonts w:ascii="Times New Roman" w:hAnsi="Times New Roman"/>
                    </w:rPr>
                  </w:pPr>
                  <w:r>
                    <w:rPr>
                      <w:rFonts w:ascii="Times New Roman" w:hAnsi="Times New Roman"/>
                    </w:rPr>
                    <w:t>400</w:t>
                  </w:r>
                </w:p>
              </w:tc>
              <w:tc>
                <w:tcPr>
                  <w:tcW w:w="516" w:type="pct"/>
                  <w:vMerge w:val="restart"/>
                  <w:vAlign w:val="center"/>
                </w:tcPr>
                <w:p w14:paraId="7D7AFC75">
                  <w:pPr>
                    <w:pStyle w:val="69"/>
                    <w:autoSpaceDE/>
                    <w:autoSpaceDN/>
                    <w:adjustRightInd/>
                    <w:snapToGrid/>
                    <w:spacing w:line="260" w:lineRule="exact"/>
                    <w:rPr>
                      <w:rFonts w:ascii="Times New Roman" w:hAnsi="Times New Roman"/>
                    </w:rPr>
                  </w:pPr>
                  <w:r>
                    <w:rPr>
                      <w:rFonts w:ascii="Times New Roman" w:hAnsi="Times New Roman"/>
                      <w:bCs/>
                    </w:rPr>
                    <w:t>一般固废暂存间</w:t>
                  </w:r>
                  <w:r>
                    <w:rPr>
                      <w:rFonts w:ascii="Times New Roman" w:hAnsi="Times New Roman"/>
                    </w:rPr>
                    <w:t>暂存，定期外售</w:t>
                  </w:r>
                </w:p>
              </w:tc>
              <w:tc>
                <w:tcPr>
                  <w:tcW w:w="410" w:type="pct"/>
                  <w:vAlign w:val="center"/>
                </w:tcPr>
                <w:p w14:paraId="561AC3F2">
                  <w:pPr>
                    <w:pStyle w:val="69"/>
                    <w:autoSpaceDE/>
                    <w:autoSpaceDN/>
                    <w:adjustRightInd/>
                    <w:snapToGrid/>
                    <w:spacing w:line="260" w:lineRule="exact"/>
                    <w:rPr>
                      <w:rFonts w:ascii="Times New Roman" w:hAnsi="Times New Roman"/>
                    </w:rPr>
                  </w:pPr>
                  <w:r>
                    <w:rPr>
                      <w:rFonts w:ascii="Times New Roman" w:hAnsi="Times New Roman"/>
                    </w:rPr>
                    <w:t>400</w:t>
                  </w:r>
                </w:p>
              </w:tc>
              <w:tc>
                <w:tcPr>
                  <w:tcW w:w="741" w:type="pct"/>
                  <w:vAlign w:val="center"/>
                </w:tcPr>
                <w:p w14:paraId="3FB1A506">
                  <w:pPr>
                    <w:pStyle w:val="69"/>
                    <w:autoSpaceDE/>
                    <w:autoSpaceDN/>
                    <w:adjustRightInd/>
                    <w:snapToGrid/>
                    <w:spacing w:line="260" w:lineRule="exact"/>
                    <w:rPr>
                      <w:rFonts w:ascii="Times New Roman" w:hAnsi="Times New Roman"/>
                    </w:rPr>
                  </w:pPr>
                  <w:r>
                    <w:rPr>
                      <w:rFonts w:ascii="Times New Roman" w:hAnsi="Times New Roman"/>
                    </w:rPr>
                    <w:t>重庆剑涛铝业有限公司</w:t>
                  </w:r>
                </w:p>
              </w:tc>
              <w:tc>
                <w:tcPr>
                  <w:tcW w:w="397" w:type="pct"/>
                  <w:vMerge w:val="restart"/>
                  <w:vAlign w:val="center"/>
                </w:tcPr>
                <w:p w14:paraId="7764962C">
                  <w:pPr>
                    <w:pStyle w:val="69"/>
                    <w:autoSpaceDE/>
                    <w:autoSpaceDN/>
                    <w:adjustRightInd/>
                    <w:snapToGrid/>
                    <w:spacing w:line="260" w:lineRule="exact"/>
                    <w:rPr>
                      <w:rFonts w:ascii="Times New Roman" w:hAnsi="Times New Roman"/>
                    </w:rPr>
                  </w:pPr>
                  <w:r>
                    <w:rPr>
                      <w:rFonts w:ascii="Times New Roman" w:hAnsi="Times New Roman"/>
                    </w:rPr>
                    <w:t>不造成二次污染</w:t>
                  </w:r>
                </w:p>
              </w:tc>
            </w:tr>
            <w:tr w14:paraId="39AA8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6C99C24B">
                  <w:pPr>
                    <w:pStyle w:val="69"/>
                    <w:spacing w:line="260" w:lineRule="exact"/>
                    <w:rPr>
                      <w:rFonts w:ascii="Times New Roman" w:hAnsi="Times New Roman"/>
                    </w:rPr>
                  </w:pPr>
                  <w:r>
                    <w:rPr>
                      <w:rFonts w:ascii="Times New Roman" w:hAnsi="Times New Roman"/>
                    </w:rPr>
                    <w:t>表面清理工序</w:t>
                  </w:r>
                </w:p>
              </w:tc>
              <w:tc>
                <w:tcPr>
                  <w:tcW w:w="745" w:type="pct"/>
                  <w:vAlign w:val="center"/>
                </w:tcPr>
                <w:p w14:paraId="58904171">
                  <w:pPr>
                    <w:pStyle w:val="69"/>
                    <w:autoSpaceDE/>
                    <w:autoSpaceDN/>
                    <w:adjustRightInd/>
                    <w:snapToGrid/>
                    <w:spacing w:line="260" w:lineRule="exact"/>
                    <w:rPr>
                      <w:rFonts w:ascii="Times New Roman" w:hAnsi="Times New Roman"/>
                    </w:rPr>
                  </w:pPr>
                  <w:r>
                    <w:rPr>
                      <w:rFonts w:ascii="Times New Roman" w:hAnsi="Times New Roman"/>
                    </w:rPr>
                    <w:t>废边角料</w:t>
                  </w:r>
                </w:p>
              </w:tc>
              <w:tc>
                <w:tcPr>
                  <w:tcW w:w="861" w:type="pct"/>
                  <w:vAlign w:val="center"/>
                </w:tcPr>
                <w:p w14:paraId="3B3ABBBA">
                  <w:pPr>
                    <w:pStyle w:val="69"/>
                    <w:autoSpaceDE/>
                    <w:autoSpaceDN/>
                    <w:adjustRightInd/>
                    <w:snapToGrid/>
                    <w:spacing w:line="260" w:lineRule="exact"/>
                    <w:rPr>
                      <w:rFonts w:ascii="Times New Roman" w:hAnsi="Times New Roman"/>
                    </w:rPr>
                  </w:pPr>
                  <w:r>
                    <w:rPr>
                      <w:rFonts w:ascii="Times New Roman" w:hAnsi="Times New Roman"/>
                    </w:rPr>
                    <w:t>一般固废</w:t>
                  </w:r>
                </w:p>
                <w:p w14:paraId="70F7CBD2">
                  <w:pPr>
                    <w:pStyle w:val="69"/>
                    <w:autoSpaceDE/>
                    <w:autoSpaceDN/>
                    <w:adjustRightInd/>
                    <w:snapToGrid/>
                    <w:spacing w:line="260" w:lineRule="exact"/>
                    <w:rPr>
                      <w:rFonts w:ascii="Times New Roman" w:hAnsi="Times New Roman"/>
                    </w:rPr>
                  </w:pPr>
                  <w:r>
                    <w:rPr>
                      <w:rFonts w:ascii="Times New Roman" w:hAnsi="Times New Roman"/>
                    </w:rPr>
                    <w:t>367-001-99</w:t>
                  </w:r>
                </w:p>
              </w:tc>
              <w:tc>
                <w:tcPr>
                  <w:tcW w:w="459" w:type="pct"/>
                  <w:vAlign w:val="center"/>
                </w:tcPr>
                <w:p w14:paraId="26824DEA">
                  <w:pPr>
                    <w:pStyle w:val="69"/>
                    <w:autoSpaceDE/>
                    <w:autoSpaceDN/>
                    <w:adjustRightInd/>
                    <w:snapToGrid/>
                    <w:spacing w:line="260" w:lineRule="exact"/>
                    <w:rPr>
                      <w:rFonts w:ascii="Times New Roman" w:hAnsi="Times New Roman"/>
                    </w:rPr>
                  </w:pPr>
                  <w:r>
                    <w:rPr>
                      <w:rFonts w:ascii="Times New Roman" w:hAnsi="Times New Roman"/>
                    </w:rPr>
                    <w:t>80</w:t>
                  </w:r>
                </w:p>
              </w:tc>
              <w:tc>
                <w:tcPr>
                  <w:tcW w:w="516" w:type="pct"/>
                  <w:vMerge w:val="continue"/>
                  <w:vAlign w:val="center"/>
                </w:tcPr>
                <w:p w14:paraId="1BDCDBBF">
                  <w:pPr>
                    <w:pStyle w:val="69"/>
                    <w:spacing w:line="260" w:lineRule="exact"/>
                    <w:rPr>
                      <w:rFonts w:ascii="Times New Roman" w:hAnsi="Times New Roman"/>
                    </w:rPr>
                  </w:pPr>
                </w:p>
              </w:tc>
              <w:tc>
                <w:tcPr>
                  <w:tcW w:w="410" w:type="pct"/>
                  <w:vAlign w:val="center"/>
                </w:tcPr>
                <w:p w14:paraId="25B93859">
                  <w:pPr>
                    <w:pStyle w:val="69"/>
                    <w:autoSpaceDE/>
                    <w:autoSpaceDN/>
                    <w:adjustRightInd/>
                    <w:snapToGrid/>
                    <w:spacing w:line="260" w:lineRule="exact"/>
                    <w:rPr>
                      <w:rFonts w:ascii="Times New Roman" w:hAnsi="Times New Roman"/>
                    </w:rPr>
                  </w:pPr>
                  <w:r>
                    <w:rPr>
                      <w:rFonts w:ascii="Times New Roman" w:hAnsi="Times New Roman"/>
                    </w:rPr>
                    <w:t>80</w:t>
                  </w:r>
                </w:p>
              </w:tc>
              <w:tc>
                <w:tcPr>
                  <w:tcW w:w="741" w:type="pct"/>
                  <w:vAlign w:val="center"/>
                </w:tcPr>
                <w:p w14:paraId="42209C5E">
                  <w:pPr>
                    <w:pStyle w:val="69"/>
                    <w:autoSpaceDE/>
                    <w:autoSpaceDN/>
                    <w:adjustRightInd/>
                    <w:snapToGrid/>
                    <w:spacing w:line="260" w:lineRule="exact"/>
                    <w:rPr>
                      <w:rFonts w:ascii="Times New Roman" w:hAnsi="Times New Roman"/>
                    </w:rPr>
                  </w:pPr>
                  <w:r>
                    <w:rPr>
                      <w:rFonts w:ascii="Times New Roman" w:hAnsi="Times New Roman"/>
                    </w:rPr>
                    <w:t>重庆剑涛铝业有限公司</w:t>
                  </w:r>
                </w:p>
              </w:tc>
              <w:tc>
                <w:tcPr>
                  <w:tcW w:w="397" w:type="pct"/>
                  <w:vMerge w:val="continue"/>
                  <w:vAlign w:val="center"/>
                </w:tcPr>
                <w:p w14:paraId="686D7449">
                  <w:pPr>
                    <w:pStyle w:val="69"/>
                    <w:spacing w:line="260" w:lineRule="exact"/>
                    <w:rPr>
                      <w:rFonts w:ascii="Times New Roman" w:hAnsi="Times New Roman"/>
                    </w:rPr>
                  </w:pPr>
                </w:p>
              </w:tc>
            </w:tr>
            <w:tr w14:paraId="0CD53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871" w:type="pct"/>
                  <w:tcBorders>
                    <w:left w:val="single" w:color="auto" w:sz="4" w:space="0"/>
                  </w:tcBorders>
                  <w:vAlign w:val="center"/>
                </w:tcPr>
                <w:p w14:paraId="20C4A867">
                  <w:pPr>
                    <w:pStyle w:val="69"/>
                    <w:spacing w:line="260" w:lineRule="exact"/>
                    <w:rPr>
                      <w:rFonts w:ascii="Times New Roman" w:hAnsi="Times New Roman"/>
                    </w:rPr>
                  </w:pPr>
                  <w:r>
                    <w:rPr>
                      <w:rFonts w:ascii="Times New Roman" w:hAnsi="Times New Roman"/>
                    </w:rPr>
                    <w:t>抛丸工序</w:t>
                  </w:r>
                </w:p>
              </w:tc>
              <w:tc>
                <w:tcPr>
                  <w:tcW w:w="745" w:type="pct"/>
                  <w:vAlign w:val="center"/>
                </w:tcPr>
                <w:p w14:paraId="64AF5901">
                  <w:pPr>
                    <w:pStyle w:val="69"/>
                    <w:autoSpaceDE/>
                    <w:autoSpaceDN/>
                    <w:adjustRightInd/>
                    <w:snapToGrid/>
                    <w:spacing w:line="260" w:lineRule="exact"/>
                    <w:rPr>
                      <w:rFonts w:ascii="Times New Roman" w:hAnsi="Times New Roman"/>
                    </w:rPr>
                  </w:pPr>
                  <w:r>
                    <w:rPr>
                      <w:rFonts w:ascii="Times New Roman" w:hAnsi="Times New Roman"/>
                    </w:rPr>
                    <w:t>废钢丸</w:t>
                  </w:r>
                </w:p>
              </w:tc>
              <w:tc>
                <w:tcPr>
                  <w:tcW w:w="861" w:type="pct"/>
                  <w:vAlign w:val="center"/>
                </w:tcPr>
                <w:p w14:paraId="59DDD610">
                  <w:pPr>
                    <w:pStyle w:val="69"/>
                    <w:autoSpaceDE/>
                    <w:autoSpaceDN/>
                    <w:adjustRightInd/>
                    <w:snapToGrid/>
                    <w:spacing w:line="260" w:lineRule="exact"/>
                    <w:rPr>
                      <w:rFonts w:ascii="Times New Roman" w:hAnsi="Times New Roman"/>
                    </w:rPr>
                  </w:pPr>
                  <w:r>
                    <w:rPr>
                      <w:rFonts w:ascii="Times New Roman" w:hAnsi="Times New Roman"/>
                    </w:rPr>
                    <w:t>一般固废</w:t>
                  </w:r>
                </w:p>
                <w:p w14:paraId="417E9159">
                  <w:pPr>
                    <w:pStyle w:val="69"/>
                    <w:autoSpaceDE/>
                    <w:autoSpaceDN/>
                    <w:adjustRightInd/>
                    <w:snapToGrid/>
                    <w:spacing w:line="260" w:lineRule="exact"/>
                    <w:rPr>
                      <w:rFonts w:ascii="Times New Roman" w:hAnsi="Times New Roman"/>
                    </w:rPr>
                  </w:pPr>
                  <w:r>
                    <w:rPr>
                      <w:rFonts w:ascii="Times New Roman" w:hAnsi="Times New Roman"/>
                    </w:rPr>
                    <w:t>367-001-99</w:t>
                  </w:r>
                </w:p>
              </w:tc>
              <w:tc>
                <w:tcPr>
                  <w:tcW w:w="459" w:type="pct"/>
                  <w:vAlign w:val="center"/>
                </w:tcPr>
                <w:p w14:paraId="6F91C8BE">
                  <w:pPr>
                    <w:pStyle w:val="69"/>
                    <w:autoSpaceDE/>
                    <w:autoSpaceDN/>
                    <w:adjustRightInd/>
                    <w:snapToGrid/>
                    <w:spacing w:line="260" w:lineRule="exact"/>
                    <w:rPr>
                      <w:rFonts w:ascii="Times New Roman" w:hAnsi="Times New Roman"/>
                    </w:rPr>
                  </w:pPr>
                  <w:r>
                    <w:rPr>
                      <w:rFonts w:ascii="Times New Roman" w:hAnsi="Times New Roman" w:eastAsia="等线"/>
                    </w:rPr>
                    <w:t>20.8</w:t>
                  </w:r>
                </w:p>
              </w:tc>
              <w:tc>
                <w:tcPr>
                  <w:tcW w:w="516" w:type="pct"/>
                  <w:vMerge w:val="continue"/>
                  <w:vAlign w:val="center"/>
                </w:tcPr>
                <w:p w14:paraId="4CB7991A">
                  <w:pPr>
                    <w:pStyle w:val="69"/>
                    <w:spacing w:line="260" w:lineRule="exact"/>
                    <w:rPr>
                      <w:rFonts w:ascii="Times New Roman" w:hAnsi="Times New Roman"/>
                    </w:rPr>
                  </w:pPr>
                </w:p>
              </w:tc>
              <w:tc>
                <w:tcPr>
                  <w:tcW w:w="410" w:type="pct"/>
                  <w:vAlign w:val="center"/>
                </w:tcPr>
                <w:p w14:paraId="3B4C4BC9">
                  <w:pPr>
                    <w:pStyle w:val="69"/>
                    <w:autoSpaceDE/>
                    <w:autoSpaceDN/>
                    <w:adjustRightInd/>
                    <w:snapToGrid/>
                    <w:spacing w:line="260" w:lineRule="exact"/>
                    <w:rPr>
                      <w:rFonts w:ascii="Times New Roman" w:hAnsi="Times New Roman"/>
                    </w:rPr>
                  </w:pPr>
                  <w:r>
                    <w:rPr>
                      <w:rFonts w:ascii="Times New Roman" w:hAnsi="Times New Roman"/>
                    </w:rPr>
                    <w:t>20.8</w:t>
                  </w:r>
                </w:p>
              </w:tc>
              <w:tc>
                <w:tcPr>
                  <w:tcW w:w="741" w:type="pct"/>
                  <w:vAlign w:val="center"/>
                </w:tcPr>
                <w:p w14:paraId="5F7780E1">
                  <w:pPr>
                    <w:pStyle w:val="69"/>
                    <w:spacing w:line="260" w:lineRule="exact"/>
                    <w:rPr>
                      <w:rFonts w:ascii="Times New Roman" w:hAnsi="Times New Roman"/>
                    </w:rPr>
                  </w:pPr>
                  <w:r>
                    <w:rPr>
                      <w:rFonts w:ascii="Times New Roman" w:hAnsi="Times New Roman"/>
                    </w:rPr>
                    <w:t>废品收购站</w:t>
                  </w:r>
                </w:p>
              </w:tc>
              <w:tc>
                <w:tcPr>
                  <w:tcW w:w="397" w:type="pct"/>
                  <w:vMerge w:val="continue"/>
                  <w:vAlign w:val="center"/>
                </w:tcPr>
                <w:p w14:paraId="4566EA97">
                  <w:pPr>
                    <w:pStyle w:val="69"/>
                    <w:spacing w:line="260" w:lineRule="exact"/>
                    <w:rPr>
                      <w:rFonts w:ascii="Times New Roman" w:hAnsi="Times New Roman"/>
                    </w:rPr>
                  </w:pPr>
                </w:p>
              </w:tc>
            </w:tr>
            <w:tr w14:paraId="62CD9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45395FA9">
                  <w:pPr>
                    <w:pStyle w:val="69"/>
                    <w:spacing w:line="260" w:lineRule="exact"/>
                    <w:rPr>
                      <w:rFonts w:ascii="Times New Roman" w:hAnsi="Times New Roman"/>
                    </w:rPr>
                  </w:pPr>
                  <w:r>
                    <w:rPr>
                      <w:rFonts w:ascii="Times New Roman" w:hAnsi="Times New Roman"/>
                    </w:rPr>
                    <w:t>包装工序</w:t>
                  </w:r>
                </w:p>
              </w:tc>
              <w:tc>
                <w:tcPr>
                  <w:tcW w:w="745" w:type="pct"/>
                  <w:vAlign w:val="center"/>
                </w:tcPr>
                <w:p w14:paraId="04E71EF8">
                  <w:pPr>
                    <w:pStyle w:val="69"/>
                    <w:autoSpaceDE/>
                    <w:autoSpaceDN/>
                    <w:adjustRightInd/>
                    <w:snapToGrid/>
                    <w:spacing w:line="260" w:lineRule="exact"/>
                    <w:rPr>
                      <w:rFonts w:ascii="Times New Roman" w:hAnsi="Times New Roman"/>
                    </w:rPr>
                  </w:pPr>
                  <w:r>
                    <w:rPr>
                      <w:rFonts w:ascii="Times New Roman" w:hAnsi="Times New Roman"/>
                    </w:rPr>
                    <w:t>废包装材料</w:t>
                  </w:r>
                </w:p>
              </w:tc>
              <w:tc>
                <w:tcPr>
                  <w:tcW w:w="861" w:type="pct"/>
                  <w:vAlign w:val="center"/>
                </w:tcPr>
                <w:p w14:paraId="62A3F0F6">
                  <w:pPr>
                    <w:pStyle w:val="69"/>
                    <w:autoSpaceDE/>
                    <w:autoSpaceDN/>
                    <w:adjustRightInd/>
                    <w:snapToGrid/>
                    <w:spacing w:line="260" w:lineRule="exact"/>
                    <w:rPr>
                      <w:rFonts w:ascii="Times New Roman" w:hAnsi="Times New Roman"/>
                    </w:rPr>
                  </w:pPr>
                  <w:r>
                    <w:rPr>
                      <w:rFonts w:ascii="Times New Roman" w:hAnsi="Times New Roman"/>
                    </w:rPr>
                    <w:t>一般固废</w:t>
                  </w:r>
                </w:p>
                <w:p w14:paraId="3FDF9005">
                  <w:pPr>
                    <w:pStyle w:val="69"/>
                    <w:autoSpaceDE/>
                    <w:autoSpaceDN/>
                    <w:adjustRightInd/>
                    <w:snapToGrid/>
                    <w:spacing w:line="260" w:lineRule="exact"/>
                    <w:rPr>
                      <w:rFonts w:ascii="Times New Roman" w:hAnsi="Times New Roman"/>
                    </w:rPr>
                  </w:pPr>
                  <w:r>
                    <w:rPr>
                      <w:rFonts w:ascii="Times New Roman" w:hAnsi="Times New Roman"/>
                    </w:rPr>
                    <w:t>367-001-99</w:t>
                  </w:r>
                </w:p>
              </w:tc>
              <w:tc>
                <w:tcPr>
                  <w:tcW w:w="459" w:type="pct"/>
                  <w:vAlign w:val="center"/>
                </w:tcPr>
                <w:p w14:paraId="39314043">
                  <w:pPr>
                    <w:pStyle w:val="69"/>
                    <w:autoSpaceDE/>
                    <w:autoSpaceDN/>
                    <w:adjustRightInd/>
                    <w:snapToGrid/>
                    <w:spacing w:line="260" w:lineRule="exact"/>
                    <w:rPr>
                      <w:rFonts w:ascii="Times New Roman" w:hAnsi="Times New Roman"/>
                    </w:rPr>
                  </w:pPr>
                  <w:r>
                    <w:rPr>
                      <w:rFonts w:ascii="Times New Roman" w:hAnsi="Times New Roman"/>
                    </w:rPr>
                    <w:t>6</w:t>
                  </w:r>
                </w:p>
              </w:tc>
              <w:tc>
                <w:tcPr>
                  <w:tcW w:w="516" w:type="pct"/>
                  <w:vMerge w:val="continue"/>
                  <w:vAlign w:val="center"/>
                </w:tcPr>
                <w:p w14:paraId="4054D6B0">
                  <w:pPr>
                    <w:pStyle w:val="69"/>
                    <w:spacing w:line="260" w:lineRule="exact"/>
                    <w:rPr>
                      <w:rFonts w:ascii="Times New Roman" w:hAnsi="Times New Roman"/>
                    </w:rPr>
                  </w:pPr>
                </w:p>
              </w:tc>
              <w:tc>
                <w:tcPr>
                  <w:tcW w:w="410" w:type="pct"/>
                  <w:vAlign w:val="center"/>
                </w:tcPr>
                <w:p w14:paraId="4C5421E0">
                  <w:pPr>
                    <w:pStyle w:val="69"/>
                    <w:autoSpaceDE/>
                    <w:autoSpaceDN/>
                    <w:adjustRightInd/>
                    <w:snapToGrid/>
                    <w:spacing w:line="260" w:lineRule="exact"/>
                    <w:rPr>
                      <w:rFonts w:ascii="Times New Roman" w:hAnsi="Times New Roman"/>
                    </w:rPr>
                  </w:pPr>
                  <w:r>
                    <w:rPr>
                      <w:rFonts w:ascii="Times New Roman" w:hAnsi="Times New Roman"/>
                    </w:rPr>
                    <w:t>6</w:t>
                  </w:r>
                </w:p>
              </w:tc>
              <w:tc>
                <w:tcPr>
                  <w:tcW w:w="741" w:type="pct"/>
                  <w:vAlign w:val="center"/>
                </w:tcPr>
                <w:p w14:paraId="6ACA756D">
                  <w:pPr>
                    <w:pStyle w:val="69"/>
                    <w:spacing w:line="260" w:lineRule="exact"/>
                    <w:rPr>
                      <w:rFonts w:ascii="Times New Roman" w:hAnsi="Times New Roman"/>
                    </w:rPr>
                  </w:pPr>
                  <w:r>
                    <w:rPr>
                      <w:rFonts w:ascii="Times New Roman" w:hAnsi="Times New Roman"/>
                    </w:rPr>
                    <w:t>废品收购站</w:t>
                  </w:r>
                </w:p>
              </w:tc>
              <w:tc>
                <w:tcPr>
                  <w:tcW w:w="397" w:type="pct"/>
                  <w:vMerge w:val="continue"/>
                  <w:vAlign w:val="center"/>
                </w:tcPr>
                <w:p w14:paraId="551DFA4E">
                  <w:pPr>
                    <w:pStyle w:val="69"/>
                    <w:spacing w:line="260" w:lineRule="exact"/>
                    <w:rPr>
                      <w:rFonts w:ascii="Times New Roman" w:hAnsi="Times New Roman"/>
                    </w:rPr>
                  </w:pPr>
                </w:p>
              </w:tc>
            </w:tr>
            <w:tr w14:paraId="4427D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3F0D87D6">
                  <w:pPr>
                    <w:pStyle w:val="69"/>
                    <w:spacing w:line="260" w:lineRule="exact"/>
                    <w:rPr>
                      <w:rFonts w:ascii="Times New Roman" w:hAnsi="Times New Roman"/>
                    </w:rPr>
                  </w:pPr>
                  <w:r>
                    <w:rPr>
                      <w:rFonts w:ascii="Times New Roman" w:hAnsi="Times New Roman"/>
                    </w:rPr>
                    <w:t>废气治理</w:t>
                  </w:r>
                </w:p>
              </w:tc>
              <w:tc>
                <w:tcPr>
                  <w:tcW w:w="745" w:type="pct"/>
                  <w:vAlign w:val="center"/>
                </w:tcPr>
                <w:p w14:paraId="108E01FF">
                  <w:pPr>
                    <w:pStyle w:val="69"/>
                    <w:autoSpaceDE/>
                    <w:autoSpaceDN/>
                    <w:adjustRightInd/>
                    <w:snapToGrid/>
                    <w:spacing w:line="260" w:lineRule="exact"/>
                    <w:rPr>
                      <w:rFonts w:ascii="Times New Roman" w:hAnsi="Times New Roman"/>
                    </w:rPr>
                  </w:pPr>
                  <w:r>
                    <w:rPr>
                      <w:rFonts w:ascii="Times New Roman" w:hAnsi="Times New Roman"/>
                    </w:rPr>
                    <w:t>清理及抛丸废气处理系统除尘灰</w:t>
                  </w:r>
                </w:p>
              </w:tc>
              <w:tc>
                <w:tcPr>
                  <w:tcW w:w="861" w:type="pct"/>
                  <w:vAlign w:val="center"/>
                </w:tcPr>
                <w:p w14:paraId="44FE6068">
                  <w:pPr>
                    <w:pStyle w:val="69"/>
                    <w:autoSpaceDE/>
                    <w:autoSpaceDN/>
                    <w:adjustRightInd/>
                    <w:snapToGrid/>
                    <w:spacing w:line="260" w:lineRule="exact"/>
                    <w:rPr>
                      <w:rFonts w:ascii="Times New Roman" w:hAnsi="Times New Roman"/>
                    </w:rPr>
                  </w:pPr>
                  <w:r>
                    <w:rPr>
                      <w:rFonts w:ascii="Times New Roman" w:hAnsi="Times New Roman"/>
                    </w:rPr>
                    <w:t>一般固废</w:t>
                  </w:r>
                </w:p>
                <w:p w14:paraId="57C3E1CA">
                  <w:pPr>
                    <w:pStyle w:val="69"/>
                    <w:autoSpaceDE/>
                    <w:autoSpaceDN/>
                    <w:adjustRightInd/>
                    <w:snapToGrid/>
                    <w:spacing w:line="260" w:lineRule="exact"/>
                    <w:rPr>
                      <w:rFonts w:ascii="Times New Roman" w:hAnsi="Times New Roman"/>
                    </w:rPr>
                  </w:pPr>
                  <w:r>
                    <w:rPr>
                      <w:rFonts w:ascii="Times New Roman" w:hAnsi="Times New Roman"/>
                    </w:rPr>
                    <w:t>367-001-99</w:t>
                  </w:r>
                </w:p>
              </w:tc>
              <w:tc>
                <w:tcPr>
                  <w:tcW w:w="459" w:type="pct"/>
                  <w:vAlign w:val="center"/>
                </w:tcPr>
                <w:p w14:paraId="387131C6">
                  <w:pPr>
                    <w:pStyle w:val="69"/>
                    <w:autoSpaceDE/>
                    <w:autoSpaceDN/>
                    <w:adjustRightInd/>
                    <w:snapToGrid/>
                    <w:spacing w:line="260" w:lineRule="exact"/>
                    <w:rPr>
                      <w:rFonts w:ascii="Times New Roman" w:hAnsi="Times New Roman"/>
                    </w:rPr>
                  </w:pPr>
                  <w:r>
                    <w:rPr>
                      <w:rFonts w:ascii="Times New Roman" w:hAnsi="Times New Roman"/>
                    </w:rPr>
                    <w:t>19.404</w:t>
                  </w:r>
                </w:p>
              </w:tc>
              <w:tc>
                <w:tcPr>
                  <w:tcW w:w="516" w:type="pct"/>
                  <w:vAlign w:val="center"/>
                </w:tcPr>
                <w:p w14:paraId="422625B5">
                  <w:pPr>
                    <w:pStyle w:val="69"/>
                    <w:spacing w:line="260" w:lineRule="exact"/>
                    <w:rPr>
                      <w:rFonts w:ascii="Times New Roman" w:hAnsi="Times New Roman"/>
                    </w:rPr>
                  </w:pPr>
                  <w:r>
                    <w:rPr>
                      <w:rFonts w:ascii="Times New Roman" w:hAnsi="Times New Roman"/>
                      <w:bCs/>
                    </w:rPr>
                    <w:t>铝粉暂存间暂存，定期外售</w:t>
                  </w:r>
                </w:p>
              </w:tc>
              <w:tc>
                <w:tcPr>
                  <w:tcW w:w="410" w:type="pct"/>
                  <w:vAlign w:val="center"/>
                </w:tcPr>
                <w:p w14:paraId="2E6E5C0E">
                  <w:pPr>
                    <w:pStyle w:val="69"/>
                    <w:autoSpaceDE/>
                    <w:autoSpaceDN/>
                    <w:adjustRightInd/>
                    <w:snapToGrid/>
                    <w:spacing w:line="260" w:lineRule="exact"/>
                    <w:rPr>
                      <w:rFonts w:ascii="Times New Roman" w:hAnsi="Times New Roman"/>
                    </w:rPr>
                  </w:pPr>
                  <w:r>
                    <w:rPr>
                      <w:rFonts w:ascii="Times New Roman" w:hAnsi="Times New Roman"/>
                    </w:rPr>
                    <w:t>19.404</w:t>
                  </w:r>
                </w:p>
              </w:tc>
              <w:tc>
                <w:tcPr>
                  <w:tcW w:w="741" w:type="pct"/>
                  <w:vAlign w:val="center"/>
                </w:tcPr>
                <w:p w14:paraId="1763318B">
                  <w:pPr>
                    <w:pStyle w:val="69"/>
                    <w:autoSpaceDE/>
                    <w:autoSpaceDN/>
                    <w:adjustRightInd/>
                    <w:snapToGrid/>
                    <w:spacing w:line="260" w:lineRule="exact"/>
                    <w:rPr>
                      <w:rFonts w:ascii="Times New Roman" w:hAnsi="Times New Roman"/>
                    </w:rPr>
                  </w:pPr>
                  <w:r>
                    <w:rPr>
                      <w:rFonts w:ascii="Times New Roman" w:hAnsi="Times New Roman"/>
                    </w:rPr>
                    <w:t>重庆剑涛铝业有限公司</w:t>
                  </w:r>
                </w:p>
              </w:tc>
              <w:tc>
                <w:tcPr>
                  <w:tcW w:w="397" w:type="pct"/>
                  <w:vMerge w:val="continue"/>
                  <w:vAlign w:val="center"/>
                </w:tcPr>
                <w:p w14:paraId="587D8DFC">
                  <w:pPr>
                    <w:pStyle w:val="69"/>
                    <w:spacing w:line="260" w:lineRule="exact"/>
                    <w:rPr>
                      <w:rFonts w:ascii="Times New Roman" w:hAnsi="Times New Roman"/>
                    </w:rPr>
                  </w:pPr>
                </w:p>
              </w:tc>
            </w:tr>
            <w:tr w14:paraId="6A772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59C76B82">
                  <w:pPr>
                    <w:pStyle w:val="69"/>
                    <w:autoSpaceDE/>
                    <w:autoSpaceDN/>
                    <w:adjustRightInd/>
                    <w:snapToGrid/>
                    <w:spacing w:line="260" w:lineRule="exact"/>
                    <w:rPr>
                      <w:rFonts w:ascii="Times New Roman" w:hAnsi="Times New Roman"/>
                    </w:rPr>
                  </w:pPr>
                  <w:r>
                    <w:rPr>
                      <w:rFonts w:ascii="Times New Roman" w:hAnsi="Times New Roman"/>
                    </w:rPr>
                    <w:t>压铸工序</w:t>
                  </w:r>
                </w:p>
              </w:tc>
              <w:tc>
                <w:tcPr>
                  <w:tcW w:w="745" w:type="pct"/>
                  <w:vAlign w:val="center"/>
                </w:tcPr>
                <w:p w14:paraId="5E654880">
                  <w:pPr>
                    <w:pStyle w:val="69"/>
                    <w:autoSpaceDE/>
                    <w:autoSpaceDN/>
                    <w:adjustRightInd/>
                    <w:snapToGrid/>
                    <w:spacing w:line="260" w:lineRule="exact"/>
                    <w:rPr>
                      <w:rFonts w:ascii="Times New Roman" w:hAnsi="Times New Roman"/>
                    </w:rPr>
                  </w:pPr>
                  <w:r>
                    <w:rPr>
                      <w:rFonts w:ascii="Times New Roman" w:hAnsi="Times New Roman"/>
                    </w:rPr>
                    <w:t>废液压油</w:t>
                  </w:r>
                </w:p>
              </w:tc>
              <w:tc>
                <w:tcPr>
                  <w:tcW w:w="861" w:type="pct"/>
                  <w:vAlign w:val="center"/>
                </w:tcPr>
                <w:p w14:paraId="4C7DB000">
                  <w:pPr>
                    <w:pStyle w:val="69"/>
                    <w:autoSpaceDE/>
                    <w:autoSpaceDN/>
                    <w:adjustRightInd/>
                    <w:snapToGrid/>
                    <w:spacing w:line="260" w:lineRule="exact"/>
                    <w:rPr>
                      <w:rFonts w:ascii="Times New Roman" w:hAnsi="Times New Roman"/>
                    </w:rPr>
                  </w:pPr>
                  <w:r>
                    <w:rPr>
                      <w:rFonts w:ascii="Times New Roman" w:hAnsi="Times New Roman"/>
                    </w:rPr>
                    <w:t>危险废物HW08，900-249-08</w:t>
                  </w:r>
                </w:p>
              </w:tc>
              <w:tc>
                <w:tcPr>
                  <w:tcW w:w="459" w:type="pct"/>
                  <w:vAlign w:val="center"/>
                </w:tcPr>
                <w:p w14:paraId="4E85C118">
                  <w:pPr>
                    <w:pStyle w:val="69"/>
                    <w:autoSpaceDE/>
                    <w:autoSpaceDN/>
                    <w:adjustRightInd/>
                    <w:snapToGrid/>
                    <w:spacing w:line="260" w:lineRule="exact"/>
                    <w:rPr>
                      <w:rFonts w:ascii="Times New Roman" w:hAnsi="Times New Roman"/>
                    </w:rPr>
                  </w:pPr>
                  <w:r>
                    <w:rPr>
                      <w:rFonts w:ascii="Times New Roman" w:hAnsi="Times New Roman" w:eastAsia="等线"/>
                    </w:rPr>
                    <w:t>12.5</w:t>
                  </w:r>
                </w:p>
              </w:tc>
              <w:tc>
                <w:tcPr>
                  <w:tcW w:w="516" w:type="pct"/>
                  <w:vMerge w:val="restart"/>
                  <w:vAlign w:val="center"/>
                </w:tcPr>
                <w:p w14:paraId="641D5BFE">
                  <w:pPr>
                    <w:pStyle w:val="69"/>
                    <w:spacing w:line="260" w:lineRule="exact"/>
                    <w:rPr>
                      <w:rFonts w:ascii="Times New Roman" w:hAnsi="Times New Roman"/>
                    </w:rPr>
                  </w:pPr>
                  <w:r>
                    <w:rPr>
                      <w:rFonts w:ascii="Times New Roman" w:hAnsi="Times New Roman"/>
                    </w:rPr>
                    <w:t>危废暂存间内分类、分区暂存，容器下设托盘，定期由危废资质单位处理</w:t>
                  </w:r>
                </w:p>
              </w:tc>
              <w:tc>
                <w:tcPr>
                  <w:tcW w:w="410" w:type="pct"/>
                  <w:vAlign w:val="center"/>
                </w:tcPr>
                <w:p w14:paraId="26FB1002">
                  <w:pPr>
                    <w:pStyle w:val="69"/>
                    <w:autoSpaceDE/>
                    <w:autoSpaceDN/>
                    <w:adjustRightInd/>
                    <w:snapToGrid/>
                    <w:spacing w:line="260" w:lineRule="exact"/>
                    <w:rPr>
                      <w:rFonts w:ascii="Times New Roman" w:hAnsi="Times New Roman"/>
                    </w:rPr>
                  </w:pPr>
                  <w:r>
                    <w:rPr>
                      <w:rFonts w:ascii="Times New Roman" w:hAnsi="Times New Roman" w:eastAsia="等线"/>
                    </w:rPr>
                    <w:t>12.5</w:t>
                  </w:r>
                </w:p>
              </w:tc>
              <w:tc>
                <w:tcPr>
                  <w:tcW w:w="741" w:type="pct"/>
                  <w:vMerge w:val="restart"/>
                  <w:vAlign w:val="center"/>
                </w:tcPr>
                <w:p w14:paraId="2B0FDE38">
                  <w:pPr>
                    <w:pStyle w:val="69"/>
                    <w:spacing w:line="260" w:lineRule="exact"/>
                    <w:rPr>
                      <w:rFonts w:ascii="Times New Roman" w:hAnsi="Times New Roman"/>
                    </w:rPr>
                  </w:pPr>
                  <w:r>
                    <w:rPr>
                      <w:rFonts w:ascii="Times New Roman" w:hAnsi="Times New Roman"/>
                    </w:rPr>
                    <w:t>具有危废处置能力的单位</w:t>
                  </w:r>
                </w:p>
              </w:tc>
              <w:tc>
                <w:tcPr>
                  <w:tcW w:w="397" w:type="pct"/>
                  <w:vMerge w:val="restart"/>
                  <w:vAlign w:val="center"/>
                </w:tcPr>
                <w:p w14:paraId="4C1210FD">
                  <w:pPr>
                    <w:pStyle w:val="69"/>
                    <w:spacing w:line="260" w:lineRule="exact"/>
                    <w:rPr>
                      <w:rFonts w:ascii="Times New Roman" w:hAnsi="Times New Roman"/>
                    </w:rPr>
                  </w:pPr>
                  <w:r>
                    <w:rPr>
                      <w:rFonts w:ascii="Times New Roman" w:hAnsi="Times New Roman"/>
                    </w:rPr>
                    <w:t>危废转运联单，交于有危废处置资质单位处置</w:t>
                  </w:r>
                </w:p>
              </w:tc>
            </w:tr>
            <w:tr w14:paraId="4347C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75629E79">
                  <w:pPr>
                    <w:pStyle w:val="69"/>
                    <w:autoSpaceDE/>
                    <w:autoSpaceDN/>
                    <w:adjustRightInd/>
                    <w:snapToGrid/>
                    <w:spacing w:line="260" w:lineRule="exact"/>
                    <w:rPr>
                      <w:rFonts w:ascii="Times New Roman" w:hAnsi="Times New Roman"/>
                    </w:rPr>
                  </w:pPr>
                  <w:r>
                    <w:rPr>
                      <w:rFonts w:ascii="Times New Roman" w:hAnsi="Times New Roman"/>
                    </w:rPr>
                    <w:t>模具维修、设备维护</w:t>
                  </w:r>
                </w:p>
              </w:tc>
              <w:tc>
                <w:tcPr>
                  <w:tcW w:w="745" w:type="pct"/>
                  <w:vAlign w:val="center"/>
                </w:tcPr>
                <w:p w14:paraId="3A7008C1">
                  <w:pPr>
                    <w:pStyle w:val="69"/>
                    <w:autoSpaceDE/>
                    <w:autoSpaceDN/>
                    <w:adjustRightInd/>
                    <w:snapToGrid/>
                    <w:spacing w:line="260" w:lineRule="exact"/>
                    <w:rPr>
                      <w:rFonts w:ascii="Times New Roman" w:hAnsi="Times New Roman"/>
                    </w:rPr>
                  </w:pPr>
                  <w:r>
                    <w:rPr>
                      <w:rFonts w:ascii="Times New Roman" w:hAnsi="Times New Roman"/>
                    </w:rPr>
                    <w:t>废润滑油</w:t>
                  </w:r>
                </w:p>
              </w:tc>
              <w:tc>
                <w:tcPr>
                  <w:tcW w:w="861" w:type="pct"/>
                  <w:vAlign w:val="center"/>
                </w:tcPr>
                <w:p w14:paraId="28C8A8D5">
                  <w:pPr>
                    <w:pStyle w:val="69"/>
                    <w:autoSpaceDE/>
                    <w:autoSpaceDN/>
                    <w:adjustRightInd/>
                    <w:snapToGrid/>
                    <w:spacing w:line="260" w:lineRule="exact"/>
                    <w:rPr>
                      <w:rFonts w:ascii="Times New Roman" w:hAnsi="Times New Roman"/>
                    </w:rPr>
                  </w:pPr>
                  <w:r>
                    <w:rPr>
                      <w:rFonts w:ascii="Times New Roman" w:hAnsi="Times New Roman"/>
                    </w:rPr>
                    <w:t>危险废物HW08，900-249-08</w:t>
                  </w:r>
                </w:p>
              </w:tc>
              <w:tc>
                <w:tcPr>
                  <w:tcW w:w="459" w:type="pct"/>
                  <w:vAlign w:val="center"/>
                </w:tcPr>
                <w:p w14:paraId="0E428602">
                  <w:pPr>
                    <w:pStyle w:val="69"/>
                    <w:autoSpaceDE/>
                    <w:autoSpaceDN/>
                    <w:adjustRightInd/>
                    <w:snapToGrid/>
                    <w:spacing w:line="260" w:lineRule="exact"/>
                    <w:rPr>
                      <w:rFonts w:ascii="Times New Roman" w:hAnsi="Times New Roman"/>
                    </w:rPr>
                  </w:pPr>
                  <w:r>
                    <w:rPr>
                      <w:rFonts w:ascii="Times New Roman" w:hAnsi="Times New Roman" w:eastAsia="等线"/>
                    </w:rPr>
                    <w:t>67</w:t>
                  </w:r>
                </w:p>
              </w:tc>
              <w:tc>
                <w:tcPr>
                  <w:tcW w:w="516" w:type="pct"/>
                  <w:vMerge w:val="continue"/>
                  <w:vAlign w:val="center"/>
                </w:tcPr>
                <w:p w14:paraId="4AC9F4CA">
                  <w:pPr>
                    <w:pStyle w:val="69"/>
                    <w:autoSpaceDE/>
                    <w:autoSpaceDN/>
                    <w:adjustRightInd/>
                    <w:snapToGrid/>
                    <w:spacing w:line="260" w:lineRule="exact"/>
                    <w:rPr>
                      <w:rFonts w:ascii="Times New Roman" w:hAnsi="Times New Roman"/>
                    </w:rPr>
                  </w:pPr>
                </w:p>
              </w:tc>
              <w:tc>
                <w:tcPr>
                  <w:tcW w:w="410" w:type="pct"/>
                  <w:vAlign w:val="center"/>
                </w:tcPr>
                <w:p w14:paraId="70DA4032">
                  <w:pPr>
                    <w:pStyle w:val="69"/>
                    <w:autoSpaceDE/>
                    <w:autoSpaceDN/>
                    <w:adjustRightInd/>
                    <w:snapToGrid/>
                    <w:spacing w:line="260" w:lineRule="exact"/>
                    <w:rPr>
                      <w:rFonts w:ascii="Times New Roman" w:hAnsi="Times New Roman"/>
                    </w:rPr>
                  </w:pPr>
                  <w:r>
                    <w:rPr>
                      <w:rFonts w:ascii="Times New Roman" w:hAnsi="Times New Roman" w:eastAsia="等线"/>
                    </w:rPr>
                    <w:t>67</w:t>
                  </w:r>
                </w:p>
              </w:tc>
              <w:tc>
                <w:tcPr>
                  <w:tcW w:w="741" w:type="pct"/>
                  <w:vMerge w:val="continue"/>
                  <w:vAlign w:val="center"/>
                </w:tcPr>
                <w:p w14:paraId="7F5EC7A6">
                  <w:pPr>
                    <w:pStyle w:val="69"/>
                    <w:autoSpaceDE/>
                    <w:autoSpaceDN/>
                    <w:adjustRightInd/>
                    <w:snapToGrid/>
                    <w:spacing w:line="260" w:lineRule="exact"/>
                    <w:rPr>
                      <w:rFonts w:ascii="Times New Roman" w:hAnsi="Times New Roman"/>
                    </w:rPr>
                  </w:pPr>
                </w:p>
              </w:tc>
              <w:tc>
                <w:tcPr>
                  <w:tcW w:w="397" w:type="pct"/>
                  <w:vMerge w:val="continue"/>
                  <w:vAlign w:val="center"/>
                </w:tcPr>
                <w:p w14:paraId="5491B8FE">
                  <w:pPr>
                    <w:pStyle w:val="69"/>
                    <w:spacing w:line="260" w:lineRule="exact"/>
                    <w:rPr>
                      <w:rFonts w:ascii="Times New Roman" w:hAnsi="Times New Roman"/>
                    </w:rPr>
                  </w:pPr>
                </w:p>
              </w:tc>
            </w:tr>
            <w:tr w14:paraId="30695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022E1C73">
                  <w:pPr>
                    <w:pStyle w:val="69"/>
                    <w:autoSpaceDE/>
                    <w:autoSpaceDN/>
                    <w:adjustRightInd/>
                    <w:snapToGrid/>
                    <w:spacing w:line="260" w:lineRule="exact"/>
                    <w:rPr>
                      <w:rFonts w:ascii="Times New Roman" w:hAnsi="Times New Roman"/>
                    </w:rPr>
                  </w:pPr>
                  <w:r>
                    <w:rPr>
                      <w:rFonts w:ascii="Times New Roman" w:hAnsi="Times New Roman"/>
                    </w:rPr>
                    <w:t>物料使用</w:t>
                  </w:r>
                </w:p>
              </w:tc>
              <w:tc>
                <w:tcPr>
                  <w:tcW w:w="745" w:type="pct"/>
                  <w:vAlign w:val="center"/>
                </w:tcPr>
                <w:p w14:paraId="7BD4D602">
                  <w:pPr>
                    <w:pStyle w:val="69"/>
                    <w:autoSpaceDE/>
                    <w:autoSpaceDN/>
                    <w:adjustRightInd/>
                    <w:snapToGrid/>
                    <w:spacing w:line="260" w:lineRule="exact"/>
                    <w:rPr>
                      <w:rFonts w:ascii="Times New Roman" w:hAnsi="Times New Roman"/>
                    </w:rPr>
                  </w:pPr>
                  <w:r>
                    <w:rPr>
                      <w:rFonts w:ascii="Times New Roman" w:hAnsi="Times New Roman"/>
                    </w:rPr>
                    <w:t>废包装桶</w:t>
                  </w:r>
                </w:p>
              </w:tc>
              <w:tc>
                <w:tcPr>
                  <w:tcW w:w="861" w:type="pct"/>
                  <w:vAlign w:val="center"/>
                </w:tcPr>
                <w:p w14:paraId="267D73BA">
                  <w:pPr>
                    <w:pStyle w:val="69"/>
                    <w:autoSpaceDE/>
                    <w:autoSpaceDN/>
                    <w:adjustRightInd/>
                    <w:snapToGrid/>
                    <w:spacing w:line="260" w:lineRule="exact"/>
                    <w:rPr>
                      <w:rFonts w:ascii="Times New Roman" w:hAnsi="Times New Roman"/>
                    </w:rPr>
                  </w:pPr>
                  <w:r>
                    <w:rPr>
                      <w:rFonts w:ascii="Times New Roman" w:hAnsi="Times New Roman"/>
                    </w:rPr>
                    <w:t>危险废物HW49，900-041-49</w:t>
                  </w:r>
                </w:p>
              </w:tc>
              <w:tc>
                <w:tcPr>
                  <w:tcW w:w="459" w:type="pct"/>
                  <w:vAlign w:val="center"/>
                </w:tcPr>
                <w:p w14:paraId="112A3F34">
                  <w:pPr>
                    <w:pStyle w:val="69"/>
                    <w:autoSpaceDE/>
                    <w:autoSpaceDN/>
                    <w:adjustRightInd/>
                    <w:snapToGrid/>
                    <w:spacing w:line="260" w:lineRule="exact"/>
                    <w:rPr>
                      <w:rFonts w:ascii="Times New Roman" w:hAnsi="Times New Roman"/>
                    </w:rPr>
                  </w:pPr>
                  <w:r>
                    <w:rPr>
                      <w:rFonts w:ascii="Times New Roman" w:hAnsi="Times New Roman"/>
                    </w:rPr>
                    <w:t>8.0</w:t>
                  </w:r>
                </w:p>
              </w:tc>
              <w:tc>
                <w:tcPr>
                  <w:tcW w:w="516" w:type="pct"/>
                  <w:vMerge w:val="continue"/>
                  <w:vAlign w:val="center"/>
                </w:tcPr>
                <w:p w14:paraId="22A8B5C5">
                  <w:pPr>
                    <w:pStyle w:val="69"/>
                    <w:spacing w:line="260" w:lineRule="exact"/>
                    <w:rPr>
                      <w:rFonts w:ascii="Times New Roman" w:hAnsi="Times New Roman"/>
                    </w:rPr>
                  </w:pPr>
                </w:p>
              </w:tc>
              <w:tc>
                <w:tcPr>
                  <w:tcW w:w="410" w:type="pct"/>
                  <w:vAlign w:val="center"/>
                </w:tcPr>
                <w:p w14:paraId="2A5E5ADF">
                  <w:pPr>
                    <w:pStyle w:val="69"/>
                    <w:autoSpaceDE/>
                    <w:autoSpaceDN/>
                    <w:adjustRightInd/>
                    <w:snapToGrid/>
                    <w:spacing w:line="260" w:lineRule="exact"/>
                    <w:rPr>
                      <w:rFonts w:ascii="Times New Roman" w:hAnsi="Times New Roman"/>
                    </w:rPr>
                  </w:pPr>
                  <w:r>
                    <w:rPr>
                      <w:rFonts w:ascii="Times New Roman" w:hAnsi="Times New Roman"/>
                    </w:rPr>
                    <w:t>8.0</w:t>
                  </w:r>
                </w:p>
              </w:tc>
              <w:tc>
                <w:tcPr>
                  <w:tcW w:w="741" w:type="pct"/>
                  <w:vMerge w:val="continue"/>
                  <w:vAlign w:val="center"/>
                </w:tcPr>
                <w:p w14:paraId="7A64D105">
                  <w:pPr>
                    <w:pStyle w:val="69"/>
                    <w:spacing w:line="260" w:lineRule="exact"/>
                    <w:rPr>
                      <w:rFonts w:ascii="Times New Roman" w:hAnsi="Times New Roman"/>
                    </w:rPr>
                  </w:pPr>
                </w:p>
              </w:tc>
              <w:tc>
                <w:tcPr>
                  <w:tcW w:w="397" w:type="pct"/>
                  <w:vMerge w:val="continue"/>
                  <w:vAlign w:val="center"/>
                </w:tcPr>
                <w:p w14:paraId="7C646880">
                  <w:pPr>
                    <w:pStyle w:val="69"/>
                    <w:spacing w:line="260" w:lineRule="exact"/>
                    <w:rPr>
                      <w:rFonts w:ascii="Times New Roman" w:hAnsi="Times New Roman"/>
                    </w:rPr>
                  </w:pPr>
                </w:p>
              </w:tc>
            </w:tr>
            <w:tr w14:paraId="6C40B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73A5508A">
                  <w:pPr>
                    <w:pStyle w:val="69"/>
                    <w:autoSpaceDE/>
                    <w:autoSpaceDN/>
                    <w:adjustRightInd/>
                    <w:snapToGrid/>
                    <w:spacing w:line="260" w:lineRule="exact"/>
                    <w:rPr>
                      <w:rFonts w:ascii="Times New Roman" w:hAnsi="Times New Roman"/>
                    </w:rPr>
                  </w:pPr>
                  <w:r>
                    <w:rPr>
                      <w:rFonts w:ascii="Times New Roman" w:hAnsi="Times New Roman"/>
                    </w:rPr>
                    <w:t>熔化工序</w:t>
                  </w:r>
                </w:p>
              </w:tc>
              <w:tc>
                <w:tcPr>
                  <w:tcW w:w="745" w:type="pct"/>
                  <w:vAlign w:val="center"/>
                </w:tcPr>
                <w:p w14:paraId="16C4E43E">
                  <w:pPr>
                    <w:pStyle w:val="69"/>
                    <w:autoSpaceDE/>
                    <w:autoSpaceDN/>
                    <w:adjustRightInd/>
                    <w:snapToGrid/>
                    <w:spacing w:line="260" w:lineRule="exact"/>
                    <w:rPr>
                      <w:rFonts w:ascii="Times New Roman" w:hAnsi="Times New Roman"/>
                    </w:rPr>
                  </w:pPr>
                  <w:r>
                    <w:rPr>
                      <w:rFonts w:ascii="Times New Roman" w:hAnsi="Times New Roman"/>
                    </w:rPr>
                    <w:t>铝灰渣</w:t>
                  </w:r>
                </w:p>
              </w:tc>
              <w:tc>
                <w:tcPr>
                  <w:tcW w:w="861" w:type="pct"/>
                  <w:vAlign w:val="center"/>
                </w:tcPr>
                <w:p w14:paraId="6E81A0D7">
                  <w:pPr>
                    <w:pStyle w:val="69"/>
                    <w:autoSpaceDE/>
                    <w:autoSpaceDN/>
                    <w:adjustRightInd/>
                    <w:snapToGrid/>
                    <w:spacing w:line="260" w:lineRule="exact"/>
                    <w:rPr>
                      <w:rFonts w:ascii="Times New Roman" w:hAnsi="Times New Roman"/>
                    </w:rPr>
                  </w:pPr>
                  <w:r>
                    <w:rPr>
                      <w:rFonts w:ascii="Times New Roman" w:hAnsi="Times New Roman"/>
                    </w:rPr>
                    <w:t>危险废物HW48，321-026-48</w:t>
                  </w:r>
                </w:p>
              </w:tc>
              <w:tc>
                <w:tcPr>
                  <w:tcW w:w="459" w:type="pct"/>
                  <w:vAlign w:val="center"/>
                </w:tcPr>
                <w:p w14:paraId="762FD152">
                  <w:pPr>
                    <w:pStyle w:val="69"/>
                    <w:autoSpaceDE/>
                    <w:autoSpaceDN/>
                    <w:adjustRightInd/>
                    <w:snapToGrid/>
                    <w:spacing w:line="260" w:lineRule="exact"/>
                    <w:rPr>
                      <w:rFonts w:ascii="Times New Roman" w:hAnsi="Times New Roman"/>
                    </w:rPr>
                  </w:pPr>
                  <w:r>
                    <w:rPr>
                      <w:rFonts w:ascii="Times New Roman" w:hAnsi="Times New Roman"/>
                    </w:rPr>
                    <w:t>120</w:t>
                  </w:r>
                </w:p>
              </w:tc>
              <w:tc>
                <w:tcPr>
                  <w:tcW w:w="516" w:type="pct"/>
                  <w:vMerge w:val="continue"/>
                  <w:vAlign w:val="center"/>
                </w:tcPr>
                <w:p w14:paraId="7D5DC7BE">
                  <w:pPr>
                    <w:pStyle w:val="69"/>
                    <w:spacing w:line="260" w:lineRule="exact"/>
                    <w:rPr>
                      <w:rFonts w:ascii="Times New Roman" w:hAnsi="Times New Roman"/>
                    </w:rPr>
                  </w:pPr>
                </w:p>
              </w:tc>
              <w:tc>
                <w:tcPr>
                  <w:tcW w:w="410" w:type="pct"/>
                  <w:vAlign w:val="center"/>
                </w:tcPr>
                <w:p w14:paraId="03244A6E">
                  <w:pPr>
                    <w:pStyle w:val="69"/>
                    <w:autoSpaceDE/>
                    <w:autoSpaceDN/>
                    <w:adjustRightInd/>
                    <w:snapToGrid/>
                    <w:spacing w:line="260" w:lineRule="exact"/>
                    <w:rPr>
                      <w:rFonts w:ascii="Times New Roman" w:hAnsi="Times New Roman"/>
                    </w:rPr>
                  </w:pPr>
                  <w:r>
                    <w:rPr>
                      <w:rFonts w:ascii="Times New Roman" w:hAnsi="Times New Roman"/>
                    </w:rPr>
                    <w:t>120</w:t>
                  </w:r>
                </w:p>
              </w:tc>
              <w:tc>
                <w:tcPr>
                  <w:tcW w:w="741" w:type="pct"/>
                  <w:vMerge w:val="continue"/>
                  <w:vAlign w:val="center"/>
                </w:tcPr>
                <w:p w14:paraId="26E5EABB">
                  <w:pPr>
                    <w:pStyle w:val="69"/>
                    <w:spacing w:line="260" w:lineRule="exact"/>
                    <w:rPr>
                      <w:rFonts w:ascii="Times New Roman" w:hAnsi="Times New Roman"/>
                    </w:rPr>
                  </w:pPr>
                </w:p>
              </w:tc>
              <w:tc>
                <w:tcPr>
                  <w:tcW w:w="397" w:type="pct"/>
                  <w:vMerge w:val="continue"/>
                  <w:vAlign w:val="center"/>
                </w:tcPr>
                <w:p w14:paraId="785C3BAA">
                  <w:pPr>
                    <w:pStyle w:val="69"/>
                    <w:spacing w:line="260" w:lineRule="exact"/>
                    <w:rPr>
                      <w:rFonts w:ascii="Times New Roman" w:hAnsi="Times New Roman"/>
                    </w:rPr>
                  </w:pPr>
                </w:p>
              </w:tc>
            </w:tr>
            <w:tr w14:paraId="7D973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6664F9EB">
                  <w:pPr>
                    <w:pStyle w:val="69"/>
                    <w:autoSpaceDE/>
                    <w:autoSpaceDN/>
                    <w:adjustRightInd/>
                    <w:snapToGrid/>
                    <w:spacing w:line="260" w:lineRule="exact"/>
                    <w:rPr>
                      <w:rFonts w:ascii="Times New Roman" w:hAnsi="Times New Roman"/>
                    </w:rPr>
                  </w:pPr>
                  <w:r>
                    <w:rPr>
                      <w:rFonts w:ascii="Times New Roman" w:hAnsi="Times New Roman"/>
                    </w:rPr>
                    <w:t>机加工序</w:t>
                  </w:r>
                </w:p>
              </w:tc>
              <w:tc>
                <w:tcPr>
                  <w:tcW w:w="745" w:type="pct"/>
                  <w:vAlign w:val="center"/>
                </w:tcPr>
                <w:p w14:paraId="37FD0304">
                  <w:pPr>
                    <w:pStyle w:val="69"/>
                    <w:autoSpaceDE/>
                    <w:autoSpaceDN/>
                    <w:adjustRightInd/>
                    <w:snapToGrid/>
                    <w:spacing w:line="260" w:lineRule="exact"/>
                    <w:rPr>
                      <w:rFonts w:ascii="Times New Roman" w:hAnsi="Times New Roman"/>
                    </w:rPr>
                  </w:pPr>
                  <w:r>
                    <w:rPr>
                      <w:rFonts w:ascii="Times New Roman" w:hAnsi="Times New Roman"/>
                    </w:rPr>
                    <w:t>废切削液</w:t>
                  </w:r>
                </w:p>
              </w:tc>
              <w:tc>
                <w:tcPr>
                  <w:tcW w:w="861" w:type="pct"/>
                  <w:vAlign w:val="center"/>
                </w:tcPr>
                <w:p w14:paraId="7EEA368A">
                  <w:pPr>
                    <w:pStyle w:val="69"/>
                    <w:autoSpaceDE/>
                    <w:autoSpaceDN/>
                    <w:adjustRightInd/>
                    <w:snapToGrid/>
                    <w:spacing w:line="260" w:lineRule="exact"/>
                    <w:rPr>
                      <w:rFonts w:ascii="Times New Roman" w:hAnsi="Times New Roman"/>
                    </w:rPr>
                  </w:pPr>
                  <w:r>
                    <w:rPr>
                      <w:rFonts w:ascii="Times New Roman" w:hAnsi="Times New Roman"/>
                    </w:rPr>
                    <w:t>危险废物HW09，900-006-09</w:t>
                  </w:r>
                </w:p>
              </w:tc>
              <w:tc>
                <w:tcPr>
                  <w:tcW w:w="459" w:type="pct"/>
                  <w:vAlign w:val="center"/>
                </w:tcPr>
                <w:p w14:paraId="2490CE0C">
                  <w:pPr>
                    <w:pStyle w:val="69"/>
                    <w:autoSpaceDE/>
                    <w:autoSpaceDN/>
                    <w:adjustRightInd/>
                    <w:snapToGrid/>
                    <w:spacing w:line="260" w:lineRule="exact"/>
                    <w:rPr>
                      <w:rFonts w:ascii="Times New Roman" w:hAnsi="Times New Roman"/>
                    </w:rPr>
                  </w:pPr>
                  <w:r>
                    <w:rPr>
                      <w:rFonts w:ascii="Times New Roman" w:hAnsi="Times New Roman"/>
                    </w:rPr>
                    <w:t>100</w:t>
                  </w:r>
                </w:p>
              </w:tc>
              <w:tc>
                <w:tcPr>
                  <w:tcW w:w="516" w:type="pct"/>
                  <w:vMerge w:val="continue"/>
                  <w:vAlign w:val="center"/>
                </w:tcPr>
                <w:p w14:paraId="7B51C57D">
                  <w:pPr>
                    <w:pStyle w:val="69"/>
                    <w:spacing w:line="260" w:lineRule="exact"/>
                    <w:rPr>
                      <w:rFonts w:ascii="Times New Roman" w:hAnsi="Times New Roman"/>
                    </w:rPr>
                  </w:pPr>
                </w:p>
              </w:tc>
              <w:tc>
                <w:tcPr>
                  <w:tcW w:w="410" w:type="pct"/>
                  <w:vAlign w:val="center"/>
                </w:tcPr>
                <w:p w14:paraId="32B511D9">
                  <w:pPr>
                    <w:pStyle w:val="69"/>
                    <w:autoSpaceDE/>
                    <w:autoSpaceDN/>
                    <w:adjustRightInd/>
                    <w:snapToGrid/>
                    <w:spacing w:line="260" w:lineRule="exact"/>
                    <w:rPr>
                      <w:rFonts w:ascii="Times New Roman" w:hAnsi="Times New Roman"/>
                    </w:rPr>
                  </w:pPr>
                  <w:r>
                    <w:rPr>
                      <w:rFonts w:ascii="Times New Roman" w:hAnsi="Times New Roman"/>
                    </w:rPr>
                    <w:t>100</w:t>
                  </w:r>
                </w:p>
              </w:tc>
              <w:tc>
                <w:tcPr>
                  <w:tcW w:w="741" w:type="pct"/>
                  <w:vMerge w:val="continue"/>
                  <w:vAlign w:val="center"/>
                </w:tcPr>
                <w:p w14:paraId="6DBBA8D3">
                  <w:pPr>
                    <w:pStyle w:val="69"/>
                    <w:spacing w:line="260" w:lineRule="exact"/>
                    <w:rPr>
                      <w:rFonts w:ascii="Times New Roman" w:hAnsi="Times New Roman"/>
                    </w:rPr>
                  </w:pPr>
                </w:p>
              </w:tc>
              <w:tc>
                <w:tcPr>
                  <w:tcW w:w="397" w:type="pct"/>
                  <w:vMerge w:val="continue"/>
                  <w:vAlign w:val="center"/>
                </w:tcPr>
                <w:p w14:paraId="6E71E912">
                  <w:pPr>
                    <w:pStyle w:val="69"/>
                    <w:autoSpaceDE/>
                    <w:autoSpaceDN/>
                    <w:adjustRightInd/>
                    <w:snapToGrid/>
                    <w:spacing w:line="260" w:lineRule="exact"/>
                    <w:rPr>
                      <w:rFonts w:ascii="Times New Roman" w:hAnsi="Times New Roman"/>
                    </w:rPr>
                  </w:pPr>
                </w:p>
              </w:tc>
            </w:tr>
            <w:tr w14:paraId="5D5CF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7A01592A">
                  <w:pPr>
                    <w:pStyle w:val="69"/>
                    <w:autoSpaceDE/>
                    <w:autoSpaceDN/>
                    <w:adjustRightInd/>
                    <w:snapToGrid/>
                    <w:spacing w:line="260" w:lineRule="exact"/>
                    <w:rPr>
                      <w:rFonts w:ascii="Times New Roman" w:hAnsi="Times New Roman"/>
                    </w:rPr>
                  </w:pPr>
                  <w:r>
                    <w:rPr>
                      <w:rFonts w:ascii="Times New Roman" w:hAnsi="Times New Roman"/>
                    </w:rPr>
                    <w:t>压铸工序</w:t>
                  </w:r>
                </w:p>
              </w:tc>
              <w:tc>
                <w:tcPr>
                  <w:tcW w:w="745" w:type="pct"/>
                  <w:vAlign w:val="center"/>
                </w:tcPr>
                <w:p w14:paraId="1D78C878">
                  <w:pPr>
                    <w:pStyle w:val="69"/>
                    <w:autoSpaceDE/>
                    <w:autoSpaceDN/>
                    <w:adjustRightInd/>
                    <w:snapToGrid/>
                    <w:spacing w:line="260" w:lineRule="exact"/>
                    <w:rPr>
                      <w:rFonts w:ascii="Times New Roman" w:hAnsi="Times New Roman"/>
                    </w:rPr>
                  </w:pPr>
                  <w:r>
                    <w:rPr>
                      <w:rFonts w:ascii="Times New Roman" w:hAnsi="Times New Roman"/>
                    </w:rPr>
                    <w:t>废脱模剂</w:t>
                  </w:r>
                </w:p>
              </w:tc>
              <w:tc>
                <w:tcPr>
                  <w:tcW w:w="861" w:type="pct"/>
                  <w:vAlign w:val="center"/>
                </w:tcPr>
                <w:p w14:paraId="57D14528">
                  <w:pPr>
                    <w:pStyle w:val="69"/>
                    <w:autoSpaceDE/>
                    <w:autoSpaceDN/>
                    <w:adjustRightInd/>
                    <w:snapToGrid/>
                    <w:spacing w:line="260" w:lineRule="exact"/>
                    <w:rPr>
                      <w:rFonts w:ascii="Times New Roman" w:hAnsi="Times New Roman"/>
                    </w:rPr>
                  </w:pPr>
                  <w:r>
                    <w:rPr>
                      <w:rFonts w:ascii="Times New Roman" w:hAnsi="Times New Roman"/>
                    </w:rPr>
                    <w:t>危险废物HW09，900-006-09</w:t>
                  </w:r>
                </w:p>
              </w:tc>
              <w:tc>
                <w:tcPr>
                  <w:tcW w:w="459" w:type="pct"/>
                  <w:vAlign w:val="center"/>
                </w:tcPr>
                <w:p w14:paraId="36DA1A8E">
                  <w:pPr>
                    <w:pStyle w:val="69"/>
                    <w:autoSpaceDE/>
                    <w:autoSpaceDN/>
                    <w:adjustRightInd/>
                    <w:snapToGrid/>
                    <w:spacing w:line="260" w:lineRule="exact"/>
                    <w:rPr>
                      <w:rFonts w:ascii="Times New Roman" w:hAnsi="Times New Roman"/>
                    </w:rPr>
                  </w:pPr>
                  <w:r>
                    <w:rPr>
                      <w:rFonts w:hint="eastAsia" w:ascii="Times New Roman" w:hAnsi="Times New Roman"/>
                    </w:rPr>
                    <w:t>1</w:t>
                  </w:r>
                  <w:r>
                    <w:rPr>
                      <w:rFonts w:ascii="Times New Roman" w:hAnsi="Times New Roman"/>
                    </w:rPr>
                    <w:t>2</w:t>
                  </w:r>
                </w:p>
              </w:tc>
              <w:tc>
                <w:tcPr>
                  <w:tcW w:w="516" w:type="pct"/>
                  <w:vMerge w:val="continue"/>
                  <w:vAlign w:val="center"/>
                </w:tcPr>
                <w:p w14:paraId="1D2AB215">
                  <w:pPr>
                    <w:pStyle w:val="69"/>
                    <w:spacing w:line="260" w:lineRule="exact"/>
                    <w:rPr>
                      <w:rFonts w:ascii="Times New Roman" w:hAnsi="Times New Roman"/>
                    </w:rPr>
                  </w:pPr>
                </w:p>
              </w:tc>
              <w:tc>
                <w:tcPr>
                  <w:tcW w:w="410" w:type="pct"/>
                  <w:vAlign w:val="center"/>
                </w:tcPr>
                <w:p w14:paraId="50F634B4">
                  <w:pPr>
                    <w:pStyle w:val="69"/>
                    <w:autoSpaceDE/>
                    <w:autoSpaceDN/>
                    <w:adjustRightInd/>
                    <w:snapToGrid/>
                    <w:spacing w:line="260" w:lineRule="exact"/>
                    <w:rPr>
                      <w:rFonts w:ascii="Times New Roman" w:hAnsi="Times New Roman"/>
                    </w:rPr>
                  </w:pPr>
                  <w:r>
                    <w:rPr>
                      <w:rFonts w:ascii="Times New Roman" w:hAnsi="Times New Roman"/>
                    </w:rPr>
                    <w:t>12</w:t>
                  </w:r>
                </w:p>
              </w:tc>
              <w:tc>
                <w:tcPr>
                  <w:tcW w:w="741" w:type="pct"/>
                  <w:vMerge w:val="continue"/>
                  <w:vAlign w:val="center"/>
                </w:tcPr>
                <w:p w14:paraId="6FA3BEBC">
                  <w:pPr>
                    <w:pStyle w:val="69"/>
                    <w:spacing w:line="260" w:lineRule="exact"/>
                    <w:rPr>
                      <w:rFonts w:ascii="Times New Roman" w:hAnsi="Times New Roman"/>
                    </w:rPr>
                  </w:pPr>
                </w:p>
              </w:tc>
              <w:tc>
                <w:tcPr>
                  <w:tcW w:w="397" w:type="pct"/>
                  <w:vMerge w:val="continue"/>
                  <w:vAlign w:val="center"/>
                </w:tcPr>
                <w:p w14:paraId="6502FF5E">
                  <w:pPr>
                    <w:pStyle w:val="69"/>
                    <w:autoSpaceDE/>
                    <w:autoSpaceDN/>
                    <w:adjustRightInd/>
                    <w:snapToGrid/>
                    <w:spacing w:line="260" w:lineRule="exact"/>
                    <w:rPr>
                      <w:rFonts w:ascii="Times New Roman" w:hAnsi="Times New Roman"/>
                    </w:rPr>
                  </w:pPr>
                </w:p>
              </w:tc>
            </w:tr>
            <w:tr w14:paraId="2D504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39D62288">
                  <w:pPr>
                    <w:pStyle w:val="69"/>
                    <w:autoSpaceDE/>
                    <w:autoSpaceDN/>
                    <w:adjustRightInd/>
                    <w:snapToGrid/>
                    <w:spacing w:line="260" w:lineRule="exact"/>
                    <w:rPr>
                      <w:rFonts w:ascii="Times New Roman" w:hAnsi="Times New Roman"/>
                    </w:rPr>
                  </w:pPr>
                  <w:r>
                    <w:rPr>
                      <w:rFonts w:ascii="Times New Roman" w:hAnsi="Times New Roman"/>
                    </w:rPr>
                    <w:t>废气治理</w:t>
                  </w:r>
                </w:p>
              </w:tc>
              <w:tc>
                <w:tcPr>
                  <w:tcW w:w="745" w:type="pct"/>
                  <w:vAlign w:val="center"/>
                </w:tcPr>
                <w:p w14:paraId="20ECE407">
                  <w:pPr>
                    <w:pStyle w:val="69"/>
                    <w:autoSpaceDE/>
                    <w:autoSpaceDN/>
                    <w:adjustRightInd/>
                    <w:snapToGrid/>
                    <w:spacing w:line="260" w:lineRule="exact"/>
                    <w:rPr>
                      <w:rFonts w:ascii="Times New Roman" w:hAnsi="Times New Roman"/>
                    </w:rPr>
                  </w:pPr>
                  <w:r>
                    <w:rPr>
                      <w:rFonts w:ascii="Times New Roman" w:hAnsi="Times New Roman"/>
                    </w:rPr>
                    <w:t>熔化炉废气处理系统除尘灰</w:t>
                  </w:r>
                </w:p>
              </w:tc>
              <w:tc>
                <w:tcPr>
                  <w:tcW w:w="861" w:type="pct"/>
                  <w:vAlign w:val="center"/>
                </w:tcPr>
                <w:p w14:paraId="60AFC4A5">
                  <w:pPr>
                    <w:pStyle w:val="69"/>
                    <w:autoSpaceDE/>
                    <w:autoSpaceDN/>
                    <w:adjustRightInd/>
                    <w:snapToGrid/>
                    <w:spacing w:line="260" w:lineRule="exact"/>
                    <w:rPr>
                      <w:rFonts w:ascii="Times New Roman" w:hAnsi="Times New Roman"/>
                    </w:rPr>
                  </w:pPr>
                  <w:r>
                    <w:rPr>
                      <w:rFonts w:ascii="Times New Roman" w:hAnsi="Times New Roman"/>
                    </w:rPr>
                    <w:t>危险废物HW48，321-034-48</w:t>
                  </w:r>
                </w:p>
              </w:tc>
              <w:tc>
                <w:tcPr>
                  <w:tcW w:w="459" w:type="pct"/>
                  <w:vAlign w:val="center"/>
                </w:tcPr>
                <w:p w14:paraId="49048D70">
                  <w:pPr>
                    <w:pStyle w:val="69"/>
                    <w:autoSpaceDE/>
                    <w:autoSpaceDN/>
                    <w:adjustRightInd/>
                    <w:snapToGrid/>
                    <w:spacing w:line="260" w:lineRule="exact"/>
                    <w:rPr>
                      <w:rFonts w:ascii="Times New Roman" w:hAnsi="Times New Roman"/>
                    </w:rPr>
                  </w:pPr>
                  <w:r>
                    <w:rPr>
                      <w:rFonts w:ascii="Times New Roman" w:hAnsi="Times New Roman"/>
                    </w:rPr>
                    <w:t>1.06</w:t>
                  </w:r>
                </w:p>
              </w:tc>
              <w:tc>
                <w:tcPr>
                  <w:tcW w:w="516" w:type="pct"/>
                  <w:vMerge w:val="continue"/>
                  <w:vAlign w:val="center"/>
                </w:tcPr>
                <w:p w14:paraId="7E430E58">
                  <w:pPr>
                    <w:pStyle w:val="69"/>
                    <w:autoSpaceDE/>
                    <w:autoSpaceDN/>
                    <w:adjustRightInd/>
                    <w:snapToGrid/>
                    <w:spacing w:line="260" w:lineRule="exact"/>
                    <w:rPr>
                      <w:rFonts w:ascii="Times New Roman" w:hAnsi="Times New Roman"/>
                    </w:rPr>
                  </w:pPr>
                </w:p>
              </w:tc>
              <w:tc>
                <w:tcPr>
                  <w:tcW w:w="410" w:type="pct"/>
                  <w:vAlign w:val="center"/>
                </w:tcPr>
                <w:p w14:paraId="3E38FA06">
                  <w:pPr>
                    <w:pStyle w:val="69"/>
                    <w:autoSpaceDE/>
                    <w:autoSpaceDN/>
                    <w:adjustRightInd/>
                    <w:snapToGrid/>
                    <w:spacing w:line="260" w:lineRule="exact"/>
                    <w:rPr>
                      <w:rFonts w:ascii="Times New Roman" w:hAnsi="Times New Roman"/>
                    </w:rPr>
                  </w:pPr>
                  <w:r>
                    <w:rPr>
                      <w:rFonts w:ascii="Times New Roman" w:hAnsi="Times New Roman"/>
                    </w:rPr>
                    <w:t>1.06</w:t>
                  </w:r>
                </w:p>
              </w:tc>
              <w:tc>
                <w:tcPr>
                  <w:tcW w:w="741" w:type="pct"/>
                  <w:vMerge w:val="continue"/>
                  <w:vAlign w:val="center"/>
                </w:tcPr>
                <w:p w14:paraId="0B71BADC">
                  <w:pPr>
                    <w:pStyle w:val="69"/>
                    <w:autoSpaceDE/>
                    <w:autoSpaceDN/>
                    <w:adjustRightInd/>
                    <w:snapToGrid/>
                    <w:spacing w:line="260" w:lineRule="exact"/>
                    <w:rPr>
                      <w:rFonts w:ascii="Times New Roman" w:hAnsi="Times New Roman"/>
                    </w:rPr>
                  </w:pPr>
                </w:p>
              </w:tc>
              <w:tc>
                <w:tcPr>
                  <w:tcW w:w="397" w:type="pct"/>
                  <w:vMerge w:val="continue"/>
                  <w:vAlign w:val="center"/>
                </w:tcPr>
                <w:p w14:paraId="70FC0B4C">
                  <w:pPr>
                    <w:pStyle w:val="69"/>
                    <w:autoSpaceDE/>
                    <w:autoSpaceDN/>
                    <w:adjustRightInd/>
                    <w:snapToGrid/>
                    <w:spacing w:line="260" w:lineRule="exact"/>
                    <w:rPr>
                      <w:rFonts w:ascii="Times New Roman" w:hAnsi="Times New Roman"/>
                    </w:rPr>
                  </w:pPr>
                </w:p>
              </w:tc>
            </w:tr>
            <w:tr w14:paraId="21D66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2A39CBC4">
                  <w:pPr>
                    <w:pStyle w:val="69"/>
                    <w:autoSpaceDE/>
                    <w:autoSpaceDN/>
                    <w:adjustRightInd/>
                    <w:snapToGrid/>
                    <w:spacing w:line="260" w:lineRule="exact"/>
                    <w:rPr>
                      <w:rFonts w:ascii="Times New Roman" w:hAnsi="Times New Roman"/>
                    </w:rPr>
                  </w:pPr>
                  <w:r>
                    <w:rPr>
                      <w:rFonts w:ascii="Times New Roman" w:hAnsi="Times New Roman"/>
                    </w:rPr>
                    <w:t>机加工序</w:t>
                  </w:r>
                </w:p>
              </w:tc>
              <w:tc>
                <w:tcPr>
                  <w:tcW w:w="745" w:type="pct"/>
                  <w:vAlign w:val="center"/>
                </w:tcPr>
                <w:p w14:paraId="3351EF4C">
                  <w:pPr>
                    <w:pStyle w:val="69"/>
                    <w:autoSpaceDE/>
                    <w:autoSpaceDN/>
                    <w:adjustRightInd/>
                    <w:snapToGrid/>
                    <w:spacing w:line="260" w:lineRule="exact"/>
                    <w:rPr>
                      <w:rFonts w:ascii="Times New Roman" w:hAnsi="Times New Roman"/>
                    </w:rPr>
                  </w:pPr>
                  <w:r>
                    <w:rPr>
                      <w:rFonts w:ascii="Times New Roman" w:hAnsi="Times New Roman"/>
                    </w:rPr>
                    <w:t>废铝屑</w:t>
                  </w:r>
                </w:p>
              </w:tc>
              <w:tc>
                <w:tcPr>
                  <w:tcW w:w="861" w:type="pct"/>
                  <w:vAlign w:val="center"/>
                </w:tcPr>
                <w:p w14:paraId="67DA832F">
                  <w:pPr>
                    <w:pStyle w:val="69"/>
                    <w:autoSpaceDE/>
                    <w:autoSpaceDN/>
                    <w:adjustRightInd/>
                    <w:snapToGrid/>
                    <w:spacing w:line="260" w:lineRule="exact"/>
                    <w:rPr>
                      <w:rFonts w:ascii="Times New Roman" w:hAnsi="Times New Roman"/>
                    </w:rPr>
                  </w:pPr>
                  <w:r>
                    <w:rPr>
                      <w:rFonts w:ascii="Times New Roman" w:hAnsi="Times New Roman"/>
                    </w:rPr>
                    <w:t>危险废物HW09，900-006-09</w:t>
                  </w:r>
                </w:p>
              </w:tc>
              <w:tc>
                <w:tcPr>
                  <w:tcW w:w="459" w:type="pct"/>
                  <w:vAlign w:val="center"/>
                </w:tcPr>
                <w:p w14:paraId="1E7C484C">
                  <w:pPr>
                    <w:pStyle w:val="69"/>
                    <w:autoSpaceDE/>
                    <w:autoSpaceDN/>
                    <w:adjustRightInd/>
                    <w:snapToGrid/>
                    <w:spacing w:line="260" w:lineRule="exact"/>
                    <w:rPr>
                      <w:rFonts w:ascii="Times New Roman" w:hAnsi="Times New Roman"/>
                    </w:rPr>
                  </w:pPr>
                  <w:r>
                    <w:rPr>
                      <w:rFonts w:ascii="Times New Roman" w:hAnsi="Times New Roman"/>
                    </w:rPr>
                    <w:t>150.4</w:t>
                  </w:r>
                </w:p>
              </w:tc>
              <w:tc>
                <w:tcPr>
                  <w:tcW w:w="516" w:type="pct"/>
                  <w:vMerge w:val="continue"/>
                  <w:vAlign w:val="center"/>
                </w:tcPr>
                <w:p w14:paraId="5B094C69">
                  <w:pPr>
                    <w:pStyle w:val="69"/>
                    <w:autoSpaceDE/>
                    <w:autoSpaceDN/>
                    <w:adjustRightInd/>
                    <w:snapToGrid/>
                    <w:spacing w:line="260" w:lineRule="exact"/>
                    <w:rPr>
                      <w:rFonts w:ascii="Times New Roman" w:hAnsi="Times New Roman"/>
                    </w:rPr>
                  </w:pPr>
                </w:p>
              </w:tc>
              <w:tc>
                <w:tcPr>
                  <w:tcW w:w="410" w:type="pct"/>
                  <w:vAlign w:val="center"/>
                </w:tcPr>
                <w:p w14:paraId="5979BCA1">
                  <w:pPr>
                    <w:pStyle w:val="69"/>
                    <w:autoSpaceDE/>
                    <w:autoSpaceDN/>
                    <w:adjustRightInd/>
                    <w:snapToGrid/>
                    <w:spacing w:line="260" w:lineRule="exact"/>
                    <w:rPr>
                      <w:rFonts w:ascii="Times New Roman" w:hAnsi="Times New Roman"/>
                    </w:rPr>
                  </w:pPr>
                  <w:r>
                    <w:rPr>
                      <w:rFonts w:ascii="Times New Roman" w:hAnsi="Times New Roman"/>
                    </w:rPr>
                    <w:t>150.4</w:t>
                  </w:r>
                </w:p>
              </w:tc>
              <w:tc>
                <w:tcPr>
                  <w:tcW w:w="741" w:type="pct"/>
                  <w:vMerge w:val="continue"/>
                  <w:vAlign w:val="center"/>
                </w:tcPr>
                <w:p w14:paraId="1E1E5339">
                  <w:pPr>
                    <w:pStyle w:val="69"/>
                    <w:autoSpaceDE/>
                    <w:autoSpaceDN/>
                    <w:adjustRightInd/>
                    <w:snapToGrid/>
                    <w:spacing w:line="260" w:lineRule="exact"/>
                    <w:rPr>
                      <w:rFonts w:ascii="Times New Roman" w:hAnsi="Times New Roman"/>
                    </w:rPr>
                  </w:pPr>
                </w:p>
              </w:tc>
              <w:tc>
                <w:tcPr>
                  <w:tcW w:w="397" w:type="pct"/>
                  <w:vMerge w:val="continue"/>
                  <w:vAlign w:val="center"/>
                </w:tcPr>
                <w:p w14:paraId="2D4FD176">
                  <w:pPr>
                    <w:pStyle w:val="69"/>
                    <w:autoSpaceDE/>
                    <w:autoSpaceDN/>
                    <w:adjustRightInd/>
                    <w:snapToGrid/>
                    <w:spacing w:line="260" w:lineRule="exact"/>
                    <w:rPr>
                      <w:rFonts w:ascii="Times New Roman" w:hAnsi="Times New Roman"/>
                    </w:rPr>
                  </w:pPr>
                </w:p>
              </w:tc>
            </w:tr>
            <w:tr w14:paraId="4D3DE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3582637C">
                  <w:pPr>
                    <w:pStyle w:val="69"/>
                    <w:autoSpaceDE/>
                    <w:autoSpaceDN/>
                    <w:adjustRightInd/>
                    <w:snapToGrid/>
                    <w:spacing w:line="260" w:lineRule="exact"/>
                    <w:rPr>
                      <w:rFonts w:ascii="Times New Roman" w:hAnsi="Times New Roman"/>
                    </w:rPr>
                  </w:pPr>
                  <w:r>
                    <w:rPr>
                      <w:rFonts w:ascii="Times New Roman" w:hAnsi="Times New Roman"/>
                    </w:rPr>
                    <w:t>废水治理</w:t>
                  </w:r>
                </w:p>
              </w:tc>
              <w:tc>
                <w:tcPr>
                  <w:tcW w:w="745" w:type="pct"/>
                  <w:vAlign w:val="center"/>
                </w:tcPr>
                <w:p w14:paraId="4B52342E">
                  <w:pPr>
                    <w:pStyle w:val="69"/>
                    <w:autoSpaceDE/>
                    <w:autoSpaceDN/>
                    <w:adjustRightInd/>
                    <w:snapToGrid/>
                    <w:spacing w:line="260" w:lineRule="exact"/>
                    <w:rPr>
                      <w:rFonts w:ascii="Times New Roman" w:hAnsi="Times New Roman"/>
                    </w:rPr>
                  </w:pPr>
                  <w:r>
                    <w:rPr>
                      <w:rFonts w:ascii="Times New Roman" w:hAnsi="Times New Roman"/>
                    </w:rPr>
                    <w:t>生产废水预处理废油和污泥</w:t>
                  </w:r>
                </w:p>
              </w:tc>
              <w:tc>
                <w:tcPr>
                  <w:tcW w:w="861" w:type="pct"/>
                  <w:vAlign w:val="center"/>
                </w:tcPr>
                <w:p w14:paraId="21250B97">
                  <w:pPr>
                    <w:pStyle w:val="69"/>
                    <w:autoSpaceDE/>
                    <w:autoSpaceDN/>
                    <w:adjustRightInd/>
                    <w:snapToGrid/>
                    <w:spacing w:line="260" w:lineRule="exact"/>
                    <w:rPr>
                      <w:rFonts w:ascii="Times New Roman" w:hAnsi="Times New Roman"/>
                    </w:rPr>
                  </w:pPr>
                  <w:r>
                    <w:rPr>
                      <w:rFonts w:ascii="Times New Roman" w:hAnsi="Times New Roman"/>
                    </w:rPr>
                    <w:t>危险废物HW08，900-210-08</w:t>
                  </w:r>
                </w:p>
              </w:tc>
              <w:tc>
                <w:tcPr>
                  <w:tcW w:w="459" w:type="pct"/>
                  <w:vAlign w:val="center"/>
                </w:tcPr>
                <w:p w14:paraId="4224C5AA">
                  <w:pPr>
                    <w:pStyle w:val="69"/>
                    <w:autoSpaceDE/>
                    <w:autoSpaceDN/>
                    <w:adjustRightInd/>
                    <w:snapToGrid/>
                    <w:spacing w:line="260" w:lineRule="exact"/>
                    <w:rPr>
                      <w:rFonts w:ascii="Times New Roman" w:hAnsi="Times New Roman"/>
                    </w:rPr>
                  </w:pPr>
                  <w:r>
                    <w:rPr>
                      <w:rFonts w:ascii="Times New Roman" w:hAnsi="Times New Roman"/>
                    </w:rPr>
                    <w:t>2.23</w:t>
                  </w:r>
                </w:p>
              </w:tc>
              <w:tc>
                <w:tcPr>
                  <w:tcW w:w="516" w:type="pct"/>
                  <w:vMerge w:val="continue"/>
                  <w:vAlign w:val="center"/>
                </w:tcPr>
                <w:p w14:paraId="6E5287CC">
                  <w:pPr>
                    <w:pStyle w:val="69"/>
                    <w:autoSpaceDE/>
                    <w:autoSpaceDN/>
                    <w:adjustRightInd/>
                    <w:snapToGrid/>
                    <w:spacing w:line="260" w:lineRule="exact"/>
                    <w:rPr>
                      <w:rFonts w:ascii="Times New Roman" w:hAnsi="Times New Roman"/>
                    </w:rPr>
                  </w:pPr>
                </w:p>
              </w:tc>
              <w:tc>
                <w:tcPr>
                  <w:tcW w:w="410" w:type="pct"/>
                  <w:vAlign w:val="center"/>
                </w:tcPr>
                <w:p w14:paraId="3B7C4157">
                  <w:pPr>
                    <w:pStyle w:val="69"/>
                    <w:autoSpaceDE/>
                    <w:autoSpaceDN/>
                    <w:adjustRightInd/>
                    <w:snapToGrid/>
                    <w:spacing w:line="260" w:lineRule="exact"/>
                    <w:rPr>
                      <w:rFonts w:ascii="Times New Roman" w:hAnsi="Times New Roman"/>
                    </w:rPr>
                  </w:pPr>
                  <w:r>
                    <w:rPr>
                      <w:rFonts w:ascii="Times New Roman" w:hAnsi="Times New Roman"/>
                    </w:rPr>
                    <w:t>2.23</w:t>
                  </w:r>
                </w:p>
              </w:tc>
              <w:tc>
                <w:tcPr>
                  <w:tcW w:w="741" w:type="pct"/>
                  <w:vMerge w:val="continue"/>
                  <w:vAlign w:val="center"/>
                </w:tcPr>
                <w:p w14:paraId="51165012">
                  <w:pPr>
                    <w:pStyle w:val="69"/>
                    <w:autoSpaceDE/>
                    <w:autoSpaceDN/>
                    <w:adjustRightInd/>
                    <w:snapToGrid/>
                    <w:spacing w:line="260" w:lineRule="exact"/>
                    <w:rPr>
                      <w:rFonts w:ascii="Times New Roman" w:hAnsi="Times New Roman"/>
                    </w:rPr>
                  </w:pPr>
                </w:p>
              </w:tc>
              <w:tc>
                <w:tcPr>
                  <w:tcW w:w="397" w:type="pct"/>
                  <w:vMerge w:val="continue"/>
                  <w:vAlign w:val="center"/>
                </w:tcPr>
                <w:p w14:paraId="679259B4">
                  <w:pPr>
                    <w:pStyle w:val="69"/>
                    <w:autoSpaceDE/>
                    <w:autoSpaceDN/>
                    <w:adjustRightInd/>
                    <w:snapToGrid/>
                    <w:spacing w:line="260" w:lineRule="exact"/>
                    <w:rPr>
                      <w:rFonts w:ascii="Times New Roman" w:hAnsi="Times New Roman"/>
                    </w:rPr>
                  </w:pPr>
                </w:p>
              </w:tc>
            </w:tr>
            <w:tr w14:paraId="56B88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2E147D14">
                  <w:pPr>
                    <w:pStyle w:val="69"/>
                    <w:autoSpaceDE/>
                    <w:autoSpaceDN/>
                    <w:adjustRightInd/>
                    <w:snapToGrid/>
                    <w:spacing w:line="260" w:lineRule="exact"/>
                    <w:rPr>
                      <w:rFonts w:ascii="Times New Roman" w:hAnsi="Times New Roman"/>
                    </w:rPr>
                  </w:pPr>
                  <w:r>
                    <w:rPr>
                      <w:rFonts w:ascii="Times New Roman" w:hAnsi="Times New Roman"/>
                    </w:rPr>
                    <w:t>废气治理</w:t>
                  </w:r>
                </w:p>
              </w:tc>
              <w:tc>
                <w:tcPr>
                  <w:tcW w:w="745" w:type="pct"/>
                  <w:vAlign w:val="center"/>
                </w:tcPr>
                <w:p w14:paraId="56FF4FC5">
                  <w:pPr>
                    <w:pStyle w:val="69"/>
                    <w:autoSpaceDE/>
                    <w:autoSpaceDN/>
                    <w:adjustRightInd/>
                    <w:snapToGrid/>
                    <w:spacing w:line="260" w:lineRule="exact"/>
                    <w:rPr>
                      <w:rFonts w:ascii="Times New Roman" w:hAnsi="Times New Roman"/>
                    </w:rPr>
                  </w:pPr>
                  <w:r>
                    <w:rPr>
                      <w:rFonts w:ascii="Times New Roman" w:hAnsi="Times New Roman"/>
                    </w:rPr>
                    <w:t>废活性炭</w:t>
                  </w:r>
                </w:p>
              </w:tc>
              <w:tc>
                <w:tcPr>
                  <w:tcW w:w="861" w:type="pct"/>
                  <w:vAlign w:val="center"/>
                </w:tcPr>
                <w:p w14:paraId="098E1A8D">
                  <w:pPr>
                    <w:pStyle w:val="69"/>
                    <w:autoSpaceDE/>
                    <w:autoSpaceDN/>
                    <w:adjustRightInd/>
                    <w:snapToGrid/>
                    <w:spacing w:line="260" w:lineRule="exact"/>
                    <w:rPr>
                      <w:rFonts w:ascii="Times New Roman" w:hAnsi="Times New Roman"/>
                    </w:rPr>
                  </w:pPr>
                  <w:r>
                    <w:rPr>
                      <w:rFonts w:ascii="Times New Roman" w:hAnsi="Times New Roman"/>
                    </w:rPr>
                    <w:t>危险废物HW49，900-039-49</w:t>
                  </w:r>
                </w:p>
              </w:tc>
              <w:tc>
                <w:tcPr>
                  <w:tcW w:w="459" w:type="pct"/>
                  <w:vAlign w:val="center"/>
                </w:tcPr>
                <w:p w14:paraId="30E04F12">
                  <w:pPr>
                    <w:pStyle w:val="69"/>
                    <w:autoSpaceDE/>
                    <w:autoSpaceDN/>
                    <w:adjustRightInd/>
                    <w:snapToGrid/>
                    <w:spacing w:line="260" w:lineRule="exact"/>
                    <w:rPr>
                      <w:rFonts w:ascii="Times New Roman" w:hAnsi="Times New Roman"/>
                    </w:rPr>
                  </w:pPr>
                  <w:r>
                    <w:rPr>
                      <w:rFonts w:ascii="Times New Roman" w:hAnsi="Times New Roman"/>
                    </w:rPr>
                    <w:t>1.86</w:t>
                  </w:r>
                </w:p>
              </w:tc>
              <w:tc>
                <w:tcPr>
                  <w:tcW w:w="516" w:type="pct"/>
                  <w:vMerge w:val="continue"/>
                  <w:vAlign w:val="center"/>
                </w:tcPr>
                <w:p w14:paraId="1C906DE7">
                  <w:pPr>
                    <w:pStyle w:val="69"/>
                    <w:autoSpaceDE/>
                    <w:autoSpaceDN/>
                    <w:adjustRightInd/>
                    <w:snapToGrid/>
                    <w:spacing w:line="260" w:lineRule="exact"/>
                    <w:rPr>
                      <w:rFonts w:ascii="Times New Roman" w:hAnsi="Times New Roman"/>
                    </w:rPr>
                  </w:pPr>
                </w:p>
              </w:tc>
              <w:tc>
                <w:tcPr>
                  <w:tcW w:w="410" w:type="pct"/>
                  <w:vAlign w:val="center"/>
                </w:tcPr>
                <w:p w14:paraId="37E98A8B">
                  <w:pPr>
                    <w:pStyle w:val="69"/>
                    <w:autoSpaceDE/>
                    <w:autoSpaceDN/>
                    <w:adjustRightInd/>
                    <w:snapToGrid/>
                    <w:spacing w:line="260" w:lineRule="exact"/>
                    <w:rPr>
                      <w:rFonts w:ascii="Times New Roman" w:hAnsi="Times New Roman"/>
                    </w:rPr>
                  </w:pPr>
                  <w:r>
                    <w:rPr>
                      <w:rFonts w:ascii="Times New Roman" w:hAnsi="Times New Roman"/>
                    </w:rPr>
                    <w:t>1.86</w:t>
                  </w:r>
                </w:p>
              </w:tc>
              <w:tc>
                <w:tcPr>
                  <w:tcW w:w="741" w:type="pct"/>
                  <w:vMerge w:val="continue"/>
                  <w:vAlign w:val="center"/>
                </w:tcPr>
                <w:p w14:paraId="687C3A59">
                  <w:pPr>
                    <w:pStyle w:val="69"/>
                    <w:autoSpaceDE/>
                    <w:autoSpaceDN/>
                    <w:adjustRightInd/>
                    <w:snapToGrid/>
                    <w:spacing w:line="260" w:lineRule="exact"/>
                    <w:rPr>
                      <w:rFonts w:ascii="Times New Roman" w:hAnsi="Times New Roman"/>
                    </w:rPr>
                  </w:pPr>
                </w:p>
              </w:tc>
              <w:tc>
                <w:tcPr>
                  <w:tcW w:w="397" w:type="pct"/>
                  <w:vMerge w:val="continue"/>
                  <w:vAlign w:val="center"/>
                </w:tcPr>
                <w:p w14:paraId="670E4EF7">
                  <w:pPr>
                    <w:pStyle w:val="69"/>
                    <w:autoSpaceDE/>
                    <w:autoSpaceDN/>
                    <w:adjustRightInd/>
                    <w:snapToGrid/>
                    <w:spacing w:line="260" w:lineRule="exact"/>
                    <w:rPr>
                      <w:rFonts w:ascii="Times New Roman" w:hAnsi="Times New Roman"/>
                    </w:rPr>
                  </w:pPr>
                </w:p>
              </w:tc>
            </w:tr>
            <w:tr w14:paraId="45F42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6B0E6A48">
                  <w:pPr>
                    <w:pStyle w:val="69"/>
                    <w:autoSpaceDE/>
                    <w:autoSpaceDN/>
                    <w:adjustRightInd/>
                    <w:snapToGrid/>
                    <w:spacing w:line="260" w:lineRule="exact"/>
                    <w:rPr>
                      <w:rFonts w:ascii="Times New Roman" w:hAnsi="Times New Roman"/>
                    </w:rPr>
                  </w:pPr>
                  <w:r>
                    <w:rPr>
                      <w:rFonts w:ascii="Times New Roman" w:hAnsi="Times New Roman"/>
                    </w:rPr>
                    <w:t>废气治理</w:t>
                  </w:r>
                </w:p>
              </w:tc>
              <w:tc>
                <w:tcPr>
                  <w:tcW w:w="745" w:type="pct"/>
                  <w:vAlign w:val="center"/>
                </w:tcPr>
                <w:p w14:paraId="433BA6BD">
                  <w:pPr>
                    <w:pStyle w:val="69"/>
                    <w:autoSpaceDE/>
                    <w:autoSpaceDN/>
                    <w:adjustRightInd/>
                    <w:snapToGrid/>
                    <w:spacing w:line="260" w:lineRule="exact"/>
                    <w:rPr>
                      <w:rFonts w:ascii="Times New Roman" w:hAnsi="Times New Roman"/>
                    </w:rPr>
                  </w:pPr>
                  <w:r>
                    <w:rPr>
                      <w:rFonts w:ascii="Times New Roman" w:hAnsi="Times New Roman"/>
                    </w:rPr>
                    <w:t>废紫外灯管</w:t>
                  </w:r>
                </w:p>
              </w:tc>
              <w:tc>
                <w:tcPr>
                  <w:tcW w:w="861" w:type="pct"/>
                  <w:vAlign w:val="center"/>
                </w:tcPr>
                <w:p w14:paraId="4643D745">
                  <w:pPr>
                    <w:pStyle w:val="69"/>
                    <w:autoSpaceDE/>
                    <w:autoSpaceDN/>
                    <w:adjustRightInd/>
                    <w:snapToGrid/>
                    <w:spacing w:line="260" w:lineRule="exact"/>
                    <w:rPr>
                      <w:rFonts w:ascii="Times New Roman" w:hAnsi="Times New Roman"/>
                    </w:rPr>
                  </w:pPr>
                  <w:r>
                    <w:rPr>
                      <w:rFonts w:ascii="Times New Roman" w:hAnsi="Times New Roman"/>
                    </w:rPr>
                    <w:t>危险废物HW29，900-023-29</w:t>
                  </w:r>
                </w:p>
              </w:tc>
              <w:tc>
                <w:tcPr>
                  <w:tcW w:w="459" w:type="pct"/>
                  <w:vAlign w:val="center"/>
                </w:tcPr>
                <w:p w14:paraId="78E7EE39">
                  <w:pPr>
                    <w:pStyle w:val="69"/>
                    <w:autoSpaceDE/>
                    <w:autoSpaceDN/>
                    <w:adjustRightInd/>
                    <w:snapToGrid/>
                    <w:spacing w:line="260" w:lineRule="exact"/>
                    <w:rPr>
                      <w:rFonts w:ascii="Times New Roman" w:hAnsi="Times New Roman"/>
                    </w:rPr>
                  </w:pPr>
                  <w:r>
                    <w:rPr>
                      <w:rFonts w:ascii="Times New Roman" w:hAnsi="Times New Roman"/>
                    </w:rPr>
                    <w:t>0.02</w:t>
                  </w:r>
                </w:p>
              </w:tc>
              <w:tc>
                <w:tcPr>
                  <w:tcW w:w="516" w:type="pct"/>
                  <w:vMerge w:val="continue"/>
                  <w:vAlign w:val="center"/>
                </w:tcPr>
                <w:p w14:paraId="56E8EDF9">
                  <w:pPr>
                    <w:pStyle w:val="69"/>
                    <w:autoSpaceDE/>
                    <w:autoSpaceDN/>
                    <w:adjustRightInd/>
                    <w:snapToGrid/>
                    <w:spacing w:line="260" w:lineRule="exact"/>
                    <w:rPr>
                      <w:rFonts w:ascii="Times New Roman" w:hAnsi="Times New Roman"/>
                    </w:rPr>
                  </w:pPr>
                </w:p>
              </w:tc>
              <w:tc>
                <w:tcPr>
                  <w:tcW w:w="410" w:type="pct"/>
                  <w:vAlign w:val="center"/>
                </w:tcPr>
                <w:p w14:paraId="089B761C">
                  <w:pPr>
                    <w:pStyle w:val="69"/>
                    <w:autoSpaceDE/>
                    <w:autoSpaceDN/>
                    <w:adjustRightInd/>
                    <w:snapToGrid/>
                    <w:spacing w:line="260" w:lineRule="exact"/>
                    <w:rPr>
                      <w:rFonts w:ascii="Times New Roman" w:hAnsi="Times New Roman"/>
                    </w:rPr>
                  </w:pPr>
                  <w:r>
                    <w:rPr>
                      <w:rFonts w:ascii="Times New Roman" w:hAnsi="Times New Roman"/>
                    </w:rPr>
                    <w:t>0.02</w:t>
                  </w:r>
                </w:p>
              </w:tc>
              <w:tc>
                <w:tcPr>
                  <w:tcW w:w="741" w:type="pct"/>
                  <w:vMerge w:val="continue"/>
                  <w:vAlign w:val="center"/>
                </w:tcPr>
                <w:p w14:paraId="411CB740">
                  <w:pPr>
                    <w:pStyle w:val="69"/>
                    <w:autoSpaceDE/>
                    <w:autoSpaceDN/>
                    <w:adjustRightInd/>
                    <w:snapToGrid/>
                    <w:spacing w:line="260" w:lineRule="exact"/>
                    <w:rPr>
                      <w:rFonts w:ascii="Times New Roman" w:hAnsi="Times New Roman"/>
                    </w:rPr>
                  </w:pPr>
                </w:p>
              </w:tc>
              <w:tc>
                <w:tcPr>
                  <w:tcW w:w="397" w:type="pct"/>
                  <w:vMerge w:val="continue"/>
                  <w:vAlign w:val="center"/>
                </w:tcPr>
                <w:p w14:paraId="49FE9559">
                  <w:pPr>
                    <w:pStyle w:val="69"/>
                    <w:autoSpaceDE/>
                    <w:autoSpaceDN/>
                    <w:adjustRightInd/>
                    <w:snapToGrid/>
                    <w:spacing w:line="260" w:lineRule="exact"/>
                    <w:rPr>
                      <w:rFonts w:ascii="Times New Roman" w:hAnsi="Times New Roman"/>
                    </w:rPr>
                  </w:pPr>
                </w:p>
              </w:tc>
            </w:tr>
            <w:tr w14:paraId="7975A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599B70AF">
                  <w:pPr>
                    <w:pStyle w:val="69"/>
                    <w:autoSpaceDE/>
                    <w:autoSpaceDN/>
                    <w:adjustRightInd/>
                    <w:snapToGrid/>
                    <w:spacing w:line="260" w:lineRule="exact"/>
                    <w:rPr>
                      <w:rFonts w:ascii="Times New Roman" w:hAnsi="Times New Roman"/>
                    </w:rPr>
                  </w:pPr>
                  <w:r>
                    <w:rPr>
                      <w:rFonts w:ascii="Times New Roman" w:hAnsi="Times New Roman"/>
                    </w:rPr>
                    <w:t>职工劳保</w:t>
                  </w:r>
                </w:p>
              </w:tc>
              <w:tc>
                <w:tcPr>
                  <w:tcW w:w="745" w:type="pct"/>
                  <w:vAlign w:val="center"/>
                </w:tcPr>
                <w:p w14:paraId="023469F9">
                  <w:pPr>
                    <w:pStyle w:val="69"/>
                    <w:autoSpaceDE/>
                    <w:autoSpaceDN/>
                    <w:adjustRightInd/>
                    <w:snapToGrid/>
                    <w:spacing w:line="260" w:lineRule="exact"/>
                    <w:rPr>
                      <w:rFonts w:ascii="Times New Roman" w:hAnsi="Times New Roman"/>
                    </w:rPr>
                  </w:pPr>
                  <w:r>
                    <w:rPr>
                      <w:rFonts w:ascii="Times New Roman" w:hAnsi="Times New Roman"/>
                    </w:rPr>
                    <w:t>含油废棉纱及手套</w:t>
                  </w:r>
                </w:p>
              </w:tc>
              <w:tc>
                <w:tcPr>
                  <w:tcW w:w="861" w:type="pct"/>
                  <w:vAlign w:val="center"/>
                </w:tcPr>
                <w:p w14:paraId="415852A0">
                  <w:pPr>
                    <w:pStyle w:val="69"/>
                    <w:autoSpaceDE/>
                    <w:autoSpaceDN/>
                    <w:adjustRightInd/>
                    <w:snapToGrid/>
                    <w:spacing w:line="260" w:lineRule="exact"/>
                    <w:rPr>
                      <w:rFonts w:ascii="Times New Roman" w:hAnsi="Times New Roman"/>
                    </w:rPr>
                  </w:pPr>
                  <w:r>
                    <w:rPr>
                      <w:rFonts w:ascii="Times New Roman" w:hAnsi="Times New Roman"/>
                    </w:rPr>
                    <w:t>危险废物HW49，900-041-49</w:t>
                  </w:r>
                </w:p>
              </w:tc>
              <w:tc>
                <w:tcPr>
                  <w:tcW w:w="459" w:type="pct"/>
                  <w:vAlign w:val="center"/>
                </w:tcPr>
                <w:p w14:paraId="62B819B6">
                  <w:pPr>
                    <w:pStyle w:val="69"/>
                    <w:autoSpaceDE/>
                    <w:autoSpaceDN/>
                    <w:adjustRightInd/>
                    <w:snapToGrid/>
                    <w:spacing w:line="260" w:lineRule="exact"/>
                    <w:rPr>
                      <w:rFonts w:ascii="Times New Roman" w:hAnsi="Times New Roman"/>
                    </w:rPr>
                  </w:pPr>
                  <w:r>
                    <w:rPr>
                      <w:rFonts w:ascii="Times New Roman" w:hAnsi="Times New Roman"/>
                    </w:rPr>
                    <w:t>5</w:t>
                  </w:r>
                </w:p>
              </w:tc>
              <w:tc>
                <w:tcPr>
                  <w:tcW w:w="516" w:type="pct"/>
                  <w:vMerge w:val="continue"/>
                  <w:vAlign w:val="center"/>
                </w:tcPr>
                <w:p w14:paraId="1FBBD4FE">
                  <w:pPr>
                    <w:pStyle w:val="69"/>
                    <w:autoSpaceDE/>
                    <w:autoSpaceDN/>
                    <w:adjustRightInd/>
                    <w:snapToGrid/>
                    <w:spacing w:line="260" w:lineRule="exact"/>
                    <w:rPr>
                      <w:rFonts w:ascii="Times New Roman" w:hAnsi="Times New Roman"/>
                    </w:rPr>
                  </w:pPr>
                </w:p>
              </w:tc>
              <w:tc>
                <w:tcPr>
                  <w:tcW w:w="410" w:type="pct"/>
                  <w:vAlign w:val="center"/>
                </w:tcPr>
                <w:p w14:paraId="267E52ED">
                  <w:pPr>
                    <w:pStyle w:val="69"/>
                    <w:autoSpaceDE/>
                    <w:autoSpaceDN/>
                    <w:adjustRightInd/>
                    <w:snapToGrid/>
                    <w:spacing w:line="260" w:lineRule="exact"/>
                    <w:rPr>
                      <w:rFonts w:ascii="Times New Roman" w:hAnsi="Times New Roman"/>
                    </w:rPr>
                  </w:pPr>
                  <w:r>
                    <w:rPr>
                      <w:rFonts w:ascii="Times New Roman" w:hAnsi="Times New Roman"/>
                    </w:rPr>
                    <w:t>5</w:t>
                  </w:r>
                </w:p>
              </w:tc>
              <w:tc>
                <w:tcPr>
                  <w:tcW w:w="741" w:type="pct"/>
                  <w:vMerge w:val="continue"/>
                  <w:vAlign w:val="center"/>
                </w:tcPr>
                <w:p w14:paraId="2A2CB5BB">
                  <w:pPr>
                    <w:pStyle w:val="69"/>
                    <w:autoSpaceDE/>
                    <w:autoSpaceDN/>
                    <w:adjustRightInd/>
                    <w:snapToGrid/>
                    <w:spacing w:line="260" w:lineRule="exact"/>
                    <w:rPr>
                      <w:rFonts w:ascii="Times New Roman" w:hAnsi="Times New Roman"/>
                    </w:rPr>
                  </w:pPr>
                </w:p>
              </w:tc>
              <w:tc>
                <w:tcPr>
                  <w:tcW w:w="397" w:type="pct"/>
                  <w:vMerge w:val="continue"/>
                  <w:vAlign w:val="center"/>
                </w:tcPr>
                <w:p w14:paraId="7FBEAC60">
                  <w:pPr>
                    <w:pStyle w:val="69"/>
                    <w:autoSpaceDE/>
                    <w:autoSpaceDN/>
                    <w:adjustRightInd/>
                    <w:snapToGrid/>
                    <w:spacing w:line="260" w:lineRule="exact"/>
                    <w:rPr>
                      <w:rFonts w:ascii="Times New Roman" w:hAnsi="Times New Roman"/>
                    </w:rPr>
                  </w:pPr>
                </w:p>
              </w:tc>
            </w:tr>
            <w:tr w14:paraId="2DB15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7D756556">
                  <w:pPr>
                    <w:pStyle w:val="69"/>
                    <w:autoSpaceDE/>
                    <w:adjustRightInd/>
                    <w:snapToGrid/>
                    <w:spacing w:before="24" w:line="260" w:lineRule="exact"/>
                    <w:rPr>
                      <w:rFonts w:ascii="Times New Roman" w:hAnsi="Times New Roman"/>
                    </w:rPr>
                  </w:pPr>
                  <w:r>
                    <w:rPr>
                      <w:rFonts w:ascii="Times New Roman" w:hAnsi="Times New Roman"/>
                    </w:rPr>
                    <w:t>生活</w:t>
                  </w:r>
                </w:p>
              </w:tc>
              <w:tc>
                <w:tcPr>
                  <w:tcW w:w="745" w:type="pct"/>
                  <w:vAlign w:val="center"/>
                </w:tcPr>
                <w:p w14:paraId="044AF092">
                  <w:pPr>
                    <w:pStyle w:val="69"/>
                    <w:autoSpaceDE/>
                    <w:adjustRightInd/>
                    <w:snapToGrid/>
                    <w:spacing w:before="24" w:line="260" w:lineRule="exact"/>
                    <w:rPr>
                      <w:rFonts w:ascii="Times New Roman" w:hAnsi="Times New Roman"/>
                    </w:rPr>
                  </w:pPr>
                  <w:r>
                    <w:rPr>
                      <w:rFonts w:ascii="Times New Roman" w:hAnsi="Times New Roman"/>
                    </w:rPr>
                    <w:t>生活垃圾</w:t>
                  </w:r>
                </w:p>
              </w:tc>
              <w:tc>
                <w:tcPr>
                  <w:tcW w:w="861" w:type="pct"/>
                  <w:vAlign w:val="center"/>
                </w:tcPr>
                <w:p w14:paraId="00E67A3B">
                  <w:pPr>
                    <w:pStyle w:val="69"/>
                    <w:autoSpaceDE/>
                    <w:autoSpaceDN/>
                    <w:adjustRightInd/>
                    <w:snapToGrid/>
                    <w:spacing w:line="260" w:lineRule="exact"/>
                    <w:rPr>
                      <w:rFonts w:ascii="Times New Roman" w:hAnsi="Times New Roman"/>
                    </w:rPr>
                  </w:pPr>
                  <w:r>
                    <w:rPr>
                      <w:rFonts w:ascii="Times New Roman" w:hAnsi="Times New Roman"/>
                    </w:rPr>
                    <w:t>/</w:t>
                  </w:r>
                </w:p>
              </w:tc>
              <w:tc>
                <w:tcPr>
                  <w:tcW w:w="459" w:type="pct"/>
                  <w:vAlign w:val="center"/>
                </w:tcPr>
                <w:p w14:paraId="178053AF">
                  <w:pPr>
                    <w:pStyle w:val="69"/>
                    <w:autoSpaceDE/>
                    <w:autoSpaceDN/>
                    <w:adjustRightInd/>
                    <w:snapToGrid/>
                    <w:spacing w:line="260" w:lineRule="exact"/>
                    <w:rPr>
                      <w:rFonts w:ascii="Times New Roman" w:hAnsi="Times New Roman"/>
                    </w:rPr>
                  </w:pPr>
                  <w:r>
                    <w:rPr>
                      <w:rFonts w:ascii="Times New Roman" w:hAnsi="Times New Roman"/>
                    </w:rPr>
                    <w:t>58.2</w:t>
                  </w:r>
                </w:p>
              </w:tc>
              <w:tc>
                <w:tcPr>
                  <w:tcW w:w="516" w:type="pct"/>
                  <w:vAlign w:val="center"/>
                </w:tcPr>
                <w:p w14:paraId="53D19FA1">
                  <w:pPr>
                    <w:pStyle w:val="69"/>
                    <w:autoSpaceDE/>
                    <w:adjustRightInd/>
                    <w:snapToGrid/>
                    <w:spacing w:before="24" w:line="260" w:lineRule="exact"/>
                    <w:rPr>
                      <w:rFonts w:ascii="Times New Roman" w:hAnsi="Times New Roman"/>
                    </w:rPr>
                  </w:pPr>
                  <w:r>
                    <w:rPr>
                      <w:rFonts w:ascii="Times New Roman" w:hAnsi="Times New Roman"/>
                      <w:snapToGrid w:val="0"/>
                    </w:rPr>
                    <w:t>交由环卫部门处理</w:t>
                  </w:r>
                </w:p>
              </w:tc>
              <w:tc>
                <w:tcPr>
                  <w:tcW w:w="410" w:type="pct"/>
                  <w:vAlign w:val="center"/>
                </w:tcPr>
                <w:p w14:paraId="65C28CC1">
                  <w:pPr>
                    <w:pStyle w:val="69"/>
                    <w:autoSpaceDE/>
                    <w:autoSpaceDN/>
                    <w:adjustRightInd/>
                    <w:snapToGrid/>
                    <w:spacing w:line="260" w:lineRule="exact"/>
                    <w:rPr>
                      <w:rFonts w:ascii="Times New Roman" w:hAnsi="Times New Roman"/>
                    </w:rPr>
                  </w:pPr>
                  <w:r>
                    <w:rPr>
                      <w:rFonts w:ascii="Times New Roman" w:hAnsi="Times New Roman"/>
                    </w:rPr>
                    <w:t>58.2</w:t>
                  </w:r>
                </w:p>
              </w:tc>
              <w:tc>
                <w:tcPr>
                  <w:tcW w:w="741" w:type="pct"/>
                  <w:vAlign w:val="center"/>
                </w:tcPr>
                <w:p w14:paraId="212C9B83">
                  <w:pPr>
                    <w:pStyle w:val="69"/>
                    <w:autoSpaceDE/>
                    <w:adjustRightInd/>
                    <w:snapToGrid/>
                    <w:spacing w:before="24" w:line="260" w:lineRule="exact"/>
                    <w:rPr>
                      <w:rFonts w:ascii="Times New Roman" w:hAnsi="Times New Roman"/>
                    </w:rPr>
                  </w:pPr>
                  <w:r>
                    <w:rPr>
                      <w:rFonts w:ascii="Times New Roman" w:hAnsi="Times New Roman"/>
                      <w:snapToGrid w:val="0"/>
                    </w:rPr>
                    <w:t>交由环卫部门处理</w:t>
                  </w:r>
                </w:p>
              </w:tc>
              <w:tc>
                <w:tcPr>
                  <w:tcW w:w="397" w:type="pct"/>
                  <w:vAlign w:val="center"/>
                </w:tcPr>
                <w:p w14:paraId="70E21139">
                  <w:pPr>
                    <w:pStyle w:val="69"/>
                    <w:autoSpaceDE/>
                    <w:autoSpaceDN/>
                    <w:adjustRightInd/>
                    <w:snapToGrid/>
                    <w:spacing w:line="260" w:lineRule="exact"/>
                    <w:rPr>
                      <w:rFonts w:ascii="Times New Roman" w:hAnsi="Times New Roman"/>
                    </w:rPr>
                  </w:pPr>
                  <w:r>
                    <w:rPr>
                      <w:rFonts w:ascii="Times New Roman" w:hAnsi="Times New Roman"/>
                    </w:rPr>
                    <w:t>不造成二次污染</w:t>
                  </w:r>
                </w:p>
              </w:tc>
            </w:tr>
            <w:tr w14:paraId="3D080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1" w:type="pct"/>
                  <w:tcBorders>
                    <w:left w:val="single" w:color="auto" w:sz="4" w:space="0"/>
                  </w:tcBorders>
                  <w:vAlign w:val="center"/>
                </w:tcPr>
                <w:p w14:paraId="0A46CE00">
                  <w:pPr>
                    <w:pStyle w:val="69"/>
                    <w:autoSpaceDE/>
                    <w:adjustRightInd/>
                    <w:snapToGrid/>
                    <w:spacing w:before="24" w:line="260" w:lineRule="exact"/>
                    <w:rPr>
                      <w:rFonts w:ascii="Times New Roman" w:hAnsi="Times New Roman"/>
                    </w:rPr>
                  </w:pPr>
                  <w:r>
                    <w:rPr>
                      <w:rFonts w:ascii="Times New Roman" w:hAnsi="Times New Roman"/>
                    </w:rPr>
                    <w:t>食堂</w:t>
                  </w:r>
                </w:p>
              </w:tc>
              <w:tc>
                <w:tcPr>
                  <w:tcW w:w="745" w:type="pct"/>
                  <w:vAlign w:val="center"/>
                </w:tcPr>
                <w:p w14:paraId="035DFB02">
                  <w:pPr>
                    <w:pStyle w:val="69"/>
                    <w:autoSpaceDE/>
                    <w:adjustRightInd/>
                    <w:snapToGrid/>
                    <w:spacing w:before="24" w:line="260" w:lineRule="exact"/>
                    <w:rPr>
                      <w:rFonts w:ascii="Times New Roman" w:hAnsi="Times New Roman"/>
                    </w:rPr>
                  </w:pPr>
                  <w:r>
                    <w:rPr>
                      <w:rFonts w:ascii="Times New Roman" w:hAnsi="Times New Roman"/>
                    </w:rPr>
                    <w:t>餐厨垃圾</w:t>
                  </w:r>
                </w:p>
              </w:tc>
              <w:tc>
                <w:tcPr>
                  <w:tcW w:w="861" w:type="pct"/>
                  <w:vAlign w:val="center"/>
                </w:tcPr>
                <w:p w14:paraId="38AF98C6">
                  <w:pPr>
                    <w:pStyle w:val="69"/>
                    <w:autoSpaceDE/>
                    <w:autoSpaceDN/>
                    <w:adjustRightInd/>
                    <w:snapToGrid/>
                    <w:spacing w:line="260" w:lineRule="exact"/>
                    <w:rPr>
                      <w:rFonts w:ascii="Times New Roman" w:hAnsi="Times New Roman"/>
                    </w:rPr>
                  </w:pPr>
                  <w:r>
                    <w:rPr>
                      <w:rFonts w:ascii="Times New Roman" w:hAnsi="Times New Roman"/>
                    </w:rPr>
                    <w:t>/</w:t>
                  </w:r>
                </w:p>
              </w:tc>
              <w:tc>
                <w:tcPr>
                  <w:tcW w:w="459" w:type="pct"/>
                  <w:vAlign w:val="center"/>
                </w:tcPr>
                <w:p w14:paraId="4DB9EB81">
                  <w:pPr>
                    <w:pStyle w:val="69"/>
                    <w:autoSpaceDE/>
                    <w:autoSpaceDN/>
                    <w:adjustRightInd/>
                    <w:snapToGrid/>
                    <w:spacing w:line="260" w:lineRule="exact"/>
                    <w:rPr>
                      <w:rFonts w:ascii="Times New Roman" w:hAnsi="Times New Roman"/>
                    </w:rPr>
                  </w:pPr>
                  <w:r>
                    <w:rPr>
                      <w:rFonts w:ascii="Times New Roman" w:hAnsi="Times New Roman"/>
                    </w:rPr>
                    <w:t>69.84</w:t>
                  </w:r>
                </w:p>
              </w:tc>
              <w:tc>
                <w:tcPr>
                  <w:tcW w:w="516" w:type="pct"/>
                  <w:vAlign w:val="center"/>
                </w:tcPr>
                <w:p w14:paraId="7EF4051E">
                  <w:pPr>
                    <w:pStyle w:val="69"/>
                    <w:autoSpaceDE/>
                    <w:adjustRightInd/>
                    <w:snapToGrid/>
                    <w:spacing w:before="24" w:line="260" w:lineRule="exact"/>
                    <w:rPr>
                      <w:rFonts w:ascii="Times New Roman" w:hAnsi="Times New Roman"/>
                    </w:rPr>
                  </w:pPr>
                  <w:r>
                    <w:rPr>
                      <w:rFonts w:ascii="Times New Roman" w:hAnsi="Times New Roman"/>
                    </w:rPr>
                    <w:t>交由餐厨垃圾专业回收单位处置</w:t>
                  </w:r>
                </w:p>
              </w:tc>
              <w:tc>
                <w:tcPr>
                  <w:tcW w:w="410" w:type="pct"/>
                  <w:vAlign w:val="center"/>
                </w:tcPr>
                <w:p w14:paraId="2C5DE070">
                  <w:pPr>
                    <w:pStyle w:val="69"/>
                    <w:autoSpaceDE/>
                    <w:autoSpaceDN/>
                    <w:adjustRightInd/>
                    <w:snapToGrid/>
                    <w:spacing w:line="260" w:lineRule="exact"/>
                    <w:rPr>
                      <w:rFonts w:ascii="Times New Roman" w:hAnsi="Times New Roman"/>
                    </w:rPr>
                  </w:pPr>
                  <w:r>
                    <w:rPr>
                      <w:rFonts w:ascii="Times New Roman" w:hAnsi="Times New Roman"/>
                    </w:rPr>
                    <w:t>69.84</w:t>
                  </w:r>
                </w:p>
              </w:tc>
              <w:tc>
                <w:tcPr>
                  <w:tcW w:w="741" w:type="pct"/>
                  <w:vAlign w:val="center"/>
                </w:tcPr>
                <w:p w14:paraId="063CD746">
                  <w:pPr>
                    <w:pStyle w:val="69"/>
                    <w:autoSpaceDE/>
                    <w:adjustRightInd/>
                    <w:snapToGrid/>
                    <w:spacing w:before="24" w:line="260" w:lineRule="exact"/>
                    <w:rPr>
                      <w:rFonts w:ascii="Times New Roman" w:hAnsi="Times New Roman"/>
                    </w:rPr>
                  </w:pPr>
                  <w:r>
                    <w:rPr>
                      <w:rFonts w:ascii="Times New Roman" w:hAnsi="Times New Roman"/>
                    </w:rPr>
                    <w:t>交由餐厨垃圾专业回收单位处置</w:t>
                  </w:r>
                </w:p>
              </w:tc>
              <w:tc>
                <w:tcPr>
                  <w:tcW w:w="397" w:type="pct"/>
                  <w:vAlign w:val="center"/>
                </w:tcPr>
                <w:p w14:paraId="0C5A05B1">
                  <w:pPr>
                    <w:pStyle w:val="69"/>
                    <w:autoSpaceDE/>
                    <w:autoSpaceDN/>
                    <w:adjustRightInd/>
                    <w:snapToGrid/>
                    <w:spacing w:line="260" w:lineRule="exact"/>
                    <w:rPr>
                      <w:rFonts w:ascii="Times New Roman" w:hAnsi="Times New Roman"/>
                    </w:rPr>
                  </w:pPr>
                  <w:r>
                    <w:rPr>
                      <w:rFonts w:ascii="Times New Roman" w:hAnsi="Times New Roman"/>
                    </w:rPr>
                    <w:t>不造成二次污染</w:t>
                  </w:r>
                </w:p>
              </w:tc>
            </w:tr>
          </w:tbl>
          <w:p w14:paraId="1E6CD9E4">
            <w:pPr>
              <w:pStyle w:val="14"/>
              <w:snapToGrid w:val="0"/>
              <w:spacing w:line="460" w:lineRule="exact"/>
              <w:jc w:val="center"/>
              <w:rPr>
                <w:rFonts w:ascii="Times New Roman" w:hAnsi="Times New Roman"/>
                <w:sz w:val="24"/>
                <w:szCs w:val="24"/>
              </w:rPr>
            </w:pPr>
            <w:r>
              <w:rPr>
                <w:rFonts w:ascii="Times New Roman" w:hAnsi="Times New Roman"/>
                <w:bCs/>
                <w:sz w:val="24"/>
                <w:szCs w:val="24"/>
              </w:rPr>
              <w:t>表4-16   项目危险废物产生、处置情况表</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43"/>
              <w:gridCol w:w="2152"/>
              <w:gridCol w:w="1582"/>
              <w:gridCol w:w="1434"/>
              <w:gridCol w:w="861"/>
              <w:gridCol w:w="1291"/>
              <w:gridCol w:w="718"/>
              <w:gridCol w:w="1149"/>
              <w:gridCol w:w="718"/>
              <w:gridCol w:w="718"/>
              <w:gridCol w:w="1146"/>
            </w:tblGrid>
            <w:tr w14:paraId="23D07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69F542F0">
                  <w:pPr>
                    <w:adjustRightInd w:val="0"/>
                    <w:snapToGrid w:val="0"/>
                    <w:jc w:val="center"/>
                    <w:rPr>
                      <w:szCs w:val="21"/>
                    </w:rPr>
                  </w:pPr>
                  <w:r>
                    <w:rPr>
                      <w:szCs w:val="21"/>
                    </w:rPr>
                    <w:t>序号</w:t>
                  </w:r>
                </w:p>
              </w:tc>
              <w:tc>
                <w:tcPr>
                  <w:tcW w:w="860" w:type="pct"/>
                  <w:vAlign w:val="center"/>
                </w:tcPr>
                <w:p w14:paraId="6495E4D1">
                  <w:pPr>
                    <w:adjustRightInd w:val="0"/>
                    <w:snapToGrid w:val="0"/>
                    <w:jc w:val="center"/>
                    <w:rPr>
                      <w:szCs w:val="21"/>
                    </w:rPr>
                  </w:pPr>
                  <w:r>
                    <w:rPr>
                      <w:szCs w:val="21"/>
                    </w:rPr>
                    <w:t>危险废物名称</w:t>
                  </w:r>
                </w:p>
              </w:tc>
              <w:tc>
                <w:tcPr>
                  <w:tcW w:w="632" w:type="pct"/>
                  <w:vAlign w:val="center"/>
                </w:tcPr>
                <w:p w14:paraId="04A3BB49">
                  <w:pPr>
                    <w:adjustRightInd w:val="0"/>
                    <w:snapToGrid w:val="0"/>
                    <w:jc w:val="center"/>
                    <w:rPr>
                      <w:szCs w:val="21"/>
                    </w:rPr>
                  </w:pPr>
                  <w:r>
                    <w:rPr>
                      <w:szCs w:val="21"/>
                    </w:rPr>
                    <w:t>危险废物类别</w:t>
                  </w:r>
                </w:p>
              </w:tc>
              <w:tc>
                <w:tcPr>
                  <w:tcW w:w="573" w:type="pct"/>
                  <w:vAlign w:val="center"/>
                </w:tcPr>
                <w:p w14:paraId="30124687">
                  <w:pPr>
                    <w:adjustRightInd w:val="0"/>
                    <w:snapToGrid w:val="0"/>
                    <w:jc w:val="center"/>
                    <w:rPr>
                      <w:szCs w:val="21"/>
                    </w:rPr>
                  </w:pPr>
                  <w:r>
                    <w:rPr>
                      <w:szCs w:val="21"/>
                    </w:rPr>
                    <w:t>危险废物代码</w:t>
                  </w:r>
                </w:p>
              </w:tc>
              <w:tc>
                <w:tcPr>
                  <w:tcW w:w="344" w:type="pct"/>
                  <w:vAlign w:val="center"/>
                </w:tcPr>
                <w:p w14:paraId="12431B99">
                  <w:pPr>
                    <w:adjustRightInd w:val="0"/>
                    <w:snapToGrid w:val="0"/>
                    <w:jc w:val="center"/>
                    <w:rPr>
                      <w:szCs w:val="21"/>
                    </w:rPr>
                  </w:pPr>
                  <w:r>
                    <w:rPr>
                      <w:szCs w:val="21"/>
                    </w:rPr>
                    <w:t>产生量t/a</w:t>
                  </w:r>
                </w:p>
              </w:tc>
              <w:tc>
                <w:tcPr>
                  <w:tcW w:w="516" w:type="pct"/>
                  <w:vAlign w:val="center"/>
                </w:tcPr>
                <w:p w14:paraId="7B7CE223">
                  <w:pPr>
                    <w:adjustRightInd w:val="0"/>
                    <w:snapToGrid w:val="0"/>
                    <w:jc w:val="center"/>
                    <w:rPr>
                      <w:szCs w:val="21"/>
                    </w:rPr>
                  </w:pPr>
                  <w:r>
                    <w:rPr>
                      <w:szCs w:val="21"/>
                    </w:rPr>
                    <w:t>产生工序、装置</w:t>
                  </w:r>
                </w:p>
              </w:tc>
              <w:tc>
                <w:tcPr>
                  <w:tcW w:w="287" w:type="pct"/>
                  <w:vAlign w:val="center"/>
                </w:tcPr>
                <w:p w14:paraId="4286C27D">
                  <w:pPr>
                    <w:adjustRightInd w:val="0"/>
                    <w:snapToGrid w:val="0"/>
                    <w:jc w:val="center"/>
                    <w:rPr>
                      <w:szCs w:val="21"/>
                    </w:rPr>
                  </w:pPr>
                  <w:r>
                    <w:rPr>
                      <w:szCs w:val="21"/>
                    </w:rPr>
                    <w:t>形态</w:t>
                  </w:r>
                </w:p>
              </w:tc>
              <w:tc>
                <w:tcPr>
                  <w:tcW w:w="459" w:type="pct"/>
                  <w:vAlign w:val="center"/>
                </w:tcPr>
                <w:p w14:paraId="25F88DF4">
                  <w:pPr>
                    <w:adjustRightInd w:val="0"/>
                    <w:snapToGrid w:val="0"/>
                    <w:jc w:val="center"/>
                    <w:rPr>
                      <w:szCs w:val="21"/>
                    </w:rPr>
                  </w:pPr>
                  <w:r>
                    <w:rPr>
                      <w:szCs w:val="21"/>
                    </w:rPr>
                    <w:t>有害成分</w:t>
                  </w:r>
                </w:p>
              </w:tc>
              <w:tc>
                <w:tcPr>
                  <w:tcW w:w="287" w:type="pct"/>
                  <w:vAlign w:val="center"/>
                </w:tcPr>
                <w:p w14:paraId="124EF68F">
                  <w:pPr>
                    <w:adjustRightInd w:val="0"/>
                    <w:snapToGrid w:val="0"/>
                    <w:jc w:val="center"/>
                    <w:rPr>
                      <w:szCs w:val="21"/>
                    </w:rPr>
                  </w:pPr>
                  <w:r>
                    <w:rPr>
                      <w:szCs w:val="21"/>
                    </w:rPr>
                    <w:t>产废周期</w:t>
                  </w:r>
                </w:p>
              </w:tc>
              <w:tc>
                <w:tcPr>
                  <w:tcW w:w="287" w:type="pct"/>
                  <w:vAlign w:val="center"/>
                </w:tcPr>
                <w:p w14:paraId="25891521">
                  <w:pPr>
                    <w:adjustRightInd w:val="0"/>
                    <w:snapToGrid w:val="0"/>
                    <w:jc w:val="center"/>
                    <w:rPr>
                      <w:szCs w:val="21"/>
                    </w:rPr>
                  </w:pPr>
                  <w:r>
                    <w:rPr>
                      <w:szCs w:val="21"/>
                    </w:rPr>
                    <w:t>危险特性</w:t>
                  </w:r>
                </w:p>
              </w:tc>
              <w:tc>
                <w:tcPr>
                  <w:tcW w:w="458" w:type="pct"/>
                  <w:vAlign w:val="center"/>
                </w:tcPr>
                <w:p w14:paraId="085F069F">
                  <w:pPr>
                    <w:adjustRightInd w:val="0"/>
                    <w:snapToGrid w:val="0"/>
                    <w:jc w:val="center"/>
                    <w:rPr>
                      <w:szCs w:val="21"/>
                    </w:rPr>
                  </w:pPr>
                  <w:r>
                    <w:rPr>
                      <w:szCs w:val="21"/>
                    </w:rPr>
                    <w:t>污染防治措施</w:t>
                  </w:r>
                </w:p>
              </w:tc>
            </w:tr>
            <w:tr w14:paraId="71478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070B6BA4">
                  <w:pPr>
                    <w:adjustRightInd w:val="0"/>
                    <w:snapToGrid w:val="0"/>
                    <w:jc w:val="center"/>
                    <w:rPr>
                      <w:szCs w:val="21"/>
                    </w:rPr>
                  </w:pPr>
                  <w:r>
                    <w:rPr>
                      <w:szCs w:val="21"/>
                    </w:rPr>
                    <w:t>1</w:t>
                  </w:r>
                </w:p>
              </w:tc>
              <w:tc>
                <w:tcPr>
                  <w:tcW w:w="860" w:type="pct"/>
                  <w:vAlign w:val="center"/>
                </w:tcPr>
                <w:p w14:paraId="125AEEAF">
                  <w:pPr>
                    <w:pStyle w:val="69"/>
                    <w:autoSpaceDE/>
                    <w:autoSpaceDN/>
                    <w:adjustRightInd/>
                    <w:snapToGrid/>
                    <w:spacing w:line="260" w:lineRule="exact"/>
                    <w:rPr>
                      <w:rFonts w:ascii="Times New Roman" w:hAnsi="Times New Roman"/>
                    </w:rPr>
                  </w:pPr>
                  <w:r>
                    <w:rPr>
                      <w:rFonts w:ascii="Times New Roman" w:hAnsi="Times New Roman"/>
                    </w:rPr>
                    <w:t>废液压油</w:t>
                  </w:r>
                </w:p>
              </w:tc>
              <w:tc>
                <w:tcPr>
                  <w:tcW w:w="632" w:type="pct"/>
                  <w:vAlign w:val="center"/>
                </w:tcPr>
                <w:p w14:paraId="50298972">
                  <w:pPr>
                    <w:pStyle w:val="69"/>
                    <w:autoSpaceDE/>
                    <w:autoSpaceDN/>
                    <w:adjustRightInd/>
                    <w:snapToGrid/>
                    <w:spacing w:line="240" w:lineRule="auto"/>
                    <w:rPr>
                      <w:rFonts w:ascii="Times New Roman" w:hAnsi="Times New Roman"/>
                    </w:rPr>
                  </w:pPr>
                  <w:r>
                    <w:rPr>
                      <w:rFonts w:ascii="Times New Roman" w:hAnsi="Times New Roman"/>
                    </w:rPr>
                    <w:t>HW08</w:t>
                  </w:r>
                </w:p>
              </w:tc>
              <w:tc>
                <w:tcPr>
                  <w:tcW w:w="573" w:type="pct"/>
                  <w:vAlign w:val="center"/>
                </w:tcPr>
                <w:p w14:paraId="496E41C1">
                  <w:pPr>
                    <w:pStyle w:val="69"/>
                    <w:autoSpaceDE/>
                    <w:autoSpaceDN/>
                    <w:adjustRightInd/>
                    <w:snapToGrid/>
                    <w:spacing w:line="240" w:lineRule="auto"/>
                    <w:rPr>
                      <w:rFonts w:ascii="Times New Roman" w:hAnsi="Times New Roman"/>
                    </w:rPr>
                  </w:pPr>
                  <w:r>
                    <w:rPr>
                      <w:rFonts w:ascii="Times New Roman" w:hAnsi="Times New Roman"/>
                    </w:rPr>
                    <w:t>900-249-08</w:t>
                  </w:r>
                </w:p>
              </w:tc>
              <w:tc>
                <w:tcPr>
                  <w:tcW w:w="344" w:type="pct"/>
                  <w:vAlign w:val="center"/>
                </w:tcPr>
                <w:p w14:paraId="0E79C0BD">
                  <w:pPr>
                    <w:pStyle w:val="69"/>
                    <w:autoSpaceDE/>
                    <w:autoSpaceDN/>
                    <w:adjustRightInd/>
                    <w:snapToGrid/>
                    <w:spacing w:line="260" w:lineRule="exact"/>
                    <w:rPr>
                      <w:rFonts w:ascii="Times New Roman" w:hAnsi="Times New Roman"/>
                    </w:rPr>
                  </w:pPr>
                  <w:r>
                    <w:rPr>
                      <w:rFonts w:ascii="Times New Roman" w:hAnsi="Times New Roman" w:eastAsia="等线"/>
                    </w:rPr>
                    <w:t>12.5</w:t>
                  </w:r>
                </w:p>
              </w:tc>
              <w:tc>
                <w:tcPr>
                  <w:tcW w:w="516" w:type="pct"/>
                  <w:vAlign w:val="center"/>
                </w:tcPr>
                <w:p w14:paraId="0591BD3B">
                  <w:pPr>
                    <w:pStyle w:val="69"/>
                    <w:autoSpaceDE/>
                    <w:autoSpaceDN/>
                    <w:adjustRightInd/>
                    <w:snapToGrid/>
                    <w:spacing w:line="240" w:lineRule="auto"/>
                    <w:rPr>
                      <w:rFonts w:ascii="Times New Roman" w:hAnsi="Times New Roman"/>
                    </w:rPr>
                  </w:pPr>
                  <w:r>
                    <w:rPr>
                      <w:rFonts w:ascii="Times New Roman" w:hAnsi="Times New Roman"/>
                    </w:rPr>
                    <w:t>压铸工序</w:t>
                  </w:r>
                </w:p>
              </w:tc>
              <w:tc>
                <w:tcPr>
                  <w:tcW w:w="287" w:type="pct"/>
                  <w:vAlign w:val="center"/>
                </w:tcPr>
                <w:p w14:paraId="5C65F64C">
                  <w:pPr>
                    <w:jc w:val="center"/>
                    <w:rPr>
                      <w:szCs w:val="21"/>
                    </w:rPr>
                  </w:pPr>
                  <w:r>
                    <w:rPr>
                      <w:szCs w:val="21"/>
                    </w:rPr>
                    <w:t>液态</w:t>
                  </w:r>
                </w:p>
              </w:tc>
              <w:tc>
                <w:tcPr>
                  <w:tcW w:w="459" w:type="pct"/>
                  <w:vAlign w:val="center"/>
                </w:tcPr>
                <w:p w14:paraId="4D4E00DB">
                  <w:pPr>
                    <w:adjustRightInd w:val="0"/>
                    <w:snapToGrid w:val="0"/>
                    <w:jc w:val="center"/>
                    <w:rPr>
                      <w:szCs w:val="21"/>
                    </w:rPr>
                  </w:pPr>
                  <w:r>
                    <w:rPr>
                      <w:szCs w:val="21"/>
                    </w:rPr>
                    <w:t>石油类等</w:t>
                  </w:r>
                </w:p>
              </w:tc>
              <w:tc>
                <w:tcPr>
                  <w:tcW w:w="287" w:type="pct"/>
                  <w:vAlign w:val="center"/>
                </w:tcPr>
                <w:p w14:paraId="1FB29465">
                  <w:pPr>
                    <w:adjustRightInd w:val="0"/>
                    <w:snapToGrid w:val="0"/>
                    <w:jc w:val="center"/>
                    <w:rPr>
                      <w:szCs w:val="21"/>
                    </w:rPr>
                  </w:pPr>
                  <w:r>
                    <w:rPr>
                      <w:szCs w:val="21"/>
                    </w:rPr>
                    <w:t>30d</w:t>
                  </w:r>
                </w:p>
              </w:tc>
              <w:tc>
                <w:tcPr>
                  <w:tcW w:w="287" w:type="pct"/>
                  <w:tcBorders>
                    <w:top w:val="single" w:color="auto" w:sz="4" w:space="0"/>
                  </w:tcBorders>
                  <w:vAlign w:val="center"/>
                </w:tcPr>
                <w:p w14:paraId="0508EE62">
                  <w:pPr>
                    <w:pStyle w:val="69"/>
                    <w:autoSpaceDE/>
                    <w:autoSpaceDN/>
                    <w:adjustRightInd/>
                    <w:snapToGrid/>
                    <w:spacing w:line="240" w:lineRule="auto"/>
                    <w:rPr>
                      <w:rFonts w:ascii="Times New Roman" w:hAnsi="Times New Roman"/>
                    </w:rPr>
                  </w:pPr>
                  <w:r>
                    <w:rPr>
                      <w:rFonts w:ascii="Times New Roman" w:hAnsi="Times New Roman"/>
                    </w:rPr>
                    <w:t>T，I</w:t>
                  </w:r>
                </w:p>
              </w:tc>
              <w:tc>
                <w:tcPr>
                  <w:tcW w:w="458" w:type="pct"/>
                  <w:vMerge w:val="restart"/>
                  <w:tcBorders>
                    <w:top w:val="single" w:color="auto" w:sz="4" w:space="0"/>
                  </w:tcBorders>
                  <w:vAlign w:val="center"/>
                </w:tcPr>
                <w:p w14:paraId="5D47AB66">
                  <w:pPr>
                    <w:adjustRightInd w:val="0"/>
                    <w:snapToGrid w:val="0"/>
                    <w:jc w:val="center"/>
                    <w:rPr>
                      <w:szCs w:val="21"/>
                    </w:rPr>
                  </w:pPr>
                  <w:r>
                    <w:rPr>
                      <w:szCs w:val="21"/>
                    </w:rPr>
                    <w:t>危险废物暂存间暂存，50m</w:t>
                  </w:r>
                  <w:r>
                    <w:rPr>
                      <w:szCs w:val="21"/>
                      <w:vertAlign w:val="superscript"/>
                    </w:rPr>
                    <w:t>2</w:t>
                  </w:r>
                  <w:r>
                    <w:rPr>
                      <w:szCs w:val="21"/>
                    </w:rPr>
                    <w:t>，容器下设托盘，定期由危废资质单位处理</w:t>
                  </w:r>
                </w:p>
              </w:tc>
            </w:tr>
            <w:tr w14:paraId="42C35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12E2956E">
                  <w:pPr>
                    <w:adjustRightInd w:val="0"/>
                    <w:snapToGrid w:val="0"/>
                    <w:jc w:val="center"/>
                    <w:rPr>
                      <w:szCs w:val="21"/>
                    </w:rPr>
                  </w:pPr>
                  <w:r>
                    <w:rPr>
                      <w:szCs w:val="21"/>
                    </w:rPr>
                    <w:t>2</w:t>
                  </w:r>
                </w:p>
              </w:tc>
              <w:tc>
                <w:tcPr>
                  <w:tcW w:w="860" w:type="pct"/>
                  <w:vAlign w:val="center"/>
                </w:tcPr>
                <w:p w14:paraId="6C1D2662">
                  <w:pPr>
                    <w:pStyle w:val="69"/>
                    <w:autoSpaceDE/>
                    <w:autoSpaceDN/>
                    <w:adjustRightInd/>
                    <w:snapToGrid/>
                    <w:spacing w:line="260" w:lineRule="exact"/>
                    <w:rPr>
                      <w:rFonts w:ascii="Times New Roman" w:hAnsi="Times New Roman"/>
                    </w:rPr>
                  </w:pPr>
                  <w:r>
                    <w:rPr>
                      <w:rFonts w:ascii="Times New Roman" w:hAnsi="Times New Roman"/>
                    </w:rPr>
                    <w:t>废润滑油</w:t>
                  </w:r>
                </w:p>
              </w:tc>
              <w:tc>
                <w:tcPr>
                  <w:tcW w:w="632" w:type="pct"/>
                  <w:vAlign w:val="center"/>
                </w:tcPr>
                <w:p w14:paraId="71680C00">
                  <w:pPr>
                    <w:pStyle w:val="69"/>
                    <w:autoSpaceDE/>
                    <w:autoSpaceDN/>
                    <w:adjustRightInd/>
                    <w:snapToGrid/>
                    <w:spacing w:line="240" w:lineRule="auto"/>
                    <w:rPr>
                      <w:rFonts w:ascii="Times New Roman" w:hAnsi="Times New Roman"/>
                    </w:rPr>
                  </w:pPr>
                  <w:r>
                    <w:rPr>
                      <w:rFonts w:ascii="Times New Roman" w:hAnsi="Times New Roman"/>
                    </w:rPr>
                    <w:t>HW08</w:t>
                  </w:r>
                </w:p>
              </w:tc>
              <w:tc>
                <w:tcPr>
                  <w:tcW w:w="573" w:type="pct"/>
                  <w:vAlign w:val="center"/>
                </w:tcPr>
                <w:p w14:paraId="3A660BC5">
                  <w:pPr>
                    <w:pStyle w:val="69"/>
                    <w:autoSpaceDE/>
                    <w:autoSpaceDN/>
                    <w:adjustRightInd/>
                    <w:snapToGrid/>
                    <w:spacing w:line="240" w:lineRule="auto"/>
                    <w:rPr>
                      <w:rFonts w:ascii="Times New Roman" w:hAnsi="Times New Roman"/>
                    </w:rPr>
                  </w:pPr>
                  <w:r>
                    <w:rPr>
                      <w:rFonts w:ascii="Times New Roman" w:hAnsi="Times New Roman"/>
                    </w:rPr>
                    <w:t>900-249-08</w:t>
                  </w:r>
                </w:p>
              </w:tc>
              <w:tc>
                <w:tcPr>
                  <w:tcW w:w="344" w:type="pct"/>
                  <w:vAlign w:val="center"/>
                </w:tcPr>
                <w:p w14:paraId="1AD689D6">
                  <w:pPr>
                    <w:pStyle w:val="69"/>
                    <w:autoSpaceDE/>
                    <w:autoSpaceDN/>
                    <w:adjustRightInd/>
                    <w:snapToGrid/>
                    <w:spacing w:line="260" w:lineRule="exact"/>
                    <w:rPr>
                      <w:rFonts w:ascii="Times New Roman" w:hAnsi="Times New Roman"/>
                    </w:rPr>
                  </w:pPr>
                  <w:r>
                    <w:rPr>
                      <w:rFonts w:ascii="Times New Roman" w:hAnsi="Times New Roman" w:eastAsia="等线"/>
                    </w:rPr>
                    <w:t>67</w:t>
                  </w:r>
                </w:p>
              </w:tc>
              <w:tc>
                <w:tcPr>
                  <w:tcW w:w="516" w:type="pct"/>
                  <w:vAlign w:val="center"/>
                </w:tcPr>
                <w:p w14:paraId="38B07399">
                  <w:pPr>
                    <w:pStyle w:val="69"/>
                    <w:autoSpaceDE/>
                    <w:autoSpaceDN/>
                    <w:adjustRightInd/>
                    <w:snapToGrid/>
                    <w:spacing w:line="240" w:lineRule="auto"/>
                    <w:rPr>
                      <w:rFonts w:ascii="Times New Roman" w:hAnsi="Times New Roman"/>
                    </w:rPr>
                  </w:pPr>
                  <w:r>
                    <w:rPr>
                      <w:rFonts w:ascii="Times New Roman" w:hAnsi="Times New Roman"/>
                    </w:rPr>
                    <w:t>模具维修、设备维护</w:t>
                  </w:r>
                </w:p>
              </w:tc>
              <w:tc>
                <w:tcPr>
                  <w:tcW w:w="287" w:type="pct"/>
                  <w:vAlign w:val="center"/>
                </w:tcPr>
                <w:p w14:paraId="0B3FE324">
                  <w:pPr>
                    <w:jc w:val="center"/>
                    <w:rPr>
                      <w:szCs w:val="21"/>
                    </w:rPr>
                  </w:pPr>
                  <w:r>
                    <w:rPr>
                      <w:szCs w:val="21"/>
                    </w:rPr>
                    <w:t>液态</w:t>
                  </w:r>
                </w:p>
              </w:tc>
              <w:tc>
                <w:tcPr>
                  <w:tcW w:w="459" w:type="pct"/>
                  <w:vAlign w:val="center"/>
                </w:tcPr>
                <w:p w14:paraId="41474F56">
                  <w:pPr>
                    <w:adjustRightInd w:val="0"/>
                    <w:snapToGrid w:val="0"/>
                    <w:jc w:val="center"/>
                    <w:rPr>
                      <w:szCs w:val="21"/>
                    </w:rPr>
                  </w:pPr>
                  <w:r>
                    <w:rPr>
                      <w:szCs w:val="21"/>
                    </w:rPr>
                    <w:t>石油类等</w:t>
                  </w:r>
                </w:p>
              </w:tc>
              <w:tc>
                <w:tcPr>
                  <w:tcW w:w="287" w:type="pct"/>
                  <w:vAlign w:val="center"/>
                </w:tcPr>
                <w:p w14:paraId="00A7C51F">
                  <w:pPr>
                    <w:adjustRightInd w:val="0"/>
                    <w:snapToGrid w:val="0"/>
                    <w:jc w:val="center"/>
                    <w:rPr>
                      <w:szCs w:val="21"/>
                    </w:rPr>
                  </w:pPr>
                  <w:r>
                    <w:rPr>
                      <w:szCs w:val="21"/>
                    </w:rPr>
                    <w:t>7d</w:t>
                  </w:r>
                </w:p>
              </w:tc>
              <w:tc>
                <w:tcPr>
                  <w:tcW w:w="287" w:type="pct"/>
                  <w:tcBorders>
                    <w:top w:val="single" w:color="auto" w:sz="4" w:space="0"/>
                  </w:tcBorders>
                  <w:vAlign w:val="center"/>
                </w:tcPr>
                <w:p w14:paraId="7A0E7171">
                  <w:pPr>
                    <w:pStyle w:val="69"/>
                    <w:autoSpaceDE/>
                    <w:autoSpaceDN/>
                    <w:adjustRightInd/>
                    <w:snapToGrid/>
                    <w:spacing w:line="240" w:lineRule="auto"/>
                    <w:rPr>
                      <w:rFonts w:ascii="Times New Roman" w:hAnsi="Times New Roman"/>
                    </w:rPr>
                  </w:pPr>
                  <w:r>
                    <w:rPr>
                      <w:rFonts w:ascii="Times New Roman" w:hAnsi="Times New Roman"/>
                    </w:rPr>
                    <w:t>T，I</w:t>
                  </w:r>
                </w:p>
              </w:tc>
              <w:tc>
                <w:tcPr>
                  <w:tcW w:w="458" w:type="pct"/>
                  <w:vMerge w:val="continue"/>
                  <w:vAlign w:val="center"/>
                </w:tcPr>
                <w:p w14:paraId="66DF7A32">
                  <w:pPr>
                    <w:adjustRightInd w:val="0"/>
                    <w:snapToGrid w:val="0"/>
                    <w:jc w:val="center"/>
                    <w:rPr>
                      <w:szCs w:val="21"/>
                    </w:rPr>
                  </w:pPr>
                </w:p>
              </w:tc>
            </w:tr>
            <w:tr w14:paraId="5C8BD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75DDBE67">
                  <w:pPr>
                    <w:adjustRightInd w:val="0"/>
                    <w:snapToGrid w:val="0"/>
                    <w:jc w:val="center"/>
                    <w:rPr>
                      <w:szCs w:val="21"/>
                    </w:rPr>
                  </w:pPr>
                  <w:r>
                    <w:rPr>
                      <w:szCs w:val="21"/>
                    </w:rPr>
                    <w:t>3</w:t>
                  </w:r>
                </w:p>
              </w:tc>
              <w:tc>
                <w:tcPr>
                  <w:tcW w:w="860" w:type="pct"/>
                  <w:vAlign w:val="center"/>
                </w:tcPr>
                <w:p w14:paraId="7278BCBE">
                  <w:pPr>
                    <w:pStyle w:val="69"/>
                    <w:autoSpaceDE/>
                    <w:autoSpaceDN/>
                    <w:adjustRightInd/>
                    <w:snapToGrid/>
                    <w:spacing w:line="260" w:lineRule="exact"/>
                    <w:rPr>
                      <w:rFonts w:ascii="Times New Roman" w:hAnsi="Times New Roman"/>
                    </w:rPr>
                  </w:pPr>
                  <w:r>
                    <w:rPr>
                      <w:rFonts w:ascii="Times New Roman" w:hAnsi="Times New Roman"/>
                    </w:rPr>
                    <w:t>废包装桶</w:t>
                  </w:r>
                </w:p>
              </w:tc>
              <w:tc>
                <w:tcPr>
                  <w:tcW w:w="632" w:type="pct"/>
                  <w:vAlign w:val="center"/>
                </w:tcPr>
                <w:p w14:paraId="5F11FA7F">
                  <w:pPr>
                    <w:pStyle w:val="69"/>
                    <w:autoSpaceDE/>
                    <w:autoSpaceDN/>
                    <w:adjustRightInd/>
                    <w:snapToGrid/>
                    <w:spacing w:line="240" w:lineRule="auto"/>
                    <w:rPr>
                      <w:rFonts w:ascii="Times New Roman" w:hAnsi="Times New Roman"/>
                    </w:rPr>
                  </w:pPr>
                  <w:r>
                    <w:rPr>
                      <w:rFonts w:ascii="Times New Roman" w:hAnsi="Times New Roman"/>
                    </w:rPr>
                    <w:t>HW49</w:t>
                  </w:r>
                </w:p>
              </w:tc>
              <w:tc>
                <w:tcPr>
                  <w:tcW w:w="573" w:type="pct"/>
                  <w:vAlign w:val="center"/>
                </w:tcPr>
                <w:p w14:paraId="6111F5D9">
                  <w:pPr>
                    <w:pStyle w:val="69"/>
                    <w:autoSpaceDE/>
                    <w:autoSpaceDN/>
                    <w:adjustRightInd/>
                    <w:snapToGrid/>
                    <w:spacing w:line="240" w:lineRule="auto"/>
                    <w:rPr>
                      <w:rFonts w:ascii="Times New Roman" w:hAnsi="Times New Roman"/>
                    </w:rPr>
                  </w:pPr>
                  <w:r>
                    <w:rPr>
                      <w:rFonts w:ascii="Times New Roman" w:hAnsi="Times New Roman"/>
                    </w:rPr>
                    <w:t>900-041-49</w:t>
                  </w:r>
                </w:p>
              </w:tc>
              <w:tc>
                <w:tcPr>
                  <w:tcW w:w="344" w:type="pct"/>
                  <w:vAlign w:val="center"/>
                </w:tcPr>
                <w:p w14:paraId="23C57D28">
                  <w:pPr>
                    <w:pStyle w:val="69"/>
                    <w:autoSpaceDE/>
                    <w:autoSpaceDN/>
                    <w:adjustRightInd/>
                    <w:snapToGrid/>
                    <w:spacing w:line="260" w:lineRule="exact"/>
                    <w:rPr>
                      <w:rFonts w:ascii="Times New Roman" w:hAnsi="Times New Roman"/>
                    </w:rPr>
                  </w:pPr>
                  <w:r>
                    <w:rPr>
                      <w:rFonts w:ascii="Times New Roman" w:hAnsi="Times New Roman"/>
                    </w:rPr>
                    <w:t>8.0</w:t>
                  </w:r>
                </w:p>
              </w:tc>
              <w:tc>
                <w:tcPr>
                  <w:tcW w:w="516" w:type="pct"/>
                  <w:vAlign w:val="center"/>
                </w:tcPr>
                <w:p w14:paraId="36492CD8">
                  <w:pPr>
                    <w:pStyle w:val="69"/>
                    <w:autoSpaceDE/>
                    <w:autoSpaceDN/>
                    <w:adjustRightInd/>
                    <w:snapToGrid/>
                    <w:spacing w:line="240" w:lineRule="auto"/>
                    <w:rPr>
                      <w:rFonts w:ascii="Times New Roman" w:hAnsi="Times New Roman"/>
                    </w:rPr>
                  </w:pPr>
                  <w:r>
                    <w:rPr>
                      <w:rFonts w:ascii="Times New Roman" w:hAnsi="Times New Roman"/>
                    </w:rPr>
                    <w:t>物料使用</w:t>
                  </w:r>
                </w:p>
              </w:tc>
              <w:tc>
                <w:tcPr>
                  <w:tcW w:w="287" w:type="pct"/>
                  <w:vAlign w:val="center"/>
                </w:tcPr>
                <w:p w14:paraId="78BC5F4E">
                  <w:pPr>
                    <w:adjustRightInd w:val="0"/>
                    <w:snapToGrid w:val="0"/>
                    <w:jc w:val="center"/>
                    <w:rPr>
                      <w:szCs w:val="21"/>
                    </w:rPr>
                  </w:pPr>
                  <w:r>
                    <w:rPr>
                      <w:szCs w:val="21"/>
                    </w:rPr>
                    <w:t>固态</w:t>
                  </w:r>
                </w:p>
              </w:tc>
              <w:tc>
                <w:tcPr>
                  <w:tcW w:w="459" w:type="pct"/>
                  <w:vAlign w:val="center"/>
                </w:tcPr>
                <w:p w14:paraId="5771CCB7">
                  <w:pPr>
                    <w:adjustRightInd w:val="0"/>
                    <w:snapToGrid w:val="0"/>
                    <w:jc w:val="center"/>
                    <w:rPr>
                      <w:szCs w:val="21"/>
                    </w:rPr>
                  </w:pPr>
                  <w:r>
                    <w:rPr>
                      <w:szCs w:val="21"/>
                    </w:rPr>
                    <w:t>石油类等</w:t>
                  </w:r>
                </w:p>
              </w:tc>
              <w:tc>
                <w:tcPr>
                  <w:tcW w:w="287" w:type="pct"/>
                  <w:vAlign w:val="center"/>
                </w:tcPr>
                <w:p w14:paraId="63258F87">
                  <w:pPr>
                    <w:adjustRightInd w:val="0"/>
                    <w:snapToGrid w:val="0"/>
                    <w:jc w:val="center"/>
                    <w:rPr>
                      <w:szCs w:val="21"/>
                    </w:rPr>
                  </w:pPr>
                  <w:r>
                    <w:rPr>
                      <w:szCs w:val="21"/>
                    </w:rPr>
                    <w:t>1d</w:t>
                  </w:r>
                </w:p>
              </w:tc>
              <w:tc>
                <w:tcPr>
                  <w:tcW w:w="287" w:type="pct"/>
                  <w:vAlign w:val="center"/>
                </w:tcPr>
                <w:p w14:paraId="042B641A">
                  <w:pPr>
                    <w:pStyle w:val="69"/>
                    <w:autoSpaceDE/>
                    <w:autoSpaceDN/>
                    <w:adjustRightInd/>
                    <w:snapToGrid/>
                    <w:spacing w:line="240" w:lineRule="auto"/>
                    <w:rPr>
                      <w:rFonts w:ascii="Times New Roman" w:hAnsi="Times New Roman"/>
                    </w:rPr>
                  </w:pPr>
                  <w:r>
                    <w:rPr>
                      <w:rFonts w:ascii="Times New Roman" w:hAnsi="Times New Roman"/>
                    </w:rPr>
                    <w:t>T/In</w:t>
                  </w:r>
                </w:p>
              </w:tc>
              <w:tc>
                <w:tcPr>
                  <w:tcW w:w="458" w:type="pct"/>
                  <w:vMerge w:val="continue"/>
                  <w:vAlign w:val="center"/>
                </w:tcPr>
                <w:p w14:paraId="72748422">
                  <w:pPr>
                    <w:adjustRightInd w:val="0"/>
                    <w:snapToGrid w:val="0"/>
                    <w:jc w:val="center"/>
                    <w:rPr>
                      <w:szCs w:val="21"/>
                    </w:rPr>
                  </w:pPr>
                </w:p>
              </w:tc>
            </w:tr>
            <w:tr w14:paraId="2F848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5888A9D8">
                  <w:pPr>
                    <w:adjustRightInd w:val="0"/>
                    <w:snapToGrid w:val="0"/>
                    <w:jc w:val="center"/>
                    <w:rPr>
                      <w:szCs w:val="21"/>
                    </w:rPr>
                  </w:pPr>
                  <w:r>
                    <w:rPr>
                      <w:szCs w:val="21"/>
                    </w:rPr>
                    <w:t>4</w:t>
                  </w:r>
                </w:p>
              </w:tc>
              <w:tc>
                <w:tcPr>
                  <w:tcW w:w="860" w:type="pct"/>
                  <w:vAlign w:val="center"/>
                </w:tcPr>
                <w:p w14:paraId="32B71124">
                  <w:pPr>
                    <w:pStyle w:val="69"/>
                    <w:autoSpaceDE/>
                    <w:autoSpaceDN/>
                    <w:adjustRightInd/>
                    <w:snapToGrid/>
                    <w:spacing w:line="260" w:lineRule="exact"/>
                    <w:rPr>
                      <w:rFonts w:ascii="Times New Roman" w:hAnsi="Times New Roman"/>
                    </w:rPr>
                  </w:pPr>
                  <w:r>
                    <w:rPr>
                      <w:rFonts w:ascii="Times New Roman" w:hAnsi="Times New Roman"/>
                    </w:rPr>
                    <w:t>铝灰渣</w:t>
                  </w:r>
                </w:p>
              </w:tc>
              <w:tc>
                <w:tcPr>
                  <w:tcW w:w="632" w:type="pct"/>
                  <w:vAlign w:val="center"/>
                </w:tcPr>
                <w:p w14:paraId="5D8E3D34">
                  <w:pPr>
                    <w:pStyle w:val="69"/>
                    <w:autoSpaceDE/>
                    <w:autoSpaceDN/>
                    <w:adjustRightInd/>
                    <w:snapToGrid/>
                    <w:spacing w:line="240" w:lineRule="auto"/>
                    <w:rPr>
                      <w:rFonts w:ascii="Times New Roman" w:hAnsi="Times New Roman"/>
                    </w:rPr>
                  </w:pPr>
                  <w:r>
                    <w:rPr>
                      <w:rFonts w:ascii="Times New Roman" w:hAnsi="Times New Roman"/>
                    </w:rPr>
                    <w:t>HW48</w:t>
                  </w:r>
                </w:p>
              </w:tc>
              <w:tc>
                <w:tcPr>
                  <w:tcW w:w="573" w:type="pct"/>
                  <w:vAlign w:val="center"/>
                </w:tcPr>
                <w:p w14:paraId="4FBA98B0">
                  <w:pPr>
                    <w:pStyle w:val="69"/>
                    <w:autoSpaceDE/>
                    <w:autoSpaceDN/>
                    <w:adjustRightInd/>
                    <w:snapToGrid/>
                    <w:spacing w:line="240" w:lineRule="auto"/>
                    <w:rPr>
                      <w:rFonts w:ascii="Times New Roman" w:hAnsi="Times New Roman"/>
                    </w:rPr>
                  </w:pPr>
                  <w:r>
                    <w:rPr>
                      <w:rFonts w:ascii="Times New Roman" w:hAnsi="Times New Roman"/>
                    </w:rPr>
                    <w:t>321-026-48</w:t>
                  </w:r>
                </w:p>
              </w:tc>
              <w:tc>
                <w:tcPr>
                  <w:tcW w:w="344" w:type="pct"/>
                  <w:vAlign w:val="center"/>
                </w:tcPr>
                <w:p w14:paraId="72E107E8">
                  <w:pPr>
                    <w:pStyle w:val="69"/>
                    <w:autoSpaceDE/>
                    <w:autoSpaceDN/>
                    <w:adjustRightInd/>
                    <w:snapToGrid/>
                    <w:spacing w:line="260" w:lineRule="exact"/>
                    <w:rPr>
                      <w:rFonts w:ascii="Times New Roman" w:hAnsi="Times New Roman"/>
                    </w:rPr>
                  </w:pPr>
                  <w:r>
                    <w:rPr>
                      <w:rFonts w:ascii="Times New Roman" w:hAnsi="Times New Roman"/>
                    </w:rPr>
                    <w:t>120</w:t>
                  </w:r>
                </w:p>
              </w:tc>
              <w:tc>
                <w:tcPr>
                  <w:tcW w:w="516" w:type="pct"/>
                  <w:vAlign w:val="center"/>
                </w:tcPr>
                <w:p w14:paraId="16B8B3CB">
                  <w:pPr>
                    <w:pStyle w:val="69"/>
                    <w:autoSpaceDE/>
                    <w:autoSpaceDN/>
                    <w:adjustRightInd/>
                    <w:snapToGrid/>
                    <w:spacing w:line="240" w:lineRule="auto"/>
                    <w:rPr>
                      <w:rFonts w:ascii="Times New Roman" w:hAnsi="Times New Roman"/>
                    </w:rPr>
                  </w:pPr>
                  <w:r>
                    <w:rPr>
                      <w:rFonts w:ascii="Times New Roman" w:hAnsi="Times New Roman"/>
                    </w:rPr>
                    <w:t>熔化工序</w:t>
                  </w:r>
                </w:p>
              </w:tc>
              <w:tc>
                <w:tcPr>
                  <w:tcW w:w="287" w:type="pct"/>
                  <w:vAlign w:val="center"/>
                </w:tcPr>
                <w:p w14:paraId="25C1E1B6">
                  <w:pPr>
                    <w:adjustRightInd w:val="0"/>
                    <w:snapToGrid w:val="0"/>
                    <w:jc w:val="center"/>
                    <w:rPr>
                      <w:szCs w:val="21"/>
                    </w:rPr>
                  </w:pPr>
                  <w:r>
                    <w:rPr>
                      <w:szCs w:val="21"/>
                    </w:rPr>
                    <w:t>固态</w:t>
                  </w:r>
                </w:p>
              </w:tc>
              <w:tc>
                <w:tcPr>
                  <w:tcW w:w="459" w:type="pct"/>
                  <w:vAlign w:val="center"/>
                </w:tcPr>
                <w:p w14:paraId="68399E4A">
                  <w:pPr>
                    <w:adjustRightInd w:val="0"/>
                    <w:snapToGrid w:val="0"/>
                    <w:jc w:val="center"/>
                    <w:rPr>
                      <w:szCs w:val="21"/>
                    </w:rPr>
                  </w:pPr>
                  <w:r>
                    <w:rPr>
                      <w:szCs w:val="21"/>
                    </w:rPr>
                    <w:t>氧化铝</w:t>
                  </w:r>
                </w:p>
              </w:tc>
              <w:tc>
                <w:tcPr>
                  <w:tcW w:w="287" w:type="pct"/>
                  <w:vAlign w:val="center"/>
                </w:tcPr>
                <w:p w14:paraId="76160751">
                  <w:pPr>
                    <w:adjustRightInd w:val="0"/>
                    <w:snapToGrid w:val="0"/>
                    <w:jc w:val="center"/>
                    <w:rPr>
                      <w:szCs w:val="21"/>
                    </w:rPr>
                  </w:pPr>
                  <w:r>
                    <w:rPr>
                      <w:szCs w:val="21"/>
                    </w:rPr>
                    <w:t>1d</w:t>
                  </w:r>
                </w:p>
              </w:tc>
              <w:tc>
                <w:tcPr>
                  <w:tcW w:w="287" w:type="pct"/>
                  <w:vAlign w:val="center"/>
                </w:tcPr>
                <w:p w14:paraId="4C5A60B4">
                  <w:pPr>
                    <w:pStyle w:val="69"/>
                    <w:autoSpaceDE/>
                    <w:autoSpaceDN/>
                    <w:adjustRightInd/>
                    <w:snapToGrid/>
                    <w:spacing w:line="240" w:lineRule="auto"/>
                    <w:rPr>
                      <w:rFonts w:ascii="Times New Roman" w:hAnsi="Times New Roman"/>
                    </w:rPr>
                  </w:pPr>
                  <w:r>
                    <w:rPr>
                      <w:rFonts w:ascii="Times New Roman" w:hAnsi="Times New Roman"/>
                    </w:rPr>
                    <w:t>R</w:t>
                  </w:r>
                </w:p>
              </w:tc>
              <w:tc>
                <w:tcPr>
                  <w:tcW w:w="458" w:type="pct"/>
                  <w:vMerge w:val="continue"/>
                  <w:vAlign w:val="center"/>
                </w:tcPr>
                <w:p w14:paraId="31BFED44">
                  <w:pPr>
                    <w:adjustRightInd w:val="0"/>
                    <w:snapToGrid w:val="0"/>
                    <w:jc w:val="center"/>
                    <w:rPr>
                      <w:szCs w:val="21"/>
                    </w:rPr>
                  </w:pPr>
                </w:p>
              </w:tc>
            </w:tr>
            <w:tr w14:paraId="1AAE5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2025D50E">
                  <w:pPr>
                    <w:adjustRightInd w:val="0"/>
                    <w:snapToGrid w:val="0"/>
                    <w:jc w:val="center"/>
                    <w:rPr>
                      <w:szCs w:val="21"/>
                    </w:rPr>
                  </w:pPr>
                  <w:r>
                    <w:rPr>
                      <w:szCs w:val="21"/>
                    </w:rPr>
                    <w:t>5</w:t>
                  </w:r>
                </w:p>
              </w:tc>
              <w:tc>
                <w:tcPr>
                  <w:tcW w:w="860" w:type="pct"/>
                  <w:vAlign w:val="center"/>
                </w:tcPr>
                <w:p w14:paraId="3F7F0B37">
                  <w:pPr>
                    <w:pStyle w:val="69"/>
                    <w:autoSpaceDE/>
                    <w:autoSpaceDN/>
                    <w:adjustRightInd/>
                    <w:snapToGrid/>
                    <w:spacing w:line="260" w:lineRule="exact"/>
                    <w:rPr>
                      <w:rFonts w:ascii="Times New Roman" w:hAnsi="Times New Roman"/>
                    </w:rPr>
                  </w:pPr>
                  <w:r>
                    <w:rPr>
                      <w:rFonts w:ascii="Times New Roman" w:hAnsi="Times New Roman"/>
                    </w:rPr>
                    <w:t>废切削液</w:t>
                  </w:r>
                </w:p>
              </w:tc>
              <w:tc>
                <w:tcPr>
                  <w:tcW w:w="632" w:type="pct"/>
                  <w:vAlign w:val="center"/>
                </w:tcPr>
                <w:p w14:paraId="53BB1AEE">
                  <w:pPr>
                    <w:pStyle w:val="69"/>
                    <w:autoSpaceDE/>
                    <w:autoSpaceDN/>
                    <w:adjustRightInd/>
                    <w:snapToGrid/>
                    <w:spacing w:line="240" w:lineRule="auto"/>
                    <w:rPr>
                      <w:rFonts w:ascii="Times New Roman" w:hAnsi="Times New Roman"/>
                    </w:rPr>
                  </w:pPr>
                  <w:r>
                    <w:rPr>
                      <w:rFonts w:ascii="Times New Roman" w:hAnsi="Times New Roman"/>
                    </w:rPr>
                    <w:t>HW09</w:t>
                  </w:r>
                </w:p>
              </w:tc>
              <w:tc>
                <w:tcPr>
                  <w:tcW w:w="573" w:type="pct"/>
                  <w:vAlign w:val="center"/>
                </w:tcPr>
                <w:p w14:paraId="699E7755">
                  <w:pPr>
                    <w:pStyle w:val="69"/>
                    <w:autoSpaceDE/>
                    <w:autoSpaceDN/>
                    <w:adjustRightInd/>
                    <w:snapToGrid/>
                    <w:spacing w:line="240" w:lineRule="auto"/>
                    <w:rPr>
                      <w:rFonts w:ascii="Times New Roman" w:hAnsi="Times New Roman"/>
                    </w:rPr>
                  </w:pPr>
                  <w:r>
                    <w:rPr>
                      <w:rFonts w:ascii="Times New Roman" w:hAnsi="Times New Roman"/>
                    </w:rPr>
                    <w:t>900-006-09</w:t>
                  </w:r>
                </w:p>
              </w:tc>
              <w:tc>
                <w:tcPr>
                  <w:tcW w:w="344" w:type="pct"/>
                  <w:vAlign w:val="center"/>
                </w:tcPr>
                <w:p w14:paraId="28D1AF8E">
                  <w:pPr>
                    <w:pStyle w:val="69"/>
                    <w:autoSpaceDE/>
                    <w:autoSpaceDN/>
                    <w:adjustRightInd/>
                    <w:snapToGrid/>
                    <w:spacing w:line="260" w:lineRule="exact"/>
                    <w:rPr>
                      <w:rFonts w:ascii="Times New Roman" w:hAnsi="Times New Roman"/>
                    </w:rPr>
                  </w:pPr>
                  <w:r>
                    <w:rPr>
                      <w:rFonts w:ascii="Times New Roman" w:hAnsi="Times New Roman"/>
                    </w:rPr>
                    <w:t>100</w:t>
                  </w:r>
                </w:p>
              </w:tc>
              <w:tc>
                <w:tcPr>
                  <w:tcW w:w="516" w:type="pct"/>
                  <w:vAlign w:val="center"/>
                </w:tcPr>
                <w:p w14:paraId="2F947568">
                  <w:pPr>
                    <w:pStyle w:val="69"/>
                    <w:autoSpaceDE/>
                    <w:autoSpaceDN/>
                    <w:adjustRightInd/>
                    <w:snapToGrid/>
                    <w:spacing w:line="240" w:lineRule="auto"/>
                    <w:rPr>
                      <w:rFonts w:ascii="Times New Roman" w:hAnsi="Times New Roman"/>
                    </w:rPr>
                  </w:pPr>
                  <w:r>
                    <w:rPr>
                      <w:rFonts w:ascii="Times New Roman" w:hAnsi="Times New Roman"/>
                    </w:rPr>
                    <w:t>机加工序</w:t>
                  </w:r>
                </w:p>
              </w:tc>
              <w:tc>
                <w:tcPr>
                  <w:tcW w:w="287" w:type="pct"/>
                  <w:vAlign w:val="center"/>
                </w:tcPr>
                <w:p w14:paraId="7CC716C8">
                  <w:pPr>
                    <w:adjustRightInd w:val="0"/>
                    <w:snapToGrid w:val="0"/>
                    <w:jc w:val="center"/>
                    <w:rPr>
                      <w:szCs w:val="21"/>
                    </w:rPr>
                  </w:pPr>
                  <w:r>
                    <w:rPr>
                      <w:szCs w:val="21"/>
                    </w:rPr>
                    <w:t>液态</w:t>
                  </w:r>
                </w:p>
              </w:tc>
              <w:tc>
                <w:tcPr>
                  <w:tcW w:w="459" w:type="pct"/>
                  <w:vAlign w:val="center"/>
                </w:tcPr>
                <w:p w14:paraId="6E19210E">
                  <w:pPr>
                    <w:adjustRightInd w:val="0"/>
                    <w:snapToGrid w:val="0"/>
                    <w:jc w:val="center"/>
                    <w:rPr>
                      <w:szCs w:val="21"/>
                    </w:rPr>
                  </w:pPr>
                  <w:r>
                    <w:rPr>
                      <w:szCs w:val="21"/>
                    </w:rPr>
                    <w:t>有机物</w:t>
                  </w:r>
                </w:p>
              </w:tc>
              <w:tc>
                <w:tcPr>
                  <w:tcW w:w="287" w:type="pct"/>
                  <w:vAlign w:val="center"/>
                </w:tcPr>
                <w:p w14:paraId="6AB3DF79">
                  <w:pPr>
                    <w:adjustRightInd w:val="0"/>
                    <w:snapToGrid w:val="0"/>
                    <w:jc w:val="center"/>
                    <w:rPr>
                      <w:szCs w:val="21"/>
                    </w:rPr>
                  </w:pPr>
                  <w:r>
                    <w:rPr>
                      <w:szCs w:val="21"/>
                    </w:rPr>
                    <w:t>180d</w:t>
                  </w:r>
                </w:p>
              </w:tc>
              <w:tc>
                <w:tcPr>
                  <w:tcW w:w="287" w:type="pct"/>
                  <w:vAlign w:val="center"/>
                </w:tcPr>
                <w:p w14:paraId="04F48B71">
                  <w:pPr>
                    <w:pStyle w:val="69"/>
                    <w:autoSpaceDE/>
                    <w:autoSpaceDN/>
                    <w:adjustRightInd/>
                    <w:snapToGrid/>
                    <w:spacing w:line="240" w:lineRule="auto"/>
                    <w:rPr>
                      <w:rFonts w:ascii="Times New Roman" w:hAnsi="Times New Roman"/>
                    </w:rPr>
                  </w:pPr>
                  <w:r>
                    <w:rPr>
                      <w:rFonts w:ascii="Times New Roman" w:hAnsi="Times New Roman"/>
                    </w:rPr>
                    <w:t>T</w:t>
                  </w:r>
                </w:p>
              </w:tc>
              <w:tc>
                <w:tcPr>
                  <w:tcW w:w="458" w:type="pct"/>
                  <w:vMerge w:val="continue"/>
                  <w:vAlign w:val="center"/>
                </w:tcPr>
                <w:p w14:paraId="659CC385">
                  <w:pPr>
                    <w:adjustRightInd w:val="0"/>
                    <w:snapToGrid w:val="0"/>
                    <w:jc w:val="center"/>
                    <w:rPr>
                      <w:szCs w:val="21"/>
                    </w:rPr>
                  </w:pPr>
                </w:p>
              </w:tc>
            </w:tr>
            <w:tr w14:paraId="640A4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69368EF7">
                  <w:pPr>
                    <w:adjustRightInd w:val="0"/>
                    <w:snapToGrid w:val="0"/>
                    <w:jc w:val="center"/>
                    <w:rPr>
                      <w:szCs w:val="21"/>
                    </w:rPr>
                  </w:pPr>
                  <w:r>
                    <w:rPr>
                      <w:szCs w:val="21"/>
                    </w:rPr>
                    <w:t>6</w:t>
                  </w:r>
                </w:p>
              </w:tc>
              <w:tc>
                <w:tcPr>
                  <w:tcW w:w="860" w:type="pct"/>
                  <w:vAlign w:val="center"/>
                </w:tcPr>
                <w:p w14:paraId="2BFB897B">
                  <w:pPr>
                    <w:pStyle w:val="69"/>
                    <w:autoSpaceDE/>
                    <w:autoSpaceDN/>
                    <w:adjustRightInd/>
                    <w:snapToGrid/>
                    <w:spacing w:line="260" w:lineRule="exact"/>
                    <w:rPr>
                      <w:rFonts w:ascii="Times New Roman" w:hAnsi="Times New Roman"/>
                    </w:rPr>
                  </w:pPr>
                  <w:r>
                    <w:rPr>
                      <w:rFonts w:ascii="Times New Roman" w:hAnsi="Times New Roman"/>
                    </w:rPr>
                    <w:t>废脱模剂</w:t>
                  </w:r>
                </w:p>
              </w:tc>
              <w:tc>
                <w:tcPr>
                  <w:tcW w:w="632" w:type="pct"/>
                  <w:vAlign w:val="center"/>
                </w:tcPr>
                <w:p w14:paraId="51F5B513">
                  <w:pPr>
                    <w:pStyle w:val="69"/>
                    <w:autoSpaceDE/>
                    <w:autoSpaceDN/>
                    <w:adjustRightInd/>
                    <w:snapToGrid/>
                    <w:spacing w:line="240" w:lineRule="auto"/>
                    <w:rPr>
                      <w:rFonts w:ascii="Times New Roman" w:hAnsi="Times New Roman"/>
                    </w:rPr>
                  </w:pPr>
                </w:p>
              </w:tc>
              <w:tc>
                <w:tcPr>
                  <w:tcW w:w="573" w:type="pct"/>
                  <w:vAlign w:val="center"/>
                </w:tcPr>
                <w:p w14:paraId="1D8076CD">
                  <w:pPr>
                    <w:pStyle w:val="69"/>
                    <w:autoSpaceDE/>
                    <w:autoSpaceDN/>
                    <w:adjustRightInd/>
                    <w:snapToGrid/>
                    <w:spacing w:line="240" w:lineRule="auto"/>
                    <w:rPr>
                      <w:rFonts w:ascii="Times New Roman" w:hAnsi="Times New Roman"/>
                    </w:rPr>
                  </w:pPr>
                </w:p>
              </w:tc>
              <w:tc>
                <w:tcPr>
                  <w:tcW w:w="344" w:type="pct"/>
                  <w:vAlign w:val="center"/>
                </w:tcPr>
                <w:p w14:paraId="12946B14">
                  <w:pPr>
                    <w:pStyle w:val="69"/>
                    <w:autoSpaceDE/>
                    <w:autoSpaceDN/>
                    <w:adjustRightInd/>
                    <w:snapToGrid/>
                    <w:spacing w:line="260" w:lineRule="exact"/>
                    <w:rPr>
                      <w:rFonts w:ascii="Times New Roman" w:hAnsi="Times New Roman"/>
                    </w:rPr>
                  </w:pPr>
                  <w:r>
                    <w:rPr>
                      <w:rFonts w:hint="eastAsia" w:ascii="Times New Roman" w:hAnsi="Times New Roman"/>
                    </w:rPr>
                    <w:t>1</w:t>
                  </w:r>
                  <w:r>
                    <w:rPr>
                      <w:rFonts w:ascii="Times New Roman" w:hAnsi="Times New Roman"/>
                    </w:rPr>
                    <w:t>2</w:t>
                  </w:r>
                </w:p>
              </w:tc>
              <w:tc>
                <w:tcPr>
                  <w:tcW w:w="516" w:type="pct"/>
                  <w:vAlign w:val="center"/>
                </w:tcPr>
                <w:p w14:paraId="612B2128">
                  <w:pPr>
                    <w:pStyle w:val="69"/>
                    <w:autoSpaceDE/>
                    <w:autoSpaceDN/>
                    <w:adjustRightInd/>
                    <w:snapToGrid/>
                    <w:spacing w:line="240" w:lineRule="auto"/>
                    <w:rPr>
                      <w:rFonts w:ascii="Times New Roman" w:hAnsi="Times New Roman"/>
                    </w:rPr>
                  </w:pPr>
                  <w:r>
                    <w:rPr>
                      <w:rFonts w:ascii="Times New Roman" w:hAnsi="Times New Roman"/>
                    </w:rPr>
                    <w:t>压铸工序</w:t>
                  </w:r>
                </w:p>
              </w:tc>
              <w:tc>
                <w:tcPr>
                  <w:tcW w:w="287" w:type="pct"/>
                  <w:vAlign w:val="center"/>
                </w:tcPr>
                <w:p w14:paraId="46B6073E">
                  <w:pPr>
                    <w:adjustRightInd w:val="0"/>
                    <w:snapToGrid w:val="0"/>
                    <w:jc w:val="center"/>
                    <w:rPr>
                      <w:szCs w:val="21"/>
                    </w:rPr>
                  </w:pPr>
                  <w:r>
                    <w:rPr>
                      <w:szCs w:val="21"/>
                    </w:rPr>
                    <w:t>液态</w:t>
                  </w:r>
                </w:p>
              </w:tc>
              <w:tc>
                <w:tcPr>
                  <w:tcW w:w="459" w:type="pct"/>
                  <w:vAlign w:val="center"/>
                </w:tcPr>
                <w:p w14:paraId="79921FE8">
                  <w:pPr>
                    <w:adjustRightInd w:val="0"/>
                    <w:snapToGrid w:val="0"/>
                    <w:jc w:val="center"/>
                    <w:rPr>
                      <w:szCs w:val="21"/>
                    </w:rPr>
                  </w:pPr>
                  <w:r>
                    <w:rPr>
                      <w:szCs w:val="21"/>
                    </w:rPr>
                    <w:t>有机物</w:t>
                  </w:r>
                </w:p>
              </w:tc>
              <w:tc>
                <w:tcPr>
                  <w:tcW w:w="287" w:type="pct"/>
                  <w:vAlign w:val="center"/>
                </w:tcPr>
                <w:p w14:paraId="2F79DEC4">
                  <w:pPr>
                    <w:adjustRightInd w:val="0"/>
                    <w:snapToGrid w:val="0"/>
                    <w:jc w:val="center"/>
                    <w:rPr>
                      <w:szCs w:val="21"/>
                    </w:rPr>
                  </w:pPr>
                  <w:r>
                    <w:rPr>
                      <w:rFonts w:hint="eastAsia"/>
                      <w:szCs w:val="21"/>
                    </w:rPr>
                    <w:t>3</w:t>
                  </w:r>
                  <w:r>
                    <w:rPr>
                      <w:szCs w:val="21"/>
                    </w:rPr>
                    <w:t>30d</w:t>
                  </w:r>
                </w:p>
              </w:tc>
              <w:tc>
                <w:tcPr>
                  <w:tcW w:w="287" w:type="pct"/>
                  <w:vAlign w:val="center"/>
                </w:tcPr>
                <w:p w14:paraId="60AD996A">
                  <w:pPr>
                    <w:pStyle w:val="69"/>
                    <w:autoSpaceDE/>
                    <w:autoSpaceDN/>
                    <w:adjustRightInd/>
                    <w:snapToGrid/>
                    <w:spacing w:line="240" w:lineRule="auto"/>
                    <w:rPr>
                      <w:rFonts w:ascii="Times New Roman" w:hAnsi="Times New Roman"/>
                    </w:rPr>
                  </w:pPr>
                  <w:r>
                    <w:rPr>
                      <w:rFonts w:ascii="Times New Roman" w:hAnsi="Times New Roman"/>
                    </w:rPr>
                    <w:t>T</w:t>
                  </w:r>
                </w:p>
              </w:tc>
              <w:tc>
                <w:tcPr>
                  <w:tcW w:w="458" w:type="pct"/>
                  <w:vMerge w:val="continue"/>
                  <w:vAlign w:val="center"/>
                </w:tcPr>
                <w:p w14:paraId="6E1CA360">
                  <w:pPr>
                    <w:adjustRightInd w:val="0"/>
                    <w:snapToGrid w:val="0"/>
                    <w:jc w:val="center"/>
                    <w:rPr>
                      <w:szCs w:val="21"/>
                    </w:rPr>
                  </w:pPr>
                </w:p>
              </w:tc>
            </w:tr>
            <w:tr w14:paraId="0DD61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6C5ACBC2">
                  <w:pPr>
                    <w:adjustRightInd w:val="0"/>
                    <w:snapToGrid w:val="0"/>
                    <w:jc w:val="center"/>
                    <w:rPr>
                      <w:szCs w:val="21"/>
                    </w:rPr>
                  </w:pPr>
                  <w:r>
                    <w:rPr>
                      <w:rFonts w:hint="eastAsia"/>
                      <w:szCs w:val="21"/>
                    </w:rPr>
                    <w:t>7</w:t>
                  </w:r>
                </w:p>
              </w:tc>
              <w:tc>
                <w:tcPr>
                  <w:tcW w:w="860" w:type="pct"/>
                  <w:vAlign w:val="center"/>
                </w:tcPr>
                <w:p w14:paraId="1D9F5AF3">
                  <w:pPr>
                    <w:pStyle w:val="69"/>
                    <w:autoSpaceDE/>
                    <w:autoSpaceDN/>
                    <w:adjustRightInd/>
                    <w:snapToGrid/>
                    <w:spacing w:line="260" w:lineRule="exact"/>
                    <w:rPr>
                      <w:rFonts w:ascii="Times New Roman" w:hAnsi="Times New Roman"/>
                    </w:rPr>
                  </w:pPr>
                  <w:r>
                    <w:rPr>
                      <w:rFonts w:ascii="Times New Roman" w:hAnsi="Times New Roman"/>
                    </w:rPr>
                    <w:t>熔化炉废气处理系统除尘灰</w:t>
                  </w:r>
                </w:p>
              </w:tc>
              <w:tc>
                <w:tcPr>
                  <w:tcW w:w="632" w:type="pct"/>
                  <w:vAlign w:val="center"/>
                </w:tcPr>
                <w:p w14:paraId="515FB35A">
                  <w:pPr>
                    <w:pStyle w:val="69"/>
                    <w:autoSpaceDE/>
                    <w:autoSpaceDN/>
                    <w:adjustRightInd/>
                    <w:snapToGrid/>
                    <w:spacing w:line="240" w:lineRule="auto"/>
                    <w:rPr>
                      <w:rFonts w:ascii="Times New Roman" w:hAnsi="Times New Roman"/>
                    </w:rPr>
                  </w:pPr>
                  <w:r>
                    <w:rPr>
                      <w:rFonts w:ascii="Times New Roman" w:hAnsi="Times New Roman"/>
                    </w:rPr>
                    <w:t>HW48</w:t>
                  </w:r>
                </w:p>
              </w:tc>
              <w:tc>
                <w:tcPr>
                  <w:tcW w:w="573" w:type="pct"/>
                  <w:vAlign w:val="center"/>
                </w:tcPr>
                <w:p w14:paraId="350DF329">
                  <w:pPr>
                    <w:pStyle w:val="69"/>
                    <w:autoSpaceDE/>
                    <w:autoSpaceDN/>
                    <w:adjustRightInd/>
                    <w:snapToGrid/>
                    <w:spacing w:line="240" w:lineRule="auto"/>
                    <w:rPr>
                      <w:rFonts w:ascii="Times New Roman" w:hAnsi="Times New Roman"/>
                    </w:rPr>
                  </w:pPr>
                  <w:r>
                    <w:rPr>
                      <w:rFonts w:ascii="Times New Roman" w:hAnsi="Times New Roman"/>
                    </w:rPr>
                    <w:t>321-034-48</w:t>
                  </w:r>
                </w:p>
              </w:tc>
              <w:tc>
                <w:tcPr>
                  <w:tcW w:w="344" w:type="pct"/>
                  <w:vAlign w:val="center"/>
                </w:tcPr>
                <w:p w14:paraId="20EBC759">
                  <w:pPr>
                    <w:pStyle w:val="69"/>
                    <w:autoSpaceDE/>
                    <w:autoSpaceDN/>
                    <w:adjustRightInd/>
                    <w:snapToGrid/>
                    <w:spacing w:line="260" w:lineRule="exact"/>
                    <w:rPr>
                      <w:rFonts w:ascii="Times New Roman" w:hAnsi="Times New Roman"/>
                    </w:rPr>
                  </w:pPr>
                  <w:r>
                    <w:rPr>
                      <w:rFonts w:ascii="Times New Roman" w:hAnsi="Times New Roman"/>
                    </w:rPr>
                    <w:t>1.06</w:t>
                  </w:r>
                </w:p>
              </w:tc>
              <w:tc>
                <w:tcPr>
                  <w:tcW w:w="516" w:type="pct"/>
                  <w:vAlign w:val="center"/>
                </w:tcPr>
                <w:p w14:paraId="5ABED758">
                  <w:pPr>
                    <w:pStyle w:val="69"/>
                    <w:autoSpaceDE/>
                    <w:autoSpaceDN/>
                    <w:adjustRightInd/>
                    <w:snapToGrid/>
                    <w:spacing w:line="240" w:lineRule="auto"/>
                    <w:rPr>
                      <w:rFonts w:ascii="Times New Roman" w:hAnsi="Times New Roman"/>
                    </w:rPr>
                  </w:pPr>
                  <w:r>
                    <w:rPr>
                      <w:rFonts w:ascii="Times New Roman" w:hAnsi="Times New Roman"/>
                    </w:rPr>
                    <w:t>废气治理</w:t>
                  </w:r>
                </w:p>
              </w:tc>
              <w:tc>
                <w:tcPr>
                  <w:tcW w:w="287" w:type="pct"/>
                  <w:vAlign w:val="center"/>
                </w:tcPr>
                <w:p w14:paraId="642AB680">
                  <w:pPr>
                    <w:jc w:val="center"/>
                    <w:rPr>
                      <w:szCs w:val="21"/>
                    </w:rPr>
                  </w:pPr>
                  <w:r>
                    <w:rPr>
                      <w:szCs w:val="21"/>
                    </w:rPr>
                    <w:t>固态</w:t>
                  </w:r>
                </w:p>
              </w:tc>
              <w:tc>
                <w:tcPr>
                  <w:tcW w:w="459" w:type="pct"/>
                  <w:vAlign w:val="center"/>
                </w:tcPr>
                <w:p w14:paraId="7181FAD9">
                  <w:pPr>
                    <w:adjustRightInd w:val="0"/>
                    <w:snapToGrid w:val="0"/>
                    <w:jc w:val="center"/>
                    <w:rPr>
                      <w:szCs w:val="21"/>
                    </w:rPr>
                  </w:pPr>
                  <w:r>
                    <w:rPr>
                      <w:szCs w:val="21"/>
                    </w:rPr>
                    <w:t>氧化铝</w:t>
                  </w:r>
                </w:p>
              </w:tc>
              <w:tc>
                <w:tcPr>
                  <w:tcW w:w="287" w:type="pct"/>
                  <w:vAlign w:val="center"/>
                </w:tcPr>
                <w:p w14:paraId="5E2E435E">
                  <w:pPr>
                    <w:adjustRightInd w:val="0"/>
                    <w:snapToGrid w:val="0"/>
                    <w:jc w:val="center"/>
                    <w:rPr>
                      <w:szCs w:val="21"/>
                    </w:rPr>
                  </w:pPr>
                  <w:r>
                    <w:rPr>
                      <w:szCs w:val="21"/>
                    </w:rPr>
                    <w:t>1d</w:t>
                  </w:r>
                </w:p>
              </w:tc>
              <w:tc>
                <w:tcPr>
                  <w:tcW w:w="287" w:type="pct"/>
                  <w:vAlign w:val="center"/>
                </w:tcPr>
                <w:p w14:paraId="19280D57">
                  <w:pPr>
                    <w:pStyle w:val="69"/>
                    <w:autoSpaceDE/>
                    <w:autoSpaceDN/>
                    <w:adjustRightInd/>
                    <w:snapToGrid/>
                    <w:spacing w:line="240" w:lineRule="auto"/>
                    <w:rPr>
                      <w:rFonts w:ascii="Times New Roman" w:hAnsi="Times New Roman"/>
                    </w:rPr>
                  </w:pPr>
                  <w:r>
                    <w:rPr>
                      <w:rFonts w:ascii="Times New Roman" w:hAnsi="Times New Roman"/>
                    </w:rPr>
                    <w:t>T，R</w:t>
                  </w:r>
                </w:p>
              </w:tc>
              <w:tc>
                <w:tcPr>
                  <w:tcW w:w="458" w:type="pct"/>
                  <w:vMerge w:val="continue"/>
                  <w:vAlign w:val="center"/>
                </w:tcPr>
                <w:p w14:paraId="69B5E672">
                  <w:pPr>
                    <w:adjustRightInd w:val="0"/>
                    <w:snapToGrid w:val="0"/>
                    <w:jc w:val="center"/>
                    <w:rPr>
                      <w:szCs w:val="21"/>
                    </w:rPr>
                  </w:pPr>
                </w:p>
              </w:tc>
            </w:tr>
            <w:tr w14:paraId="318D9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0BD2FB1A">
                  <w:pPr>
                    <w:adjustRightInd w:val="0"/>
                    <w:snapToGrid w:val="0"/>
                    <w:jc w:val="center"/>
                    <w:rPr>
                      <w:szCs w:val="21"/>
                    </w:rPr>
                  </w:pPr>
                  <w:r>
                    <w:rPr>
                      <w:szCs w:val="21"/>
                    </w:rPr>
                    <w:t>8</w:t>
                  </w:r>
                </w:p>
              </w:tc>
              <w:tc>
                <w:tcPr>
                  <w:tcW w:w="860" w:type="pct"/>
                  <w:vAlign w:val="center"/>
                </w:tcPr>
                <w:p w14:paraId="2B535D5F">
                  <w:pPr>
                    <w:pStyle w:val="69"/>
                    <w:autoSpaceDE/>
                    <w:autoSpaceDN/>
                    <w:adjustRightInd/>
                    <w:snapToGrid/>
                    <w:spacing w:line="260" w:lineRule="exact"/>
                    <w:rPr>
                      <w:rFonts w:ascii="Times New Roman" w:hAnsi="Times New Roman"/>
                    </w:rPr>
                  </w:pPr>
                  <w:r>
                    <w:rPr>
                      <w:rFonts w:ascii="Times New Roman" w:hAnsi="Times New Roman"/>
                    </w:rPr>
                    <w:t>废铝屑</w:t>
                  </w:r>
                </w:p>
              </w:tc>
              <w:tc>
                <w:tcPr>
                  <w:tcW w:w="632" w:type="pct"/>
                  <w:vAlign w:val="center"/>
                </w:tcPr>
                <w:p w14:paraId="13729F9F">
                  <w:pPr>
                    <w:pStyle w:val="69"/>
                    <w:autoSpaceDE/>
                    <w:autoSpaceDN/>
                    <w:adjustRightInd/>
                    <w:snapToGrid/>
                    <w:spacing w:line="260" w:lineRule="exact"/>
                    <w:rPr>
                      <w:rFonts w:ascii="Times New Roman" w:hAnsi="Times New Roman"/>
                    </w:rPr>
                  </w:pPr>
                  <w:r>
                    <w:rPr>
                      <w:rFonts w:ascii="Times New Roman" w:hAnsi="Times New Roman"/>
                    </w:rPr>
                    <w:t>危险废物HW09</w:t>
                  </w:r>
                </w:p>
              </w:tc>
              <w:tc>
                <w:tcPr>
                  <w:tcW w:w="573" w:type="pct"/>
                  <w:vAlign w:val="center"/>
                </w:tcPr>
                <w:p w14:paraId="5A9862F6">
                  <w:pPr>
                    <w:pStyle w:val="69"/>
                    <w:autoSpaceDE/>
                    <w:autoSpaceDN/>
                    <w:adjustRightInd/>
                    <w:snapToGrid/>
                    <w:spacing w:line="240" w:lineRule="auto"/>
                    <w:rPr>
                      <w:rFonts w:ascii="Times New Roman" w:hAnsi="Times New Roman"/>
                    </w:rPr>
                  </w:pPr>
                  <w:r>
                    <w:rPr>
                      <w:rFonts w:ascii="Times New Roman" w:hAnsi="Times New Roman"/>
                    </w:rPr>
                    <w:t>900-006-09</w:t>
                  </w:r>
                </w:p>
              </w:tc>
              <w:tc>
                <w:tcPr>
                  <w:tcW w:w="344" w:type="pct"/>
                  <w:vAlign w:val="center"/>
                </w:tcPr>
                <w:p w14:paraId="4CB678D9">
                  <w:pPr>
                    <w:pStyle w:val="69"/>
                    <w:autoSpaceDE/>
                    <w:autoSpaceDN/>
                    <w:adjustRightInd/>
                    <w:snapToGrid/>
                    <w:spacing w:line="260" w:lineRule="exact"/>
                    <w:rPr>
                      <w:rFonts w:ascii="Times New Roman" w:hAnsi="Times New Roman"/>
                    </w:rPr>
                  </w:pPr>
                  <w:r>
                    <w:rPr>
                      <w:rFonts w:ascii="Times New Roman" w:hAnsi="Times New Roman"/>
                    </w:rPr>
                    <w:t>150.4</w:t>
                  </w:r>
                </w:p>
              </w:tc>
              <w:tc>
                <w:tcPr>
                  <w:tcW w:w="516" w:type="pct"/>
                  <w:vAlign w:val="center"/>
                </w:tcPr>
                <w:p w14:paraId="5BFEEBCB">
                  <w:pPr>
                    <w:pStyle w:val="69"/>
                    <w:autoSpaceDE/>
                    <w:autoSpaceDN/>
                    <w:adjustRightInd/>
                    <w:snapToGrid/>
                    <w:spacing w:line="240" w:lineRule="auto"/>
                    <w:rPr>
                      <w:rFonts w:ascii="Times New Roman" w:hAnsi="Times New Roman"/>
                    </w:rPr>
                  </w:pPr>
                  <w:r>
                    <w:rPr>
                      <w:rFonts w:ascii="Times New Roman" w:hAnsi="Times New Roman"/>
                    </w:rPr>
                    <w:t>机加工序</w:t>
                  </w:r>
                </w:p>
              </w:tc>
              <w:tc>
                <w:tcPr>
                  <w:tcW w:w="287" w:type="pct"/>
                  <w:vAlign w:val="center"/>
                </w:tcPr>
                <w:p w14:paraId="4E704F3B">
                  <w:pPr>
                    <w:jc w:val="center"/>
                    <w:rPr>
                      <w:szCs w:val="21"/>
                    </w:rPr>
                  </w:pPr>
                  <w:r>
                    <w:rPr>
                      <w:szCs w:val="21"/>
                    </w:rPr>
                    <w:t>固态</w:t>
                  </w:r>
                </w:p>
              </w:tc>
              <w:tc>
                <w:tcPr>
                  <w:tcW w:w="459" w:type="pct"/>
                  <w:vAlign w:val="center"/>
                </w:tcPr>
                <w:p w14:paraId="50E8B5DE">
                  <w:pPr>
                    <w:adjustRightInd w:val="0"/>
                    <w:snapToGrid w:val="0"/>
                    <w:jc w:val="center"/>
                    <w:rPr>
                      <w:szCs w:val="21"/>
                    </w:rPr>
                  </w:pPr>
                  <w:r>
                    <w:rPr>
                      <w:szCs w:val="21"/>
                    </w:rPr>
                    <w:t>石油类等</w:t>
                  </w:r>
                </w:p>
              </w:tc>
              <w:tc>
                <w:tcPr>
                  <w:tcW w:w="287" w:type="pct"/>
                  <w:vAlign w:val="center"/>
                </w:tcPr>
                <w:p w14:paraId="04B4580C">
                  <w:pPr>
                    <w:adjustRightInd w:val="0"/>
                    <w:snapToGrid w:val="0"/>
                    <w:jc w:val="center"/>
                    <w:rPr>
                      <w:szCs w:val="21"/>
                    </w:rPr>
                  </w:pPr>
                  <w:r>
                    <w:rPr>
                      <w:szCs w:val="21"/>
                    </w:rPr>
                    <w:t>1d</w:t>
                  </w:r>
                </w:p>
              </w:tc>
              <w:tc>
                <w:tcPr>
                  <w:tcW w:w="287" w:type="pct"/>
                  <w:vAlign w:val="center"/>
                </w:tcPr>
                <w:p w14:paraId="2E5C43B4">
                  <w:pPr>
                    <w:widowControl/>
                    <w:jc w:val="center"/>
                    <w:rPr>
                      <w:szCs w:val="21"/>
                    </w:rPr>
                  </w:pPr>
                  <w:r>
                    <w:rPr>
                      <w:rStyle w:val="164"/>
                      <w:rFonts w:hint="default" w:ascii="Times New Roman" w:hAnsi="Times New Roman" w:eastAsia="宋体"/>
                      <w:color w:val="auto"/>
                      <w:sz w:val="21"/>
                      <w:szCs w:val="21"/>
                    </w:rPr>
                    <w:t>T</w:t>
                  </w:r>
                </w:p>
              </w:tc>
              <w:tc>
                <w:tcPr>
                  <w:tcW w:w="458" w:type="pct"/>
                  <w:vMerge w:val="continue"/>
                  <w:vAlign w:val="center"/>
                </w:tcPr>
                <w:p w14:paraId="20DF582C">
                  <w:pPr>
                    <w:adjustRightInd w:val="0"/>
                    <w:snapToGrid w:val="0"/>
                    <w:jc w:val="center"/>
                    <w:rPr>
                      <w:szCs w:val="21"/>
                    </w:rPr>
                  </w:pPr>
                </w:p>
              </w:tc>
            </w:tr>
            <w:tr w14:paraId="70379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16078946">
                  <w:pPr>
                    <w:adjustRightInd w:val="0"/>
                    <w:snapToGrid w:val="0"/>
                    <w:jc w:val="center"/>
                    <w:rPr>
                      <w:szCs w:val="21"/>
                    </w:rPr>
                  </w:pPr>
                  <w:r>
                    <w:rPr>
                      <w:rFonts w:hint="eastAsia"/>
                      <w:szCs w:val="21"/>
                    </w:rPr>
                    <w:t>9</w:t>
                  </w:r>
                </w:p>
              </w:tc>
              <w:tc>
                <w:tcPr>
                  <w:tcW w:w="860" w:type="pct"/>
                  <w:vAlign w:val="center"/>
                </w:tcPr>
                <w:p w14:paraId="09ACC2C9">
                  <w:pPr>
                    <w:pStyle w:val="69"/>
                    <w:autoSpaceDE/>
                    <w:autoSpaceDN/>
                    <w:adjustRightInd/>
                    <w:snapToGrid/>
                    <w:spacing w:line="260" w:lineRule="exact"/>
                    <w:rPr>
                      <w:rFonts w:ascii="Times New Roman" w:hAnsi="Times New Roman"/>
                    </w:rPr>
                  </w:pPr>
                  <w:r>
                    <w:rPr>
                      <w:rFonts w:ascii="Times New Roman" w:hAnsi="Times New Roman"/>
                    </w:rPr>
                    <w:t>生产废水预处理废油和污泥</w:t>
                  </w:r>
                </w:p>
              </w:tc>
              <w:tc>
                <w:tcPr>
                  <w:tcW w:w="632" w:type="pct"/>
                  <w:vAlign w:val="center"/>
                </w:tcPr>
                <w:p w14:paraId="221C26C9">
                  <w:pPr>
                    <w:pStyle w:val="69"/>
                    <w:autoSpaceDE/>
                    <w:autoSpaceDN/>
                    <w:adjustRightInd/>
                    <w:snapToGrid/>
                    <w:spacing w:line="240" w:lineRule="auto"/>
                    <w:rPr>
                      <w:rFonts w:ascii="Times New Roman" w:hAnsi="Times New Roman"/>
                    </w:rPr>
                  </w:pPr>
                  <w:r>
                    <w:rPr>
                      <w:rFonts w:ascii="Times New Roman" w:hAnsi="Times New Roman"/>
                    </w:rPr>
                    <w:t>HW08</w:t>
                  </w:r>
                </w:p>
              </w:tc>
              <w:tc>
                <w:tcPr>
                  <w:tcW w:w="573" w:type="pct"/>
                  <w:vAlign w:val="center"/>
                </w:tcPr>
                <w:p w14:paraId="034E3CD6">
                  <w:pPr>
                    <w:pStyle w:val="69"/>
                    <w:autoSpaceDE/>
                    <w:autoSpaceDN/>
                    <w:adjustRightInd/>
                    <w:snapToGrid/>
                    <w:spacing w:line="240" w:lineRule="auto"/>
                    <w:rPr>
                      <w:rFonts w:ascii="Times New Roman" w:hAnsi="Times New Roman"/>
                    </w:rPr>
                  </w:pPr>
                  <w:r>
                    <w:rPr>
                      <w:rFonts w:ascii="Times New Roman" w:hAnsi="Times New Roman"/>
                    </w:rPr>
                    <w:t>900-210-08</w:t>
                  </w:r>
                </w:p>
              </w:tc>
              <w:tc>
                <w:tcPr>
                  <w:tcW w:w="344" w:type="pct"/>
                  <w:vAlign w:val="center"/>
                </w:tcPr>
                <w:p w14:paraId="520295AD">
                  <w:pPr>
                    <w:pStyle w:val="69"/>
                    <w:autoSpaceDE/>
                    <w:autoSpaceDN/>
                    <w:adjustRightInd/>
                    <w:snapToGrid/>
                    <w:spacing w:line="260" w:lineRule="exact"/>
                    <w:rPr>
                      <w:rFonts w:ascii="Times New Roman" w:hAnsi="Times New Roman"/>
                    </w:rPr>
                  </w:pPr>
                  <w:r>
                    <w:rPr>
                      <w:rFonts w:ascii="Times New Roman" w:hAnsi="Times New Roman"/>
                    </w:rPr>
                    <w:t>2.23</w:t>
                  </w:r>
                </w:p>
              </w:tc>
              <w:tc>
                <w:tcPr>
                  <w:tcW w:w="516" w:type="pct"/>
                  <w:vAlign w:val="center"/>
                </w:tcPr>
                <w:p w14:paraId="67977854">
                  <w:pPr>
                    <w:pStyle w:val="69"/>
                    <w:autoSpaceDE/>
                    <w:autoSpaceDN/>
                    <w:adjustRightInd/>
                    <w:snapToGrid/>
                    <w:spacing w:line="240" w:lineRule="auto"/>
                    <w:rPr>
                      <w:rFonts w:ascii="Times New Roman" w:hAnsi="Times New Roman"/>
                    </w:rPr>
                  </w:pPr>
                  <w:r>
                    <w:rPr>
                      <w:rFonts w:ascii="Times New Roman" w:hAnsi="Times New Roman"/>
                    </w:rPr>
                    <w:t>废水治理</w:t>
                  </w:r>
                </w:p>
              </w:tc>
              <w:tc>
                <w:tcPr>
                  <w:tcW w:w="287" w:type="pct"/>
                  <w:vAlign w:val="center"/>
                </w:tcPr>
                <w:p w14:paraId="03B4062F">
                  <w:pPr>
                    <w:jc w:val="center"/>
                    <w:rPr>
                      <w:szCs w:val="21"/>
                    </w:rPr>
                  </w:pPr>
                  <w:r>
                    <w:rPr>
                      <w:szCs w:val="21"/>
                    </w:rPr>
                    <w:t>固态</w:t>
                  </w:r>
                </w:p>
              </w:tc>
              <w:tc>
                <w:tcPr>
                  <w:tcW w:w="459" w:type="pct"/>
                  <w:vAlign w:val="center"/>
                </w:tcPr>
                <w:p w14:paraId="511A88A9">
                  <w:pPr>
                    <w:adjustRightInd w:val="0"/>
                    <w:snapToGrid w:val="0"/>
                    <w:jc w:val="center"/>
                    <w:rPr>
                      <w:szCs w:val="21"/>
                    </w:rPr>
                  </w:pPr>
                  <w:r>
                    <w:rPr>
                      <w:szCs w:val="21"/>
                    </w:rPr>
                    <w:t>石油类等</w:t>
                  </w:r>
                </w:p>
              </w:tc>
              <w:tc>
                <w:tcPr>
                  <w:tcW w:w="287" w:type="pct"/>
                  <w:vAlign w:val="center"/>
                </w:tcPr>
                <w:p w14:paraId="19C5A841">
                  <w:pPr>
                    <w:adjustRightInd w:val="0"/>
                    <w:snapToGrid w:val="0"/>
                    <w:jc w:val="center"/>
                    <w:rPr>
                      <w:szCs w:val="21"/>
                    </w:rPr>
                  </w:pPr>
                  <w:r>
                    <w:rPr>
                      <w:szCs w:val="21"/>
                    </w:rPr>
                    <w:t>1d</w:t>
                  </w:r>
                </w:p>
              </w:tc>
              <w:tc>
                <w:tcPr>
                  <w:tcW w:w="287" w:type="pct"/>
                  <w:vAlign w:val="center"/>
                </w:tcPr>
                <w:p w14:paraId="14299A9E">
                  <w:pPr>
                    <w:pStyle w:val="69"/>
                    <w:autoSpaceDE/>
                    <w:autoSpaceDN/>
                    <w:adjustRightInd/>
                    <w:snapToGrid/>
                    <w:spacing w:line="240" w:lineRule="auto"/>
                    <w:rPr>
                      <w:rFonts w:ascii="Times New Roman" w:hAnsi="Times New Roman"/>
                    </w:rPr>
                  </w:pPr>
                  <w:r>
                    <w:rPr>
                      <w:rFonts w:ascii="Times New Roman" w:hAnsi="Times New Roman"/>
                    </w:rPr>
                    <w:t>T，I</w:t>
                  </w:r>
                </w:p>
              </w:tc>
              <w:tc>
                <w:tcPr>
                  <w:tcW w:w="458" w:type="pct"/>
                  <w:vMerge w:val="continue"/>
                  <w:vAlign w:val="center"/>
                </w:tcPr>
                <w:p w14:paraId="7590FAD5">
                  <w:pPr>
                    <w:adjustRightInd w:val="0"/>
                    <w:snapToGrid w:val="0"/>
                    <w:jc w:val="center"/>
                    <w:rPr>
                      <w:szCs w:val="21"/>
                    </w:rPr>
                  </w:pPr>
                </w:p>
              </w:tc>
            </w:tr>
            <w:tr w14:paraId="6073F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7530787E">
                  <w:pPr>
                    <w:adjustRightInd w:val="0"/>
                    <w:snapToGrid w:val="0"/>
                    <w:jc w:val="center"/>
                    <w:rPr>
                      <w:szCs w:val="21"/>
                    </w:rPr>
                  </w:pPr>
                  <w:r>
                    <w:rPr>
                      <w:rFonts w:hint="eastAsia"/>
                      <w:szCs w:val="21"/>
                    </w:rPr>
                    <w:t>1</w:t>
                  </w:r>
                  <w:r>
                    <w:rPr>
                      <w:szCs w:val="21"/>
                    </w:rPr>
                    <w:t>0</w:t>
                  </w:r>
                </w:p>
              </w:tc>
              <w:tc>
                <w:tcPr>
                  <w:tcW w:w="860" w:type="pct"/>
                  <w:vAlign w:val="center"/>
                </w:tcPr>
                <w:p w14:paraId="068718C6">
                  <w:pPr>
                    <w:pStyle w:val="69"/>
                    <w:autoSpaceDE/>
                    <w:autoSpaceDN/>
                    <w:adjustRightInd/>
                    <w:snapToGrid/>
                    <w:spacing w:line="260" w:lineRule="exact"/>
                    <w:rPr>
                      <w:rFonts w:ascii="Times New Roman" w:hAnsi="Times New Roman"/>
                    </w:rPr>
                  </w:pPr>
                  <w:r>
                    <w:rPr>
                      <w:rFonts w:ascii="Times New Roman" w:hAnsi="Times New Roman"/>
                    </w:rPr>
                    <w:t>废活性炭</w:t>
                  </w:r>
                </w:p>
              </w:tc>
              <w:tc>
                <w:tcPr>
                  <w:tcW w:w="632" w:type="pct"/>
                  <w:vAlign w:val="center"/>
                </w:tcPr>
                <w:p w14:paraId="3A3E68C8">
                  <w:pPr>
                    <w:pStyle w:val="69"/>
                    <w:autoSpaceDE/>
                    <w:autoSpaceDN/>
                    <w:adjustRightInd/>
                    <w:snapToGrid/>
                    <w:spacing w:line="240" w:lineRule="auto"/>
                    <w:rPr>
                      <w:rFonts w:ascii="Times New Roman" w:hAnsi="Times New Roman"/>
                    </w:rPr>
                  </w:pPr>
                  <w:r>
                    <w:rPr>
                      <w:rFonts w:ascii="Times New Roman" w:hAnsi="Times New Roman"/>
                    </w:rPr>
                    <w:t>HW49</w:t>
                  </w:r>
                </w:p>
              </w:tc>
              <w:tc>
                <w:tcPr>
                  <w:tcW w:w="573" w:type="pct"/>
                  <w:vAlign w:val="center"/>
                </w:tcPr>
                <w:p w14:paraId="393EDE69">
                  <w:pPr>
                    <w:pStyle w:val="69"/>
                    <w:autoSpaceDE/>
                    <w:autoSpaceDN/>
                    <w:adjustRightInd/>
                    <w:snapToGrid/>
                    <w:spacing w:line="240" w:lineRule="auto"/>
                    <w:rPr>
                      <w:rFonts w:ascii="Times New Roman" w:hAnsi="Times New Roman"/>
                    </w:rPr>
                  </w:pPr>
                  <w:r>
                    <w:rPr>
                      <w:rFonts w:ascii="Times New Roman" w:hAnsi="Times New Roman"/>
                    </w:rPr>
                    <w:t>900-039-49</w:t>
                  </w:r>
                </w:p>
              </w:tc>
              <w:tc>
                <w:tcPr>
                  <w:tcW w:w="344" w:type="pct"/>
                  <w:vAlign w:val="center"/>
                </w:tcPr>
                <w:p w14:paraId="49F2466A">
                  <w:pPr>
                    <w:pStyle w:val="69"/>
                    <w:autoSpaceDE/>
                    <w:autoSpaceDN/>
                    <w:adjustRightInd/>
                    <w:snapToGrid/>
                    <w:spacing w:line="260" w:lineRule="exact"/>
                    <w:rPr>
                      <w:rFonts w:ascii="Times New Roman" w:hAnsi="Times New Roman"/>
                    </w:rPr>
                  </w:pPr>
                  <w:r>
                    <w:rPr>
                      <w:rFonts w:ascii="Times New Roman" w:hAnsi="Times New Roman"/>
                    </w:rPr>
                    <w:t>1.86</w:t>
                  </w:r>
                </w:p>
              </w:tc>
              <w:tc>
                <w:tcPr>
                  <w:tcW w:w="516" w:type="pct"/>
                  <w:vAlign w:val="center"/>
                </w:tcPr>
                <w:p w14:paraId="76E9D65E">
                  <w:pPr>
                    <w:pStyle w:val="69"/>
                    <w:autoSpaceDE/>
                    <w:autoSpaceDN/>
                    <w:adjustRightInd/>
                    <w:snapToGrid/>
                    <w:spacing w:line="240" w:lineRule="auto"/>
                    <w:rPr>
                      <w:rFonts w:ascii="Times New Roman" w:hAnsi="Times New Roman"/>
                    </w:rPr>
                  </w:pPr>
                  <w:r>
                    <w:rPr>
                      <w:rFonts w:ascii="Times New Roman" w:hAnsi="Times New Roman"/>
                    </w:rPr>
                    <w:t>废气治理</w:t>
                  </w:r>
                </w:p>
              </w:tc>
              <w:tc>
                <w:tcPr>
                  <w:tcW w:w="287" w:type="pct"/>
                  <w:vAlign w:val="center"/>
                </w:tcPr>
                <w:p w14:paraId="3E37077A">
                  <w:pPr>
                    <w:jc w:val="center"/>
                    <w:rPr>
                      <w:szCs w:val="21"/>
                    </w:rPr>
                  </w:pPr>
                  <w:r>
                    <w:rPr>
                      <w:szCs w:val="21"/>
                    </w:rPr>
                    <w:t>固态</w:t>
                  </w:r>
                </w:p>
              </w:tc>
              <w:tc>
                <w:tcPr>
                  <w:tcW w:w="459" w:type="pct"/>
                  <w:vAlign w:val="center"/>
                </w:tcPr>
                <w:p w14:paraId="1A660A90">
                  <w:pPr>
                    <w:adjustRightInd w:val="0"/>
                    <w:snapToGrid w:val="0"/>
                    <w:jc w:val="center"/>
                    <w:rPr>
                      <w:szCs w:val="21"/>
                    </w:rPr>
                  </w:pPr>
                  <w:r>
                    <w:rPr>
                      <w:szCs w:val="21"/>
                    </w:rPr>
                    <w:t>活性炭</w:t>
                  </w:r>
                </w:p>
              </w:tc>
              <w:tc>
                <w:tcPr>
                  <w:tcW w:w="287" w:type="pct"/>
                  <w:vAlign w:val="center"/>
                </w:tcPr>
                <w:p w14:paraId="13A948FC">
                  <w:pPr>
                    <w:adjustRightInd w:val="0"/>
                    <w:snapToGrid w:val="0"/>
                    <w:jc w:val="center"/>
                    <w:rPr>
                      <w:szCs w:val="21"/>
                    </w:rPr>
                  </w:pPr>
                  <w:r>
                    <w:rPr>
                      <w:szCs w:val="21"/>
                    </w:rPr>
                    <w:t>120d</w:t>
                  </w:r>
                </w:p>
              </w:tc>
              <w:tc>
                <w:tcPr>
                  <w:tcW w:w="287" w:type="pct"/>
                  <w:vAlign w:val="center"/>
                </w:tcPr>
                <w:p w14:paraId="31C9B9B5">
                  <w:pPr>
                    <w:pStyle w:val="69"/>
                    <w:autoSpaceDE/>
                    <w:autoSpaceDN/>
                    <w:adjustRightInd/>
                    <w:snapToGrid/>
                    <w:spacing w:line="240" w:lineRule="auto"/>
                    <w:rPr>
                      <w:rFonts w:ascii="Times New Roman" w:hAnsi="Times New Roman"/>
                    </w:rPr>
                  </w:pPr>
                  <w:r>
                    <w:rPr>
                      <w:rFonts w:ascii="Times New Roman" w:hAnsi="Times New Roman"/>
                    </w:rPr>
                    <w:t>T</w:t>
                  </w:r>
                </w:p>
              </w:tc>
              <w:tc>
                <w:tcPr>
                  <w:tcW w:w="458" w:type="pct"/>
                  <w:vMerge w:val="continue"/>
                  <w:vAlign w:val="center"/>
                </w:tcPr>
                <w:p w14:paraId="5D03148A">
                  <w:pPr>
                    <w:adjustRightInd w:val="0"/>
                    <w:snapToGrid w:val="0"/>
                    <w:jc w:val="center"/>
                    <w:rPr>
                      <w:szCs w:val="21"/>
                    </w:rPr>
                  </w:pPr>
                </w:p>
              </w:tc>
            </w:tr>
            <w:tr w14:paraId="47632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02ABA516">
                  <w:pPr>
                    <w:adjustRightInd w:val="0"/>
                    <w:snapToGrid w:val="0"/>
                    <w:jc w:val="center"/>
                    <w:rPr>
                      <w:szCs w:val="21"/>
                    </w:rPr>
                  </w:pPr>
                  <w:r>
                    <w:rPr>
                      <w:rFonts w:hint="eastAsia"/>
                      <w:szCs w:val="21"/>
                    </w:rPr>
                    <w:t>1</w:t>
                  </w:r>
                  <w:r>
                    <w:rPr>
                      <w:szCs w:val="21"/>
                    </w:rPr>
                    <w:t>1</w:t>
                  </w:r>
                </w:p>
              </w:tc>
              <w:tc>
                <w:tcPr>
                  <w:tcW w:w="860" w:type="pct"/>
                  <w:vAlign w:val="center"/>
                </w:tcPr>
                <w:p w14:paraId="4CC776A0">
                  <w:pPr>
                    <w:pStyle w:val="69"/>
                    <w:autoSpaceDE/>
                    <w:autoSpaceDN/>
                    <w:adjustRightInd/>
                    <w:snapToGrid/>
                    <w:spacing w:line="260" w:lineRule="exact"/>
                    <w:rPr>
                      <w:rFonts w:ascii="Times New Roman" w:hAnsi="Times New Roman"/>
                    </w:rPr>
                  </w:pPr>
                  <w:r>
                    <w:rPr>
                      <w:rFonts w:ascii="Times New Roman" w:hAnsi="Times New Roman"/>
                    </w:rPr>
                    <w:t>废紫外灯管</w:t>
                  </w:r>
                </w:p>
              </w:tc>
              <w:tc>
                <w:tcPr>
                  <w:tcW w:w="632" w:type="pct"/>
                  <w:vAlign w:val="center"/>
                </w:tcPr>
                <w:p w14:paraId="0880680B">
                  <w:pPr>
                    <w:pStyle w:val="69"/>
                    <w:autoSpaceDE/>
                    <w:autoSpaceDN/>
                    <w:adjustRightInd/>
                    <w:snapToGrid/>
                    <w:spacing w:line="240" w:lineRule="auto"/>
                    <w:rPr>
                      <w:rFonts w:ascii="Times New Roman" w:hAnsi="Times New Roman"/>
                    </w:rPr>
                  </w:pPr>
                  <w:r>
                    <w:rPr>
                      <w:rFonts w:ascii="Times New Roman" w:hAnsi="Times New Roman"/>
                    </w:rPr>
                    <w:t>HW29</w:t>
                  </w:r>
                </w:p>
              </w:tc>
              <w:tc>
                <w:tcPr>
                  <w:tcW w:w="573" w:type="pct"/>
                  <w:vAlign w:val="center"/>
                </w:tcPr>
                <w:p w14:paraId="3EF9C5D8">
                  <w:pPr>
                    <w:pStyle w:val="69"/>
                    <w:autoSpaceDE/>
                    <w:autoSpaceDN/>
                    <w:adjustRightInd/>
                    <w:snapToGrid/>
                    <w:spacing w:line="240" w:lineRule="auto"/>
                    <w:rPr>
                      <w:rFonts w:ascii="Times New Roman" w:hAnsi="Times New Roman"/>
                    </w:rPr>
                  </w:pPr>
                  <w:r>
                    <w:rPr>
                      <w:rFonts w:ascii="Times New Roman" w:hAnsi="Times New Roman"/>
                    </w:rPr>
                    <w:t>900-023-29</w:t>
                  </w:r>
                </w:p>
              </w:tc>
              <w:tc>
                <w:tcPr>
                  <w:tcW w:w="344" w:type="pct"/>
                  <w:vAlign w:val="center"/>
                </w:tcPr>
                <w:p w14:paraId="7FF9A9CC">
                  <w:pPr>
                    <w:pStyle w:val="69"/>
                    <w:autoSpaceDE/>
                    <w:autoSpaceDN/>
                    <w:adjustRightInd/>
                    <w:snapToGrid/>
                    <w:spacing w:line="260" w:lineRule="exact"/>
                    <w:rPr>
                      <w:rFonts w:ascii="Times New Roman" w:hAnsi="Times New Roman"/>
                    </w:rPr>
                  </w:pPr>
                  <w:r>
                    <w:rPr>
                      <w:rFonts w:ascii="Times New Roman" w:hAnsi="Times New Roman"/>
                    </w:rPr>
                    <w:t>0.02</w:t>
                  </w:r>
                </w:p>
              </w:tc>
              <w:tc>
                <w:tcPr>
                  <w:tcW w:w="516" w:type="pct"/>
                  <w:vAlign w:val="center"/>
                </w:tcPr>
                <w:p w14:paraId="062BF6FC">
                  <w:pPr>
                    <w:pStyle w:val="69"/>
                    <w:autoSpaceDE/>
                    <w:autoSpaceDN/>
                    <w:adjustRightInd/>
                    <w:snapToGrid/>
                    <w:spacing w:line="240" w:lineRule="auto"/>
                    <w:rPr>
                      <w:rFonts w:ascii="Times New Roman" w:hAnsi="Times New Roman"/>
                    </w:rPr>
                  </w:pPr>
                  <w:r>
                    <w:rPr>
                      <w:rFonts w:ascii="Times New Roman" w:hAnsi="Times New Roman"/>
                    </w:rPr>
                    <w:t>废气治理</w:t>
                  </w:r>
                </w:p>
              </w:tc>
              <w:tc>
                <w:tcPr>
                  <w:tcW w:w="287" w:type="pct"/>
                  <w:vAlign w:val="center"/>
                </w:tcPr>
                <w:p w14:paraId="45FEB353">
                  <w:pPr>
                    <w:jc w:val="center"/>
                    <w:rPr>
                      <w:szCs w:val="21"/>
                    </w:rPr>
                  </w:pPr>
                  <w:r>
                    <w:rPr>
                      <w:szCs w:val="21"/>
                    </w:rPr>
                    <w:t>固态</w:t>
                  </w:r>
                </w:p>
              </w:tc>
              <w:tc>
                <w:tcPr>
                  <w:tcW w:w="459" w:type="pct"/>
                  <w:vAlign w:val="center"/>
                </w:tcPr>
                <w:p w14:paraId="79BAD4C8">
                  <w:pPr>
                    <w:adjustRightInd w:val="0"/>
                    <w:snapToGrid w:val="0"/>
                    <w:jc w:val="center"/>
                    <w:rPr>
                      <w:szCs w:val="21"/>
                    </w:rPr>
                  </w:pPr>
                  <w:r>
                    <w:rPr>
                      <w:szCs w:val="21"/>
                    </w:rPr>
                    <w:t>含汞</w:t>
                  </w:r>
                </w:p>
              </w:tc>
              <w:tc>
                <w:tcPr>
                  <w:tcW w:w="287" w:type="pct"/>
                  <w:vAlign w:val="center"/>
                </w:tcPr>
                <w:p w14:paraId="41E75856">
                  <w:pPr>
                    <w:adjustRightInd w:val="0"/>
                    <w:snapToGrid w:val="0"/>
                    <w:jc w:val="center"/>
                    <w:rPr>
                      <w:szCs w:val="21"/>
                    </w:rPr>
                  </w:pPr>
                  <w:r>
                    <w:rPr>
                      <w:szCs w:val="21"/>
                    </w:rPr>
                    <w:t>30d</w:t>
                  </w:r>
                </w:p>
              </w:tc>
              <w:tc>
                <w:tcPr>
                  <w:tcW w:w="287" w:type="pct"/>
                  <w:vAlign w:val="center"/>
                </w:tcPr>
                <w:p w14:paraId="0BD2C09F">
                  <w:pPr>
                    <w:pStyle w:val="69"/>
                    <w:autoSpaceDE/>
                    <w:autoSpaceDN/>
                    <w:adjustRightInd/>
                    <w:snapToGrid/>
                    <w:spacing w:line="240" w:lineRule="auto"/>
                    <w:rPr>
                      <w:rFonts w:ascii="Times New Roman" w:hAnsi="Times New Roman"/>
                    </w:rPr>
                  </w:pPr>
                  <w:r>
                    <w:rPr>
                      <w:rFonts w:ascii="Times New Roman" w:hAnsi="Times New Roman"/>
                    </w:rPr>
                    <w:t>T</w:t>
                  </w:r>
                </w:p>
              </w:tc>
              <w:tc>
                <w:tcPr>
                  <w:tcW w:w="458" w:type="pct"/>
                  <w:vMerge w:val="continue"/>
                  <w:vAlign w:val="center"/>
                </w:tcPr>
                <w:p w14:paraId="1224724C">
                  <w:pPr>
                    <w:adjustRightInd w:val="0"/>
                    <w:snapToGrid w:val="0"/>
                    <w:jc w:val="center"/>
                    <w:rPr>
                      <w:szCs w:val="21"/>
                    </w:rPr>
                  </w:pPr>
                </w:p>
              </w:tc>
            </w:tr>
            <w:tr w14:paraId="6488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97" w:type="pct"/>
                  <w:vAlign w:val="center"/>
                </w:tcPr>
                <w:p w14:paraId="5D4F2A0B">
                  <w:pPr>
                    <w:adjustRightInd w:val="0"/>
                    <w:snapToGrid w:val="0"/>
                    <w:jc w:val="center"/>
                    <w:rPr>
                      <w:szCs w:val="21"/>
                    </w:rPr>
                  </w:pPr>
                  <w:r>
                    <w:rPr>
                      <w:rFonts w:hint="eastAsia"/>
                      <w:szCs w:val="21"/>
                    </w:rPr>
                    <w:t>1</w:t>
                  </w:r>
                  <w:r>
                    <w:rPr>
                      <w:szCs w:val="21"/>
                    </w:rPr>
                    <w:t>2</w:t>
                  </w:r>
                </w:p>
              </w:tc>
              <w:tc>
                <w:tcPr>
                  <w:tcW w:w="860" w:type="pct"/>
                  <w:vAlign w:val="center"/>
                </w:tcPr>
                <w:p w14:paraId="6596B66B">
                  <w:pPr>
                    <w:pStyle w:val="69"/>
                    <w:autoSpaceDE/>
                    <w:autoSpaceDN/>
                    <w:adjustRightInd/>
                    <w:snapToGrid/>
                    <w:spacing w:line="260" w:lineRule="exact"/>
                    <w:rPr>
                      <w:rFonts w:ascii="Times New Roman" w:hAnsi="Times New Roman"/>
                    </w:rPr>
                  </w:pPr>
                  <w:r>
                    <w:rPr>
                      <w:rFonts w:ascii="Times New Roman" w:hAnsi="Times New Roman"/>
                    </w:rPr>
                    <w:t>含油废棉纱及手套</w:t>
                  </w:r>
                </w:p>
              </w:tc>
              <w:tc>
                <w:tcPr>
                  <w:tcW w:w="632" w:type="pct"/>
                  <w:vAlign w:val="center"/>
                </w:tcPr>
                <w:p w14:paraId="5EB2BEC3">
                  <w:pPr>
                    <w:pStyle w:val="69"/>
                    <w:autoSpaceDE/>
                    <w:autoSpaceDN/>
                    <w:adjustRightInd/>
                    <w:snapToGrid/>
                    <w:spacing w:line="240" w:lineRule="auto"/>
                    <w:rPr>
                      <w:rFonts w:ascii="Times New Roman" w:hAnsi="Times New Roman"/>
                    </w:rPr>
                  </w:pPr>
                  <w:r>
                    <w:rPr>
                      <w:rFonts w:ascii="Times New Roman" w:hAnsi="Times New Roman"/>
                    </w:rPr>
                    <w:t>HW49</w:t>
                  </w:r>
                </w:p>
              </w:tc>
              <w:tc>
                <w:tcPr>
                  <w:tcW w:w="573" w:type="pct"/>
                  <w:vAlign w:val="center"/>
                </w:tcPr>
                <w:p w14:paraId="06351A06">
                  <w:pPr>
                    <w:pStyle w:val="69"/>
                    <w:autoSpaceDE/>
                    <w:autoSpaceDN/>
                    <w:adjustRightInd/>
                    <w:snapToGrid/>
                    <w:spacing w:line="240" w:lineRule="auto"/>
                    <w:rPr>
                      <w:rFonts w:ascii="Times New Roman" w:hAnsi="Times New Roman"/>
                    </w:rPr>
                  </w:pPr>
                  <w:r>
                    <w:rPr>
                      <w:rFonts w:ascii="Times New Roman" w:hAnsi="Times New Roman"/>
                    </w:rPr>
                    <w:t>900-041-49</w:t>
                  </w:r>
                </w:p>
              </w:tc>
              <w:tc>
                <w:tcPr>
                  <w:tcW w:w="344" w:type="pct"/>
                  <w:vAlign w:val="center"/>
                </w:tcPr>
                <w:p w14:paraId="1EFA25E3">
                  <w:pPr>
                    <w:pStyle w:val="69"/>
                    <w:autoSpaceDE/>
                    <w:autoSpaceDN/>
                    <w:adjustRightInd/>
                    <w:snapToGrid/>
                    <w:spacing w:line="260" w:lineRule="exact"/>
                    <w:rPr>
                      <w:rFonts w:ascii="Times New Roman" w:hAnsi="Times New Roman"/>
                    </w:rPr>
                  </w:pPr>
                  <w:r>
                    <w:rPr>
                      <w:rFonts w:ascii="Times New Roman" w:hAnsi="Times New Roman"/>
                    </w:rPr>
                    <w:t>5</w:t>
                  </w:r>
                </w:p>
              </w:tc>
              <w:tc>
                <w:tcPr>
                  <w:tcW w:w="516" w:type="pct"/>
                  <w:vAlign w:val="center"/>
                </w:tcPr>
                <w:p w14:paraId="741FEED8">
                  <w:pPr>
                    <w:pStyle w:val="69"/>
                    <w:autoSpaceDE/>
                    <w:autoSpaceDN/>
                    <w:adjustRightInd/>
                    <w:snapToGrid/>
                    <w:spacing w:line="240" w:lineRule="auto"/>
                    <w:rPr>
                      <w:rFonts w:ascii="Times New Roman" w:hAnsi="Times New Roman"/>
                    </w:rPr>
                  </w:pPr>
                  <w:r>
                    <w:rPr>
                      <w:rFonts w:ascii="Times New Roman" w:hAnsi="Times New Roman"/>
                    </w:rPr>
                    <w:t>职工劳保</w:t>
                  </w:r>
                </w:p>
              </w:tc>
              <w:tc>
                <w:tcPr>
                  <w:tcW w:w="287" w:type="pct"/>
                  <w:vAlign w:val="center"/>
                </w:tcPr>
                <w:p w14:paraId="22F1F38B">
                  <w:pPr>
                    <w:jc w:val="center"/>
                    <w:rPr>
                      <w:szCs w:val="21"/>
                    </w:rPr>
                  </w:pPr>
                  <w:r>
                    <w:rPr>
                      <w:szCs w:val="21"/>
                    </w:rPr>
                    <w:t>固态</w:t>
                  </w:r>
                </w:p>
              </w:tc>
              <w:tc>
                <w:tcPr>
                  <w:tcW w:w="459" w:type="pct"/>
                  <w:vAlign w:val="center"/>
                </w:tcPr>
                <w:p w14:paraId="31964A77">
                  <w:pPr>
                    <w:adjustRightInd w:val="0"/>
                    <w:snapToGrid w:val="0"/>
                    <w:jc w:val="center"/>
                    <w:rPr>
                      <w:szCs w:val="21"/>
                    </w:rPr>
                  </w:pPr>
                  <w:r>
                    <w:rPr>
                      <w:szCs w:val="21"/>
                    </w:rPr>
                    <w:t>石油类等</w:t>
                  </w:r>
                </w:p>
              </w:tc>
              <w:tc>
                <w:tcPr>
                  <w:tcW w:w="287" w:type="pct"/>
                  <w:vAlign w:val="center"/>
                </w:tcPr>
                <w:p w14:paraId="0ED2E28A">
                  <w:pPr>
                    <w:adjustRightInd w:val="0"/>
                    <w:snapToGrid w:val="0"/>
                    <w:jc w:val="center"/>
                    <w:rPr>
                      <w:szCs w:val="21"/>
                    </w:rPr>
                  </w:pPr>
                  <w:r>
                    <w:rPr>
                      <w:szCs w:val="21"/>
                    </w:rPr>
                    <w:t>1d</w:t>
                  </w:r>
                </w:p>
              </w:tc>
              <w:tc>
                <w:tcPr>
                  <w:tcW w:w="287" w:type="pct"/>
                  <w:vAlign w:val="center"/>
                </w:tcPr>
                <w:p w14:paraId="5982875C">
                  <w:pPr>
                    <w:pStyle w:val="69"/>
                    <w:autoSpaceDE/>
                    <w:autoSpaceDN/>
                    <w:adjustRightInd/>
                    <w:snapToGrid/>
                    <w:spacing w:line="240" w:lineRule="auto"/>
                    <w:rPr>
                      <w:rFonts w:ascii="Times New Roman" w:hAnsi="Times New Roman"/>
                    </w:rPr>
                  </w:pPr>
                  <w:r>
                    <w:rPr>
                      <w:rFonts w:ascii="Times New Roman" w:hAnsi="Times New Roman"/>
                    </w:rPr>
                    <w:t>T/In</w:t>
                  </w:r>
                </w:p>
              </w:tc>
              <w:tc>
                <w:tcPr>
                  <w:tcW w:w="458" w:type="pct"/>
                  <w:vMerge w:val="continue"/>
                  <w:vAlign w:val="center"/>
                </w:tcPr>
                <w:p w14:paraId="4BE0BC9A">
                  <w:pPr>
                    <w:adjustRightInd w:val="0"/>
                    <w:snapToGrid w:val="0"/>
                    <w:jc w:val="center"/>
                    <w:rPr>
                      <w:szCs w:val="21"/>
                    </w:rPr>
                  </w:pPr>
                </w:p>
              </w:tc>
            </w:tr>
          </w:tbl>
          <w:p w14:paraId="3B9FC228">
            <w:pPr>
              <w:tabs>
                <w:tab w:val="center" w:pos="4422"/>
              </w:tabs>
              <w:jc w:val="center"/>
              <w:rPr>
                <w:sz w:val="24"/>
              </w:rPr>
            </w:pPr>
          </w:p>
        </w:tc>
      </w:tr>
    </w:tbl>
    <w:p w14:paraId="77CF95AA">
      <w:pPr>
        <w:tabs>
          <w:tab w:val="center" w:pos="4422"/>
        </w:tabs>
        <w:rPr>
          <w:sz w:val="28"/>
          <w:szCs w:val="28"/>
        </w:rPr>
        <w:sectPr>
          <w:pgSz w:w="16840" w:h="11907" w:orient="landscape"/>
          <w:pgMar w:top="1531" w:right="1701" w:bottom="1531" w:left="2126" w:header="851" w:footer="851" w:gutter="0"/>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386"/>
      </w:tblGrid>
      <w:tr w14:paraId="46D0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14:paraId="09B9D6BB">
            <w:pPr>
              <w:tabs>
                <w:tab w:val="center" w:pos="4422"/>
              </w:tabs>
              <w:rPr>
                <w:sz w:val="28"/>
                <w:szCs w:val="28"/>
              </w:rPr>
            </w:pPr>
            <w:r>
              <w:rPr>
                <w:rFonts w:hint="eastAsia"/>
                <w:sz w:val="28"/>
                <w:szCs w:val="28"/>
              </w:rPr>
              <w:t>运营期环境影响和保护措施</w:t>
            </w:r>
          </w:p>
        </w:tc>
        <w:tc>
          <w:tcPr>
            <w:tcW w:w="8386" w:type="dxa"/>
            <w:shd w:val="clear" w:color="auto" w:fill="auto"/>
          </w:tcPr>
          <w:p w14:paraId="67A95BC8">
            <w:pPr>
              <w:tabs>
                <w:tab w:val="center" w:pos="4422"/>
              </w:tabs>
              <w:rPr>
                <w:b/>
                <w:sz w:val="24"/>
              </w:rPr>
            </w:pPr>
            <w:r>
              <w:rPr>
                <w:b/>
                <w:sz w:val="24"/>
              </w:rPr>
              <w:t>5、地下水</w:t>
            </w:r>
            <w:r>
              <w:rPr>
                <w:rFonts w:hint="eastAsia"/>
                <w:b/>
                <w:sz w:val="24"/>
              </w:rPr>
              <w:t>、</w:t>
            </w:r>
            <w:r>
              <w:rPr>
                <w:b/>
                <w:sz w:val="24"/>
              </w:rPr>
              <w:t>土壤环境</w:t>
            </w:r>
          </w:p>
          <w:p w14:paraId="18975BEA">
            <w:pPr>
              <w:spacing w:line="360" w:lineRule="auto"/>
              <w:ind w:firstLine="480"/>
              <w:rPr>
                <w:rFonts w:hAnsi="宋体"/>
                <w:sz w:val="24"/>
              </w:rPr>
            </w:pPr>
            <w:r>
              <w:rPr>
                <w:rFonts w:hint="eastAsia" w:hAnsi="宋体"/>
                <w:sz w:val="24"/>
              </w:rPr>
              <w:t>（1）污染途径</w:t>
            </w:r>
          </w:p>
          <w:p w14:paraId="04EBFF10">
            <w:pPr>
              <w:spacing w:line="360" w:lineRule="auto"/>
              <w:ind w:firstLine="480"/>
              <w:rPr>
                <w:sz w:val="24"/>
              </w:rPr>
            </w:pPr>
            <w:r>
              <w:rPr>
                <w:rFonts w:hAnsi="宋体"/>
                <w:sz w:val="24"/>
              </w:rPr>
              <w:t>项目营运期使用物料中包括</w:t>
            </w:r>
            <w:r>
              <w:rPr>
                <w:rFonts w:hint="eastAsia" w:hAnsi="宋体"/>
                <w:sz w:val="24"/>
              </w:rPr>
              <w:t>液压油、润滑油、切削液、脱模剂等</w:t>
            </w:r>
            <w:r>
              <w:rPr>
                <w:rFonts w:hAnsi="宋体"/>
                <w:sz w:val="24"/>
              </w:rPr>
              <w:t>均为液态</w:t>
            </w:r>
            <w:r>
              <w:rPr>
                <w:rFonts w:hint="eastAsia" w:hAnsi="宋体"/>
                <w:sz w:val="24"/>
              </w:rPr>
              <w:t>，均使用密闭防渗漏的</w:t>
            </w:r>
            <w:r>
              <w:rPr>
                <w:rFonts w:hAnsi="宋体"/>
                <w:sz w:val="24"/>
              </w:rPr>
              <w:t>容器储存</w:t>
            </w:r>
            <w:r>
              <w:rPr>
                <w:rFonts w:hint="eastAsia" w:hAnsi="宋体"/>
                <w:sz w:val="24"/>
              </w:rPr>
              <w:t>，储存量较少，</w:t>
            </w:r>
            <w:r>
              <w:rPr>
                <w:rFonts w:hAnsi="宋体"/>
                <w:sz w:val="24"/>
              </w:rPr>
              <w:t>物料均按照《危险化学品安全贮存通则》</w:t>
            </w:r>
            <w:r>
              <w:rPr>
                <w:sz w:val="24"/>
              </w:rPr>
              <w:t xml:space="preserve">(GB15603-1995) </w:t>
            </w:r>
            <w:r>
              <w:rPr>
                <w:rFonts w:hAnsi="宋体"/>
                <w:sz w:val="24"/>
              </w:rPr>
              <w:t>和《危险化学品安全管理条例》</w:t>
            </w:r>
            <w:r>
              <w:rPr>
                <w:sz w:val="24"/>
              </w:rPr>
              <w:t>(2002)</w:t>
            </w:r>
            <w:r>
              <w:rPr>
                <w:rFonts w:hAnsi="宋体"/>
                <w:sz w:val="24"/>
              </w:rPr>
              <w:t>中的要求暂存于</w:t>
            </w:r>
            <w:r>
              <w:rPr>
                <w:rFonts w:hint="eastAsia" w:hAnsi="宋体"/>
                <w:sz w:val="24"/>
              </w:rPr>
              <w:t>相应库房</w:t>
            </w:r>
            <w:r>
              <w:rPr>
                <w:rFonts w:hAnsi="宋体"/>
                <w:sz w:val="24"/>
              </w:rPr>
              <w:t>内，采取防泄漏、防溢流、防腐蚀等措施，严格危险化学品的管理，正常工况下不会导致危险化学品进入地下污染地下水质以及区域土壤质量。</w:t>
            </w:r>
          </w:p>
          <w:p w14:paraId="7D26322E">
            <w:pPr>
              <w:spacing w:line="360" w:lineRule="auto"/>
              <w:ind w:firstLine="480"/>
              <w:rPr>
                <w:rFonts w:hAnsi="宋体"/>
                <w:sz w:val="24"/>
              </w:rPr>
            </w:pPr>
            <w:r>
              <w:rPr>
                <w:rFonts w:hint="eastAsia" w:hAnsi="宋体"/>
                <w:sz w:val="24"/>
              </w:rPr>
              <w:t>泄漏的有机溶剂</w:t>
            </w:r>
            <w:r>
              <w:rPr>
                <w:rFonts w:hAnsi="宋体"/>
                <w:sz w:val="24"/>
              </w:rPr>
              <w:t>少部分下渗进入土壤</w:t>
            </w:r>
            <w:r>
              <w:rPr>
                <w:rFonts w:hint="eastAsia" w:hAnsi="宋体"/>
                <w:sz w:val="24"/>
              </w:rPr>
              <w:t>、</w:t>
            </w:r>
            <w:r>
              <w:rPr>
                <w:rFonts w:hAnsi="宋体"/>
                <w:sz w:val="24"/>
              </w:rPr>
              <w:t>地下水</w:t>
            </w:r>
            <w:r>
              <w:rPr>
                <w:rFonts w:hint="eastAsia" w:hAnsi="宋体"/>
                <w:sz w:val="24"/>
              </w:rPr>
              <w:t>，</w:t>
            </w:r>
            <w:r>
              <w:rPr>
                <w:rFonts w:hAnsi="宋体"/>
                <w:sz w:val="24"/>
              </w:rPr>
              <w:t>顺序大致为防渗层</w:t>
            </w:r>
            <w:r>
              <w:rPr>
                <w:rFonts w:hint="eastAsia" w:hAnsi="宋体"/>
                <w:sz w:val="24"/>
              </w:rPr>
              <w:t>-</w:t>
            </w:r>
            <w:r>
              <w:rPr>
                <w:rFonts w:hAnsi="宋体"/>
                <w:sz w:val="24"/>
              </w:rPr>
              <w:t>硬化混凝土层</w:t>
            </w:r>
            <w:r>
              <w:rPr>
                <w:sz w:val="24"/>
              </w:rPr>
              <w:t>-</w:t>
            </w:r>
            <w:r>
              <w:rPr>
                <w:rFonts w:hAnsi="宋体"/>
                <w:sz w:val="24"/>
              </w:rPr>
              <w:t>土壤层</w:t>
            </w:r>
            <w:r>
              <w:rPr>
                <w:sz w:val="24"/>
              </w:rPr>
              <w:t>-</w:t>
            </w:r>
            <w:r>
              <w:rPr>
                <w:rFonts w:hAnsi="宋体"/>
                <w:sz w:val="24"/>
              </w:rPr>
              <w:t>地下水层，可见，有机溶剂进入土壤</w:t>
            </w:r>
            <w:r>
              <w:rPr>
                <w:rFonts w:hint="eastAsia" w:hAnsi="宋体"/>
                <w:sz w:val="24"/>
              </w:rPr>
              <w:t>、</w:t>
            </w:r>
            <w:r>
              <w:rPr>
                <w:rFonts w:hAnsi="宋体"/>
                <w:sz w:val="24"/>
              </w:rPr>
              <w:t>地下水量极小，对土壤</w:t>
            </w:r>
            <w:r>
              <w:rPr>
                <w:rFonts w:hint="eastAsia" w:hAnsi="宋体"/>
                <w:sz w:val="24"/>
              </w:rPr>
              <w:t>、</w:t>
            </w:r>
            <w:r>
              <w:rPr>
                <w:rFonts w:hAnsi="宋体"/>
                <w:sz w:val="24"/>
              </w:rPr>
              <w:t>地下水环境的影响较小。</w:t>
            </w:r>
          </w:p>
          <w:p w14:paraId="0A2D901D">
            <w:pPr>
              <w:spacing w:line="360" w:lineRule="auto"/>
              <w:ind w:firstLine="480"/>
              <w:rPr>
                <w:sz w:val="24"/>
              </w:rPr>
            </w:pPr>
            <w:r>
              <w:rPr>
                <w:rFonts w:hint="eastAsia"/>
                <w:sz w:val="24"/>
              </w:rPr>
              <w:t>（2）</w:t>
            </w:r>
            <w:r>
              <w:rPr>
                <w:rFonts w:hint="eastAsia" w:hAnsi="宋体"/>
                <w:sz w:val="24"/>
              </w:rPr>
              <w:t>防控</w:t>
            </w:r>
            <w:r>
              <w:rPr>
                <w:rFonts w:hAnsi="宋体"/>
                <w:sz w:val="24"/>
              </w:rPr>
              <w:t>措施</w:t>
            </w:r>
          </w:p>
          <w:p w14:paraId="5A4C5347">
            <w:pPr>
              <w:spacing w:line="360" w:lineRule="auto"/>
              <w:ind w:firstLine="480"/>
              <w:rPr>
                <w:sz w:val="24"/>
              </w:rPr>
            </w:pPr>
            <w:r>
              <w:rPr>
                <w:rFonts w:hAnsi="宋体"/>
                <w:sz w:val="24"/>
              </w:rPr>
              <w:t>地下水污染防治措施按照</w:t>
            </w:r>
            <w:r>
              <w:rPr>
                <w:sz w:val="24"/>
              </w:rPr>
              <w:t>“</w:t>
            </w:r>
            <w:r>
              <w:rPr>
                <w:rFonts w:hAnsi="宋体"/>
                <w:sz w:val="24"/>
              </w:rPr>
              <w:t>源头控制、分区防治、污染监控、应急响应</w:t>
            </w:r>
            <w:r>
              <w:rPr>
                <w:sz w:val="24"/>
              </w:rPr>
              <w:t>”</w:t>
            </w:r>
            <w:r>
              <w:rPr>
                <w:rFonts w:hAnsi="宋体"/>
                <w:sz w:val="24"/>
              </w:rPr>
              <w:t>相结合的原则，从污染物的产生、入渗、扩散、应急响应全方位进行控制。</w:t>
            </w:r>
          </w:p>
          <w:p w14:paraId="3FE8D699">
            <w:pPr>
              <w:spacing w:line="360" w:lineRule="auto"/>
              <w:ind w:firstLine="480"/>
              <w:rPr>
                <w:sz w:val="24"/>
              </w:rPr>
            </w:pPr>
            <w:r>
              <w:rPr>
                <w:rFonts w:hint="eastAsia" w:hAnsi="宋体"/>
                <w:sz w:val="24"/>
              </w:rPr>
              <w:t>①</w:t>
            </w:r>
            <w:r>
              <w:rPr>
                <w:rFonts w:hAnsi="宋体"/>
                <w:sz w:val="24"/>
              </w:rPr>
              <w:t>源头控制</w:t>
            </w:r>
          </w:p>
          <w:p w14:paraId="16E56A9A">
            <w:pPr>
              <w:spacing w:line="360" w:lineRule="auto"/>
              <w:ind w:firstLine="480"/>
              <w:rPr>
                <w:sz w:val="24"/>
              </w:rPr>
            </w:pPr>
            <w:r>
              <w:rPr>
                <w:rFonts w:hAnsi="宋体"/>
                <w:sz w:val="24"/>
              </w:rPr>
              <w:t>防止物料包装物、危险废物存放</w:t>
            </w:r>
            <w:r>
              <w:rPr>
                <w:rFonts w:hint="eastAsia" w:hAnsi="宋体"/>
                <w:sz w:val="24"/>
              </w:rPr>
              <w:t>包装桶</w:t>
            </w:r>
            <w:r>
              <w:rPr>
                <w:rFonts w:hAnsi="宋体"/>
                <w:sz w:val="24"/>
              </w:rPr>
              <w:t>的跑、冒、滴、漏，包装桶采取密闭结构，桶下设置托盘，将污染物泄漏的环境风险事故降低到最低程度；同时各类生产管线均采取可视化建设</w:t>
            </w:r>
            <w:r>
              <w:rPr>
                <w:rFonts w:hint="eastAsia" w:hAnsi="宋体"/>
                <w:sz w:val="24"/>
              </w:rPr>
              <w:t>，</w:t>
            </w:r>
            <w:r>
              <w:rPr>
                <w:rFonts w:hAnsi="宋体"/>
                <w:sz w:val="24"/>
              </w:rPr>
              <w:t>及时发现工艺管线渗漏情况并采取措施</w:t>
            </w:r>
            <w:r>
              <w:rPr>
                <w:rFonts w:hint="eastAsia" w:hAnsi="宋体"/>
                <w:sz w:val="24"/>
              </w:rPr>
              <w:t>，</w:t>
            </w:r>
            <w:r>
              <w:rPr>
                <w:rFonts w:hAnsi="宋体"/>
                <w:sz w:val="24"/>
              </w:rPr>
              <w:t>防治污染物质下渗进入土壤和地下水环境</w:t>
            </w:r>
            <w:r>
              <w:rPr>
                <w:rFonts w:hint="eastAsia" w:hAnsi="宋体"/>
                <w:sz w:val="24"/>
              </w:rPr>
              <w:t>。</w:t>
            </w:r>
          </w:p>
          <w:p w14:paraId="44991B98">
            <w:pPr>
              <w:spacing w:line="360" w:lineRule="auto"/>
              <w:ind w:firstLine="480"/>
              <w:rPr>
                <w:sz w:val="24"/>
              </w:rPr>
            </w:pPr>
            <w:r>
              <w:rPr>
                <w:rFonts w:hint="eastAsia" w:hAnsi="宋体"/>
                <w:sz w:val="24"/>
              </w:rPr>
              <w:t>②</w:t>
            </w:r>
            <w:r>
              <w:rPr>
                <w:rFonts w:hAnsi="宋体"/>
                <w:sz w:val="24"/>
              </w:rPr>
              <w:t>分区防控要求</w:t>
            </w:r>
          </w:p>
          <w:p w14:paraId="79C846B8">
            <w:pPr>
              <w:spacing w:line="360" w:lineRule="auto"/>
              <w:ind w:firstLine="480"/>
              <w:rPr>
                <w:sz w:val="24"/>
              </w:rPr>
            </w:pPr>
            <w:r>
              <w:rPr>
                <w:rFonts w:hAnsi="宋体"/>
                <w:sz w:val="24"/>
              </w:rPr>
              <w:t>根据厂区各生产功能单元可能泄漏至地面区域的污染物性质和生产单元的构筑方式、构筑材料进行分区防渗，将厂区划分为</w:t>
            </w:r>
            <w:r>
              <w:rPr>
                <w:rFonts w:hint="eastAsia" w:hAnsi="宋体"/>
                <w:sz w:val="24"/>
              </w:rPr>
              <w:t>重点</w:t>
            </w:r>
            <w:r>
              <w:rPr>
                <w:rFonts w:hAnsi="宋体"/>
                <w:sz w:val="24"/>
              </w:rPr>
              <w:t>防渗区、</w:t>
            </w:r>
            <w:r>
              <w:rPr>
                <w:rFonts w:hint="eastAsia" w:hAnsi="宋体"/>
                <w:sz w:val="24"/>
              </w:rPr>
              <w:t>一般</w:t>
            </w:r>
            <w:r>
              <w:rPr>
                <w:rFonts w:hAnsi="宋体"/>
                <w:sz w:val="24"/>
              </w:rPr>
              <w:t>防渗区和</w:t>
            </w:r>
            <w:r>
              <w:rPr>
                <w:rFonts w:hint="eastAsia" w:hAnsi="宋体"/>
                <w:sz w:val="24"/>
              </w:rPr>
              <w:t>简单</w:t>
            </w:r>
            <w:r>
              <w:rPr>
                <w:rFonts w:hAnsi="宋体"/>
                <w:sz w:val="24"/>
              </w:rPr>
              <w:t>防渗区：</w:t>
            </w:r>
          </w:p>
          <w:p w14:paraId="26259933">
            <w:pPr>
              <w:spacing w:line="360" w:lineRule="auto"/>
              <w:ind w:firstLine="480" w:firstLineChars="200"/>
              <w:rPr>
                <w:sz w:val="24"/>
              </w:rPr>
            </w:pPr>
            <w:r>
              <w:rPr>
                <w:rFonts w:hint="eastAsia" w:hAnsi="宋体"/>
                <w:sz w:val="24"/>
              </w:rPr>
              <w:t>重点</w:t>
            </w:r>
            <w:r>
              <w:rPr>
                <w:rFonts w:hAnsi="宋体"/>
                <w:sz w:val="24"/>
              </w:rPr>
              <w:t>防渗区：</w:t>
            </w:r>
            <w:r>
              <w:rPr>
                <w:rFonts w:hint="eastAsia" w:hAnsi="宋体"/>
                <w:sz w:val="24"/>
              </w:rPr>
              <w:t>油品库、污水处理设施池体、危废暂存间、柴油发电机房切削液循环池、脱模剂循环池</w:t>
            </w:r>
            <w:r>
              <w:rPr>
                <w:rFonts w:hAnsi="宋体"/>
                <w:sz w:val="24"/>
              </w:rPr>
              <w:t>为</w:t>
            </w:r>
            <w:r>
              <w:rPr>
                <w:rFonts w:hint="eastAsia" w:hAnsi="宋体"/>
                <w:sz w:val="24"/>
              </w:rPr>
              <w:t>重点</w:t>
            </w:r>
            <w:r>
              <w:rPr>
                <w:rFonts w:hAnsi="宋体"/>
                <w:sz w:val="24"/>
              </w:rPr>
              <w:t>防渗区。重点污染防渗区的防渗性能要求不低</w:t>
            </w:r>
            <w:r>
              <w:rPr>
                <w:sz w:val="24"/>
              </w:rPr>
              <w:t>6.0m</w:t>
            </w:r>
            <w:r>
              <w:rPr>
                <w:rFonts w:hAnsi="宋体"/>
                <w:sz w:val="24"/>
              </w:rPr>
              <w:t>厚渗透系数为</w:t>
            </w:r>
            <w:r>
              <w:rPr>
                <w:sz w:val="24"/>
              </w:rPr>
              <w:t>1.0×10</w:t>
            </w:r>
            <w:r>
              <w:rPr>
                <w:sz w:val="24"/>
                <w:vertAlign w:val="superscript"/>
              </w:rPr>
              <w:t>-7</w:t>
            </w:r>
            <w:r>
              <w:rPr>
                <w:sz w:val="24"/>
              </w:rPr>
              <w:t>cm/s</w:t>
            </w:r>
            <w:r>
              <w:rPr>
                <w:rFonts w:hAnsi="宋体"/>
                <w:sz w:val="24"/>
              </w:rPr>
              <w:t>的黏土层防渗性能，并采取防腐措施</w:t>
            </w:r>
            <w:r>
              <w:rPr>
                <w:rFonts w:hint="eastAsia" w:hAnsi="宋体"/>
                <w:sz w:val="24"/>
              </w:rPr>
              <w:t>。</w:t>
            </w:r>
            <w:r>
              <w:rPr>
                <w:rFonts w:hAnsi="宋体"/>
                <w:kern w:val="0"/>
                <w:sz w:val="24"/>
              </w:rPr>
              <w:t>危险废物暂存间</w:t>
            </w:r>
            <w:r>
              <w:rPr>
                <w:rFonts w:hAnsi="宋体"/>
                <w:sz w:val="24"/>
              </w:rPr>
              <w:t>按《危险废物贮存污染控制标准》，其防渗性能要求达到其防渗层渗透系数</w:t>
            </w:r>
            <w:r>
              <w:rPr>
                <w:sz w:val="24"/>
              </w:rPr>
              <w:t>≤10</w:t>
            </w:r>
            <w:r>
              <w:rPr>
                <w:sz w:val="24"/>
                <w:vertAlign w:val="superscript"/>
              </w:rPr>
              <w:t>-10</w:t>
            </w:r>
            <w:r>
              <w:rPr>
                <w:sz w:val="24"/>
              </w:rPr>
              <w:t>cm/s</w:t>
            </w:r>
            <w:r>
              <w:rPr>
                <w:rFonts w:hAnsi="宋体"/>
                <w:sz w:val="24"/>
              </w:rPr>
              <w:t>的要求。</w:t>
            </w:r>
          </w:p>
          <w:p w14:paraId="308CD8E0">
            <w:pPr>
              <w:spacing w:line="360" w:lineRule="auto"/>
              <w:ind w:firstLine="480"/>
              <w:rPr>
                <w:sz w:val="24"/>
              </w:rPr>
            </w:pPr>
            <w:r>
              <w:rPr>
                <w:rFonts w:hint="eastAsia" w:hAnsi="宋体"/>
                <w:sz w:val="24"/>
              </w:rPr>
              <w:t>一般防渗区</w:t>
            </w:r>
            <w:r>
              <w:rPr>
                <w:rFonts w:hAnsi="宋体"/>
                <w:sz w:val="24"/>
              </w:rPr>
              <w:t>：项目</w:t>
            </w:r>
            <w:r>
              <w:rPr>
                <w:rFonts w:hint="eastAsia" w:hAnsi="宋体"/>
                <w:sz w:val="24"/>
              </w:rPr>
              <w:t>化粪池、</w:t>
            </w:r>
            <w:r>
              <w:rPr>
                <w:rFonts w:hAnsi="宋体"/>
                <w:sz w:val="24"/>
              </w:rPr>
              <w:t>联合厂房内除重点防渗区</w:t>
            </w:r>
            <w:r>
              <w:rPr>
                <w:rFonts w:hint="eastAsia" w:hAnsi="宋体"/>
                <w:sz w:val="24"/>
              </w:rPr>
              <w:t>、仓笼</w:t>
            </w:r>
            <w:r>
              <w:rPr>
                <w:rFonts w:hAnsi="宋体"/>
                <w:sz w:val="24"/>
              </w:rPr>
              <w:t>暂存区</w:t>
            </w:r>
            <w:r>
              <w:rPr>
                <w:rFonts w:hint="eastAsia" w:hAnsi="宋体"/>
                <w:sz w:val="24"/>
              </w:rPr>
              <w:t>、成品暂存区、装卸平台</w:t>
            </w:r>
            <w:r>
              <w:rPr>
                <w:rFonts w:hAnsi="宋体"/>
                <w:sz w:val="24"/>
              </w:rPr>
              <w:t>外的其他生产区域均为一</w:t>
            </w:r>
            <w:r>
              <w:rPr>
                <w:rFonts w:hint="eastAsia" w:hAnsi="宋体"/>
                <w:sz w:val="24"/>
              </w:rPr>
              <w:t>般防渗区</w:t>
            </w:r>
            <w:r>
              <w:rPr>
                <w:rFonts w:hAnsi="宋体"/>
                <w:sz w:val="24"/>
              </w:rPr>
              <w:t>。一般污染防渗区的防渗性能要求不低</w:t>
            </w:r>
            <w:r>
              <w:rPr>
                <w:sz w:val="24"/>
              </w:rPr>
              <w:t>1.5m</w:t>
            </w:r>
            <w:r>
              <w:rPr>
                <w:rFonts w:hAnsi="宋体"/>
                <w:sz w:val="24"/>
              </w:rPr>
              <w:t>厚渗透系数为</w:t>
            </w:r>
            <w:r>
              <w:rPr>
                <w:sz w:val="24"/>
              </w:rPr>
              <w:t>1.0×10</w:t>
            </w:r>
            <w:r>
              <w:rPr>
                <w:sz w:val="24"/>
                <w:vertAlign w:val="superscript"/>
              </w:rPr>
              <w:t>-7</w:t>
            </w:r>
            <w:r>
              <w:rPr>
                <w:sz w:val="24"/>
              </w:rPr>
              <w:t>cm/s</w:t>
            </w:r>
            <w:r>
              <w:rPr>
                <w:rFonts w:hAnsi="宋体"/>
                <w:sz w:val="24"/>
              </w:rPr>
              <w:t>的黏土层防渗性能。</w:t>
            </w:r>
          </w:p>
          <w:p w14:paraId="596557CD">
            <w:pPr>
              <w:spacing w:line="360" w:lineRule="auto"/>
              <w:ind w:firstLine="480"/>
              <w:rPr>
                <w:sz w:val="24"/>
              </w:rPr>
            </w:pPr>
            <w:r>
              <w:rPr>
                <w:rFonts w:hint="eastAsia" w:hAnsi="宋体"/>
                <w:sz w:val="24"/>
              </w:rPr>
              <w:t>简单</w:t>
            </w:r>
            <w:r>
              <w:rPr>
                <w:rFonts w:hAnsi="宋体"/>
                <w:sz w:val="24"/>
              </w:rPr>
              <w:t>防渗区；项目</w:t>
            </w:r>
            <w:r>
              <w:rPr>
                <w:rFonts w:hint="eastAsia" w:hAnsi="宋体"/>
                <w:sz w:val="24"/>
              </w:rPr>
              <w:t>厂区</w:t>
            </w:r>
            <w:r>
              <w:rPr>
                <w:rFonts w:hAnsi="宋体"/>
                <w:sz w:val="24"/>
              </w:rPr>
              <w:t>范围内除以上</w:t>
            </w:r>
            <w:r>
              <w:rPr>
                <w:rFonts w:hint="eastAsia" w:hAnsi="宋体"/>
                <w:sz w:val="24"/>
              </w:rPr>
              <w:t>重点</w:t>
            </w:r>
            <w:r>
              <w:rPr>
                <w:rFonts w:hAnsi="宋体"/>
                <w:sz w:val="24"/>
              </w:rPr>
              <w:t>防渗区、</w:t>
            </w:r>
            <w:r>
              <w:rPr>
                <w:rFonts w:hint="eastAsia" w:hAnsi="宋体"/>
                <w:sz w:val="24"/>
              </w:rPr>
              <w:t>一般防渗区</w:t>
            </w:r>
            <w:r>
              <w:rPr>
                <w:rFonts w:hAnsi="宋体"/>
                <w:sz w:val="24"/>
              </w:rPr>
              <w:t>外均为非防渗区，仅需要进行地面硬化处置。</w:t>
            </w:r>
          </w:p>
          <w:p w14:paraId="15C6DA8A">
            <w:pPr>
              <w:tabs>
                <w:tab w:val="center" w:pos="4422"/>
              </w:tabs>
              <w:rPr>
                <w:b/>
                <w:sz w:val="24"/>
              </w:rPr>
            </w:pPr>
            <w:r>
              <w:rPr>
                <w:rFonts w:hint="eastAsia"/>
                <w:b/>
                <w:sz w:val="24"/>
              </w:rPr>
              <w:t>6、</w:t>
            </w:r>
            <w:r>
              <w:rPr>
                <w:b/>
                <w:sz w:val="24"/>
              </w:rPr>
              <w:t>环境风险</w:t>
            </w:r>
          </w:p>
          <w:p w14:paraId="046FA208">
            <w:pPr>
              <w:autoSpaceDE w:val="0"/>
              <w:autoSpaceDN w:val="0"/>
              <w:spacing w:line="460" w:lineRule="exact"/>
              <w:ind w:firstLine="480" w:firstLineChars="200"/>
              <w:rPr>
                <w:sz w:val="24"/>
              </w:rPr>
            </w:pPr>
            <w:r>
              <w:rPr>
                <w:rFonts w:hint="eastAsia"/>
                <w:sz w:val="24"/>
              </w:rPr>
              <w:t>结合项目原辅材料理化性质，项目涉及的风险物质主要为液压油、润滑油、缓蚀剂、切削液、废液压油、废润滑油、废切削液、乙炔、柴油等。厂内储存量分别为</w:t>
            </w:r>
            <w:r>
              <w:rPr>
                <w:sz w:val="24"/>
              </w:rPr>
              <w:t>2t</w:t>
            </w:r>
            <w:r>
              <w:rPr>
                <w:rFonts w:hint="eastAsia"/>
                <w:sz w:val="24"/>
              </w:rPr>
              <w:t>、</w:t>
            </w:r>
            <w:r>
              <w:rPr>
                <w:sz w:val="24"/>
              </w:rPr>
              <w:t>2t</w:t>
            </w:r>
            <w:r>
              <w:rPr>
                <w:rFonts w:hint="eastAsia"/>
                <w:sz w:val="24"/>
              </w:rPr>
              <w:t>、</w:t>
            </w:r>
            <w:r>
              <w:rPr>
                <w:sz w:val="24"/>
              </w:rPr>
              <w:t>0.3</w:t>
            </w:r>
            <w:r>
              <w:rPr>
                <w:rFonts w:hint="eastAsia"/>
                <w:sz w:val="24"/>
              </w:rPr>
              <w:t>t、</w:t>
            </w:r>
            <w:r>
              <w:rPr>
                <w:sz w:val="24"/>
              </w:rPr>
              <w:t>2</w:t>
            </w:r>
            <w:r>
              <w:rPr>
                <w:rFonts w:hint="eastAsia"/>
                <w:sz w:val="24"/>
              </w:rPr>
              <w:t>t、2</w:t>
            </w:r>
            <w:r>
              <w:rPr>
                <w:sz w:val="24"/>
              </w:rPr>
              <w:t>t</w:t>
            </w:r>
            <w:r>
              <w:rPr>
                <w:rFonts w:hint="eastAsia"/>
                <w:sz w:val="24"/>
              </w:rPr>
              <w:t>、2</w:t>
            </w:r>
            <w:r>
              <w:rPr>
                <w:sz w:val="24"/>
              </w:rPr>
              <w:t>t</w:t>
            </w:r>
            <w:r>
              <w:rPr>
                <w:rFonts w:hint="eastAsia"/>
                <w:sz w:val="24"/>
              </w:rPr>
              <w:t>、</w:t>
            </w:r>
            <w:r>
              <w:rPr>
                <w:sz w:val="24"/>
              </w:rPr>
              <w:t>50t</w:t>
            </w:r>
            <w:r>
              <w:rPr>
                <w:rFonts w:hint="eastAsia"/>
                <w:sz w:val="24"/>
              </w:rPr>
              <w:t>、</w:t>
            </w:r>
            <w:r>
              <w:rPr>
                <w:sz w:val="24"/>
              </w:rPr>
              <w:t>0.0125t</w:t>
            </w:r>
            <w:r>
              <w:rPr>
                <w:rFonts w:hint="eastAsia"/>
                <w:sz w:val="24"/>
              </w:rPr>
              <w:t>、</w:t>
            </w:r>
            <w:r>
              <w:rPr>
                <w:rFonts w:hint="eastAsia"/>
                <w:sz w:val="24"/>
                <w:szCs w:val="21"/>
              </w:rPr>
              <w:t>1t</w:t>
            </w:r>
            <w:r>
              <w:rPr>
                <w:rFonts w:hint="eastAsia"/>
                <w:sz w:val="24"/>
              </w:rPr>
              <w:t>。</w:t>
            </w:r>
          </w:p>
          <w:p w14:paraId="68A4E75A">
            <w:pPr>
              <w:spacing w:line="460" w:lineRule="exact"/>
              <w:ind w:firstLine="522"/>
              <w:rPr>
                <w:sz w:val="24"/>
              </w:rPr>
            </w:pPr>
            <w:r>
              <w:rPr>
                <w:sz w:val="24"/>
              </w:rPr>
              <w:t>计算所涉及的每种危险物质在厂界内的最大存在总量与其在附录B中对应临界量的比值Q。在不同厂区的同一种物质，按其在厂界内的最大存在总量计算。</w:t>
            </w:r>
          </w:p>
          <w:p w14:paraId="61CB2290">
            <w:pPr>
              <w:spacing w:line="460" w:lineRule="exact"/>
              <w:ind w:firstLine="522"/>
              <w:rPr>
                <w:sz w:val="24"/>
              </w:rPr>
            </w:pPr>
            <w:r>
              <w:rPr>
                <w:sz w:val="24"/>
              </w:rPr>
              <w:t>当只涉及一种危险物质时，计算该物质的总量与其临界量比值，即为Q；当存在多种危险物质时，则按式</w:t>
            </w:r>
            <w:r>
              <w:rPr>
                <w:rFonts w:hint="eastAsia"/>
                <w:sz w:val="24"/>
              </w:rPr>
              <w:t>下式</w:t>
            </w:r>
            <w:r>
              <w:rPr>
                <w:sz w:val="24"/>
              </w:rPr>
              <w:t>计算物质总量与其临界量比值Q：</w:t>
            </w:r>
          </w:p>
          <w:p w14:paraId="3765FF72">
            <w:pPr>
              <w:spacing w:before="120" w:beforeLines="50" w:after="120" w:afterLines="50" w:line="460" w:lineRule="exact"/>
              <w:ind w:firstLine="522"/>
              <w:jc w:val="center"/>
              <w:rPr>
                <w:sz w:val="26"/>
                <w:szCs w:val="26"/>
              </w:rPr>
            </w:pPr>
            <w:r>
              <w:rPr>
                <w:sz w:val="26"/>
                <w:szCs w:val="26"/>
              </w:rPr>
              <w:t>Q=q</w:t>
            </w:r>
            <w:r>
              <w:rPr>
                <w:sz w:val="26"/>
                <w:szCs w:val="26"/>
                <w:vertAlign w:val="subscript"/>
              </w:rPr>
              <w:t>1</w:t>
            </w:r>
            <w:r>
              <w:rPr>
                <w:sz w:val="26"/>
                <w:szCs w:val="26"/>
              </w:rPr>
              <w:t>/Q</w:t>
            </w:r>
            <w:r>
              <w:rPr>
                <w:sz w:val="26"/>
                <w:szCs w:val="26"/>
                <w:vertAlign w:val="subscript"/>
              </w:rPr>
              <w:t>1</w:t>
            </w:r>
            <w:r>
              <w:rPr>
                <w:sz w:val="26"/>
                <w:szCs w:val="26"/>
              </w:rPr>
              <w:t>+q</w:t>
            </w:r>
            <w:r>
              <w:rPr>
                <w:sz w:val="26"/>
                <w:szCs w:val="26"/>
                <w:vertAlign w:val="subscript"/>
              </w:rPr>
              <w:t>2</w:t>
            </w:r>
            <w:r>
              <w:rPr>
                <w:sz w:val="26"/>
                <w:szCs w:val="26"/>
              </w:rPr>
              <w:t>/Q</w:t>
            </w:r>
            <w:r>
              <w:rPr>
                <w:sz w:val="26"/>
                <w:szCs w:val="26"/>
                <w:vertAlign w:val="subscript"/>
              </w:rPr>
              <w:t>2</w:t>
            </w:r>
            <w:r>
              <w:rPr>
                <w:sz w:val="26"/>
                <w:szCs w:val="26"/>
              </w:rPr>
              <w:t>……+q</w:t>
            </w:r>
            <w:r>
              <w:rPr>
                <w:sz w:val="26"/>
                <w:szCs w:val="26"/>
                <w:vertAlign w:val="subscript"/>
              </w:rPr>
              <w:t>n</w:t>
            </w:r>
            <w:r>
              <w:rPr>
                <w:sz w:val="26"/>
                <w:szCs w:val="26"/>
              </w:rPr>
              <w:t>/Q</w:t>
            </w:r>
            <w:r>
              <w:rPr>
                <w:sz w:val="26"/>
                <w:szCs w:val="26"/>
                <w:vertAlign w:val="subscript"/>
              </w:rPr>
              <w:t>n</w:t>
            </w:r>
          </w:p>
          <w:p w14:paraId="6F9A09E4">
            <w:pPr>
              <w:pStyle w:val="174"/>
              <w:ind w:firstLine="0" w:firstLineChars="0"/>
              <w:rPr>
                <w:color w:val="auto"/>
              </w:rPr>
            </w:pPr>
            <w:r>
              <w:rPr>
                <w:color w:val="auto"/>
              </w:rPr>
              <w:t>式中：q</w:t>
            </w:r>
            <w:r>
              <w:rPr>
                <w:color w:val="auto"/>
                <w:vertAlign w:val="subscript"/>
              </w:rPr>
              <w:t>1</w:t>
            </w:r>
            <w:r>
              <w:rPr>
                <w:color w:val="auto"/>
              </w:rPr>
              <w:t>、q</w:t>
            </w:r>
            <w:r>
              <w:rPr>
                <w:color w:val="auto"/>
                <w:vertAlign w:val="subscript"/>
              </w:rPr>
              <w:t>2</w:t>
            </w:r>
            <w:r>
              <w:rPr>
                <w:color w:val="auto"/>
              </w:rPr>
              <w:t>，…，q</w:t>
            </w:r>
            <w:r>
              <w:rPr>
                <w:color w:val="auto"/>
                <w:vertAlign w:val="subscript"/>
              </w:rPr>
              <w:t>n</w:t>
            </w:r>
            <w:r>
              <w:rPr>
                <w:color w:val="auto"/>
              </w:rPr>
              <w:t>—每种危险物质的最大存在总量，t；</w:t>
            </w:r>
          </w:p>
          <w:p w14:paraId="5C9FBB50">
            <w:pPr>
              <w:pStyle w:val="174"/>
              <w:ind w:firstLine="780" w:firstLineChars="300"/>
              <w:rPr>
                <w:color w:val="auto"/>
              </w:rPr>
            </w:pPr>
            <w:r>
              <w:rPr>
                <w:color w:val="auto"/>
              </w:rPr>
              <w:t>Q</w:t>
            </w:r>
            <w:r>
              <w:rPr>
                <w:color w:val="auto"/>
                <w:vertAlign w:val="subscript"/>
              </w:rPr>
              <w:t>1</w:t>
            </w:r>
            <w:r>
              <w:rPr>
                <w:color w:val="auto"/>
              </w:rPr>
              <w:t>、Q</w:t>
            </w:r>
            <w:r>
              <w:rPr>
                <w:color w:val="auto"/>
                <w:vertAlign w:val="subscript"/>
              </w:rPr>
              <w:t>2</w:t>
            </w:r>
            <w:r>
              <w:rPr>
                <w:color w:val="auto"/>
              </w:rPr>
              <w:t>，…，Q</w:t>
            </w:r>
            <w:r>
              <w:rPr>
                <w:color w:val="auto"/>
                <w:vertAlign w:val="subscript"/>
              </w:rPr>
              <w:t>n</w:t>
            </w:r>
            <w:r>
              <w:rPr>
                <w:color w:val="auto"/>
              </w:rPr>
              <w:t>—每种危险物质的临界量，t。</w:t>
            </w:r>
          </w:p>
          <w:p w14:paraId="41E5AE20">
            <w:pPr>
              <w:pStyle w:val="174"/>
              <w:ind w:firstLine="520"/>
              <w:rPr>
                <w:color w:val="auto"/>
              </w:rPr>
            </w:pPr>
            <w:r>
              <w:rPr>
                <w:color w:val="auto"/>
              </w:rPr>
              <w:t>当Q＜1时，该项目环境风险潜势为Ⅰ。</w:t>
            </w:r>
          </w:p>
          <w:p w14:paraId="5EEF2F55">
            <w:pPr>
              <w:pStyle w:val="174"/>
              <w:ind w:firstLine="520"/>
              <w:rPr>
                <w:color w:val="auto"/>
              </w:rPr>
            </w:pPr>
            <w:r>
              <w:rPr>
                <w:color w:val="auto"/>
              </w:rPr>
              <w:t>当Q≥1时，将Q值划分为：（1）1≤Q＜10；（2）10≤Q＜100；（3）Q≥100。</w:t>
            </w:r>
          </w:p>
          <w:p w14:paraId="2BD3BDD8">
            <w:pPr>
              <w:spacing w:line="460" w:lineRule="exact"/>
              <w:ind w:firstLine="520"/>
              <w:rPr>
                <w:sz w:val="26"/>
                <w:szCs w:val="26"/>
              </w:rPr>
            </w:pPr>
            <w:r>
              <w:rPr>
                <w:rFonts w:hint="eastAsia"/>
                <w:sz w:val="26"/>
                <w:szCs w:val="26"/>
              </w:rPr>
              <w:t>项目Q值确定详见表</w:t>
            </w:r>
            <w:r>
              <w:rPr>
                <w:sz w:val="26"/>
                <w:szCs w:val="26"/>
              </w:rPr>
              <w:t>4-17</w:t>
            </w:r>
            <w:r>
              <w:rPr>
                <w:rFonts w:hint="eastAsia"/>
                <w:sz w:val="26"/>
                <w:szCs w:val="26"/>
              </w:rPr>
              <w:t>。</w:t>
            </w:r>
          </w:p>
          <w:p w14:paraId="4F4B11B6">
            <w:pPr>
              <w:spacing w:line="460" w:lineRule="exact"/>
              <w:ind w:firstLine="482"/>
              <w:jc w:val="center"/>
              <w:outlineLvl w:val="1"/>
              <w:rPr>
                <w:sz w:val="26"/>
                <w:szCs w:val="26"/>
              </w:rPr>
            </w:pPr>
            <w:r>
              <w:rPr>
                <w:rFonts w:hint="eastAsia"/>
                <w:sz w:val="26"/>
                <w:szCs w:val="26"/>
              </w:rPr>
              <w:t>表</w:t>
            </w:r>
            <w:r>
              <w:rPr>
                <w:sz w:val="26"/>
                <w:szCs w:val="26"/>
              </w:rPr>
              <w:t>4-17</w:t>
            </w:r>
            <w:r>
              <w:rPr>
                <w:rFonts w:hint="eastAsia"/>
                <w:sz w:val="26"/>
                <w:szCs w:val="26"/>
              </w:rPr>
              <w:t xml:space="preserve">  建设项目Q值确定表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549"/>
              <w:gridCol w:w="1577"/>
              <w:gridCol w:w="1366"/>
              <w:gridCol w:w="1785"/>
            </w:tblGrid>
            <w:tr w14:paraId="61DF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13B686C9">
                  <w:pPr>
                    <w:pStyle w:val="122"/>
                    <w:spacing w:line="240" w:lineRule="auto"/>
                    <w:ind w:firstLine="0" w:firstLineChars="0"/>
                    <w:rPr>
                      <w:snapToGrid w:val="0"/>
                      <w:sz w:val="21"/>
                      <w:szCs w:val="21"/>
                    </w:rPr>
                  </w:pPr>
                  <w:r>
                    <w:rPr>
                      <w:snapToGrid w:val="0"/>
                      <w:sz w:val="21"/>
                      <w:szCs w:val="21"/>
                    </w:rPr>
                    <w:t>序号</w:t>
                  </w:r>
                </w:p>
              </w:tc>
              <w:tc>
                <w:tcPr>
                  <w:tcW w:w="1562" w:type="pct"/>
                  <w:vAlign w:val="center"/>
                </w:tcPr>
                <w:p w14:paraId="5D6372B0">
                  <w:pPr>
                    <w:pStyle w:val="122"/>
                    <w:spacing w:line="240" w:lineRule="auto"/>
                    <w:ind w:firstLine="0" w:firstLineChars="0"/>
                    <w:rPr>
                      <w:snapToGrid w:val="0"/>
                      <w:sz w:val="21"/>
                      <w:szCs w:val="21"/>
                    </w:rPr>
                  </w:pPr>
                  <w:r>
                    <w:rPr>
                      <w:snapToGrid w:val="0"/>
                      <w:sz w:val="21"/>
                      <w:szCs w:val="21"/>
                    </w:rPr>
                    <w:t>危险物质名称</w:t>
                  </w:r>
                </w:p>
              </w:tc>
              <w:tc>
                <w:tcPr>
                  <w:tcW w:w="966" w:type="pct"/>
                  <w:shd w:val="clear" w:color="auto" w:fill="auto"/>
                  <w:vAlign w:val="center"/>
                </w:tcPr>
                <w:p w14:paraId="05935AD3">
                  <w:pPr>
                    <w:pStyle w:val="122"/>
                    <w:spacing w:line="240" w:lineRule="auto"/>
                    <w:ind w:firstLine="0" w:firstLineChars="0"/>
                    <w:rPr>
                      <w:snapToGrid w:val="0"/>
                      <w:sz w:val="21"/>
                      <w:szCs w:val="21"/>
                    </w:rPr>
                  </w:pPr>
                  <w:r>
                    <w:rPr>
                      <w:snapToGrid w:val="0"/>
                      <w:sz w:val="21"/>
                      <w:szCs w:val="21"/>
                    </w:rPr>
                    <w:t>最大存储量/t</w:t>
                  </w:r>
                </w:p>
              </w:tc>
              <w:tc>
                <w:tcPr>
                  <w:tcW w:w="837" w:type="pct"/>
                  <w:vAlign w:val="center"/>
                </w:tcPr>
                <w:p w14:paraId="7BEA7DE4">
                  <w:pPr>
                    <w:pStyle w:val="122"/>
                    <w:spacing w:line="240" w:lineRule="auto"/>
                    <w:ind w:firstLine="0" w:firstLineChars="0"/>
                    <w:rPr>
                      <w:snapToGrid w:val="0"/>
                      <w:sz w:val="21"/>
                      <w:szCs w:val="21"/>
                    </w:rPr>
                  </w:pPr>
                  <w:r>
                    <w:rPr>
                      <w:snapToGrid w:val="0"/>
                      <w:sz w:val="21"/>
                      <w:szCs w:val="21"/>
                    </w:rPr>
                    <w:t>临界量/t</w:t>
                  </w:r>
                </w:p>
              </w:tc>
              <w:tc>
                <w:tcPr>
                  <w:tcW w:w="1094" w:type="pct"/>
                  <w:vAlign w:val="center"/>
                </w:tcPr>
                <w:p w14:paraId="2801B6A5">
                  <w:pPr>
                    <w:pStyle w:val="122"/>
                    <w:spacing w:line="240" w:lineRule="auto"/>
                    <w:ind w:firstLine="0" w:firstLineChars="0"/>
                    <w:rPr>
                      <w:snapToGrid w:val="0"/>
                      <w:sz w:val="21"/>
                      <w:szCs w:val="21"/>
                    </w:rPr>
                  </w:pPr>
                  <w:r>
                    <w:rPr>
                      <w:snapToGrid w:val="0"/>
                      <w:sz w:val="21"/>
                      <w:szCs w:val="21"/>
                    </w:rPr>
                    <w:t>Q值</w:t>
                  </w:r>
                </w:p>
              </w:tc>
            </w:tr>
            <w:tr w14:paraId="6A3F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744FD234">
                  <w:pPr>
                    <w:pStyle w:val="122"/>
                    <w:spacing w:line="240" w:lineRule="auto"/>
                    <w:ind w:firstLine="0" w:firstLineChars="0"/>
                    <w:rPr>
                      <w:snapToGrid w:val="0"/>
                      <w:sz w:val="21"/>
                      <w:szCs w:val="21"/>
                    </w:rPr>
                  </w:pPr>
                  <w:r>
                    <w:rPr>
                      <w:snapToGrid w:val="0"/>
                      <w:sz w:val="21"/>
                      <w:szCs w:val="21"/>
                    </w:rPr>
                    <w:t>1</w:t>
                  </w:r>
                </w:p>
              </w:tc>
              <w:tc>
                <w:tcPr>
                  <w:tcW w:w="1562" w:type="pct"/>
                  <w:vAlign w:val="center"/>
                </w:tcPr>
                <w:p w14:paraId="7A8744D0">
                  <w:pPr>
                    <w:pStyle w:val="122"/>
                    <w:spacing w:line="240" w:lineRule="auto"/>
                    <w:ind w:firstLine="0" w:firstLineChars="0"/>
                    <w:rPr>
                      <w:snapToGrid w:val="0"/>
                      <w:sz w:val="21"/>
                      <w:szCs w:val="21"/>
                    </w:rPr>
                  </w:pPr>
                  <w:r>
                    <w:rPr>
                      <w:sz w:val="21"/>
                      <w:szCs w:val="21"/>
                    </w:rPr>
                    <w:t>液压油</w:t>
                  </w:r>
                </w:p>
              </w:tc>
              <w:tc>
                <w:tcPr>
                  <w:tcW w:w="966" w:type="pct"/>
                  <w:shd w:val="clear" w:color="auto" w:fill="auto"/>
                  <w:vAlign w:val="center"/>
                </w:tcPr>
                <w:p w14:paraId="5C2964B0">
                  <w:pPr>
                    <w:widowControl/>
                    <w:jc w:val="center"/>
                    <w:rPr>
                      <w:kern w:val="0"/>
                      <w:szCs w:val="21"/>
                    </w:rPr>
                  </w:pPr>
                  <w:r>
                    <w:rPr>
                      <w:szCs w:val="21"/>
                    </w:rPr>
                    <w:t>2</w:t>
                  </w:r>
                </w:p>
              </w:tc>
              <w:tc>
                <w:tcPr>
                  <w:tcW w:w="837" w:type="pct"/>
                  <w:vAlign w:val="center"/>
                </w:tcPr>
                <w:p w14:paraId="01B6AB2A">
                  <w:pPr>
                    <w:jc w:val="center"/>
                    <w:rPr>
                      <w:szCs w:val="21"/>
                    </w:rPr>
                  </w:pPr>
                  <w:r>
                    <w:rPr>
                      <w:szCs w:val="21"/>
                    </w:rPr>
                    <w:t>2500</w:t>
                  </w:r>
                </w:p>
              </w:tc>
              <w:tc>
                <w:tcPr>
                  <w:tcW w:w="1094" w:type="pct"/>
                  <w:vAlign w:val="center"/>
                </w:tcPr>
                <w:p w14:paraId="3031799C">
                  <w:pPr>
                    <w:jc w:val="center"/>
                    <w:rPr>
                      <w:szCs w:val="21"/>
                    </w:rPr>
                  </w:pPr>
                  <w:r>
                    <w:rPr>
                      <w:szCs w:val="21"/>
                    </w:rPr>
                    <w:t>0.0008</w:t>
                  </w:r>
                </w:p>
              </w:tc>
            </w:tr>
            <w:tr w14:paraId="4D0F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63F59D26">
                  <w:pPr>
                    <w:pStyle w:val="122"/>
                    <w:spacing w:line="240" w:lineRule="auto"/>
                    <w:ind w:firstLine="0" w:firstLineChars="0"/>
                    <w:rPr>
                      <w:snapToGrid w:val="0"/>
                      <w:sz w:val="21"/>
                      <w:szCs w:val="21"/>
                    </w:rPr>
                  </w:pPr>
                  <w:r>
                    <w:rPr>
                      <w:snapToGrid w:val="0"/>
                      <w:sz w:val="21"/>
                      <w:szCs w:val="21"/>
                    </w:rPr>
                    <w:t>2</w:t>
                  </w:r>
                </w:p>
              </w:tc>
              <w:tc>
                <w:tcPr>
                  <w:tcW w:w="1562" w:type="pct"/>
                  <w:vAlign w:val="center"/>
                </w:tcPr>
                <w:p w14:paraId="78F685C3">
                  <w:pPr>
                    <w:pStyle w:val="122"/>
                    <w:spacing w:line="240" w:lineRule="auto"/>
                    <w:ind w:firstLine="0" w:firstLineChars="0"/>
                    <w:rPr>
                      <w:snapToGrid w:val="0"/>
                      <w:sz w:val="21"/>
                      <w:szCs w:val="21"/>
                    </w:rPr>
                  </w:pPr>
                  <w:r>
                    <w:rPr>
                      <w:sz w:val="21"/>
                      <w:szCs w:val="21"/>
                    </w:rPr>
                    <w:t>润滑油</w:t>
                  </w:r>
                </w:p>
              </w:tc>
              <w:tc>
                <w:tcPr>
                  <w:tcW w:w="966" w:type="pct"/>
                  <w:shd w:val="clear" w:color="auto" w:fill="auto"/>
                  <w:vAlign w:val="center"/>
                </w:tcPr>
                <w:p w14:paraId="106F746F">
                  <w:pPr>
                    <w:jc w:val="center"/>
                    <w:rPr>
                      <w:szCs w:val="21"/>
                    </w:rPr>
                  </w:pPr>
                  <w:r>
                    <w:rPr>
                      <w:szCs w:val="21"/>
                    </w:rPr>
                    <w:t>2</w:t>
                  </w:r>
                </w:p>
              </w:tc>
              <w:tc>
                <w:tcPr>
                  <w:tcW w:w="837" w:type="pct"/>
                  <w:vAlign w:val="center"/>
                </w:tcPr>
                <w:p w14:paraId="44F124C9">
                  <w:pPr>
                    <w:jc w:val="center"/>
                    <w:rPr>
                      <w:szCs w:val="21"/>
                    </w:rPr>
                  </w:pPr>
                  <w:r>
                    <w:rPr>
                      <w:szCs w:val="21"/>
                    </w:rPr>
                    <w:t>2500</w:t>
                  </w:r>
                </w:p>
              </w:tc>
              <w:tc>
                <w:tcPr>
                  <w:tcW w:w="1094" w:type="pct"/>
                  <w:vAlign w:val="center"/>
                </w:tcPr>
                <w:p w14:paraId="7620B5A3">
                  <w:pPr>
                    <w:jc w:val="center"/>
                    <w:rPr>
                      <w:szCs w:val="21"/>
                    </w:rPr>
                  </w:pPr>
                  <w:r>
                    <w:rPr>
                      <w:szCs w:val="21"/>
                    </w:rPr>
                    <w:t>0.0008</w:t>
                  </w:r>
                </w:p>
              </w:tc>
            </w:tr>
            <w:tr w14:paraId="30B7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127780BE">
                  <w:pPr>
                    <w:pStyle w:val="122"/>
                    <w:spacing w:line="240" w:lineRule="auto"/>
                    <w:ind w:firstLine="0" w:firstLineChars="0"/>
                    <w:rPr>
                      <w:snapToGrid w:val="0"/>
                      <w:sz w:val="21"/>
                      <w:szCs w:val="21"/>
                    </w:rPr>
                  </w:pPr>
                  <w:r>
                    <w:rPr>
                      <w:snapToGrid w:val="0"/>
                      <w:sz w:val="21"/>
                      <w:szCs w:val="21"/>
                    </w:rPr>
                    <w:t>3</w:t>
                  </w:r>
                </w:p>
              </w:tc>
              <w:tc>
                <w:tcPr>
                  <w:tcW w:w="1562" w:type="pct"/>
                  <w:vAlign w:val="center"/>
                </w:tcPr>
                <w:p w14:paraId="2D0E464B">
                  <w:pPr>
                    <w:pStyle w:val="122"/>
                    <w:spacing w:line="240" w:lineRule="auto"/>
                    <w:ind w:firstLine="0" w:firstLineChars="0"/>
                    <w:rPr>
                      <w:sz w:val="21"/>
                      <w:szCs w:val="21"/>
                    </w:rPr>
                  </w:pPr>
                  <w:r>
                    <w:rPr>
                      <w:sz w:val="21"/>
                      <w:szCs w:val="21"/>
                    </w:rPr>
                    <w:t>缓蚀剂</w:t>
                  </w:r>
                </w:p>
              </w:tc>
              <w:tc>
                <w:tcPr>
                  <w:tcW w:w="966" w:type="pct"/>
                  <w:shd w:val="clear" w:color="auto" w:fill="auto"/>
                  <w:vAlign w:val="center"/>
                </w:tcPr>
                <w:p w14:paraId="0D0DF1B3">
                  <w:pPr>
                    <w:jc w:val="center"/>
                    <w:rPr>
                      <w:szCs w:val="21"/>
                    </w:rPr>
                  </w:pPr>
                  <w:r>
                    <w:rPr>
                      <w:szCs w:val="21"/>
                    </w:rPr>
                    <w:t>0.3</w:t>
                  </w:r>
                </w:p>
              </w:tc>
              <w:tc>
                <w:tcPr>
                  <w:tcW w:w="837" w:type="pct"/>
                  <w:vAlign w:val="center"/>
                </w:tcPr>
                <w:p w14:paraId="5321D329">
                  <w:pPr>
                    <w:jc w:val="center"/>
                    <w:rPr>
                      <w:szCs w:val="21"/>
                    </w:rPr>
                  </w:pPr>
                  <w:r>
                    <w:rPr>
                      <w:szCs w:val="21"/>
                    </w:rPr>
                    <w:t>2.5</w:t>
                  </w:r>
                </w:p>
              </w:tc>
              <w:tc>
                <w:tcPr>
                  <w:tcW w:w="1094" w:type="pct"/>
                  <w:vAlign w:val="center"/>
                </w:tcPr>
                <w:p w14:paraId="2FEF395A">
                  <w:pPr>
                    <w:jc w:val="center"/>
                    <w:rPr>
                      <w:szCs w:val="21"/>
                    </w:rPr>
                  </w:pPr>
                  <w:r>
                    <w:rPr>
                      <w:szCs w:val="21"/>
                    </w:rPr>
                    <w:t>0.12</w:t>
                  </w:r>
                </w:p>
              </w:tc>
            </w:tr>
            <w:tr w14:paraId="763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5BAC883A">
                  <w:pPr>
                    <w:pStyle w:val="122"/>
                    <w:spacing w:line="240" w:lineRule="auto"/>
                    <w:ind w:firstLine="0" w:firstLineChars="0"/>
                    <w:rPr>
                      <w:snapToGrid w:val="0"/>
                      <w:sz w:val="21"/>
                      <w:szCs w:val="21"/>
                    </w:rPr>
                  </w:pPr>
                  <w:r>
                    <w:rPr>
                      <w:snapToGrid w:val="0"/>
                      <w:sz w:val="21"/>
                      <w:szCs w:val="21"/>
                    </w:rPr>
                    <w:t>4</w:t>
                  </w:r>
                </w:p>
              </w:tc>
              <w:tc>
                <w:tcPr>
                  <w:tcW w:w="1562" w:type="pct"/>
                  <w:vAlign w:val="center"/>
                </w:tcPr>
                <w:p w14:paraId="4E458466">
                  <w:pPr>
                    <w:pStyle w:val="122"/>
                    <w:spacing w:line="240" w:lineRule="auto"/>
                    <w:ind w:firstLine="0" w:firstLineChars="0"/>
                    <w:rPr>
                      <w:sz w:val="21"/>
                      <w:szCs w:val="21"/>
                    </w:rPr>
                  </w:pPr>
                  <w:r>
                    <w:rPr>
                      <w:sz w:val="21"/>
                      <w:szCs w:val="21"/>
                    </w:rPr>
                    <w:t>切削液</w:t>
                  </w:r>
                </w:p>
              </w:tc>
              <w:tc>
                <w:tcPr>
                  <w:tcW w:w="966" w:type="pct"/>
                  <w:shd w:val="clear" w:color="auto" w:fill="auto"/>
                  <w:vAlign w:val="center"/>
                </w:tcPr>
                <w:p w14:paraId="37FEC8DD">
                  <w:pPr>
                    <w:jc w:val="center"/>
                    <w:rPr>
                      <w:szCs w:val="21"/>
                    </w:rPr>
                  </w:pPr>
                  <w:r>
                    <w:rPr>
                      <w:szCs w:val="21"/>
                    </w:rPr>
                    <w:t>2</w:t>
                  </w:r>
                </w:p>
              </w:tc>
              <w:tc>
                <w:tcPr>
                  <w:tcW w:w="837" w:type="pct"/>
                  <w:vAlign w:val="center"/>
                </w:tcPr>
                <w:p w14:paraId="29663136">
                  <w:pPr>
                    <w:jc w:val="center"/>
                    <w:rPr>
                      <w:szCs w:val="21"/>
                    </w:rPr>
                  </w:pPr>
                  <w:r>
                    <w:rPr>
                      <w:szCs w:val="21"/>
                    </w:rPr>
                    <w:t>2500</w:t>
                  </w:r>
                </w:p>
              </w:tc>
              <w:tc>
                <w:tcPr>
                  <w:tcW w:w="1094" w:type="pct"/>
                  <w:vAlign w:val="center"/>
                </w:tcPr>
                <w:p w14:paraId="5FC49E29">
                  <w:pPr>
                    <w:jc w:val="center"/>
                    <w:rPr>
                      <w:szCs w:val="21"/>
                    </w:rPr>
                  </w:pPr>
                  <w:r>
                    <w:rPr>
                      <w:szCs w:val="21"/>
                    </w:rPr>
                    <w:t>0.0008</w:t>
                  </w:r>
                </w:p>
              </w:tc>
            </w:tr>
            <w:tr w14:paraId="2880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6C5DB9B6">
                  <w:pPr>
                    <w:pStyle w:val="122"/>
                    <w:spacing w:line="240" w:lineRule="auto"/>
                    <w:ind w:firstLine="0" w:firstLineChars="0"/>
                    <w:rPr>
                      <w:snapToGrid w:val="0"/>
                      <w:sz w:val="21"/>
                      <w:szCs w:val="21"/>
                    </w:rPr>
                  </w:pPr>
                  <w:r>
                    <w:rPr>
                      <w:snapToGrid w:val="0"/>
                      <w:sz w:val="21"/>
                      <w:szCs w:val="21"/>
                    </w:rPr>
                    <w:t>5</w:t>
                  </w:r>
                </w:p>
              </w:tc>
              <w:tc>
                <w:tcPr>
                  <w:tcW w:w="1562" w:type="pct"/>
                  <w:vAlign w:val="center"/>
                </w:tcPr>
                <w:p w14:paraId="09BCB83F">
                  <w:pPr>
                    <w:pStyle w:val="122"/>
                    <w:spacing w:line="240" w:lineRule="auto"/>
                    <w:ind w:firstLine="0" w:firstLineChars="0"/>
                    <w:rPr>
                      <w:sz w:val="21"/>
                      <w:szCs w:val="21"/>
                    </w:rPr>
                  </w:pPr>
                  <w:r>
                    <w:rPr>
                      <w:sz w:val="21"/>
                      <w:szCs w:val="21"/>
                    </w:rPr>
                    <w:t>废液压油</w:t>
                  </w:r>
                </w:p>
              </w:tc>
              <w:tc>
                <w:tcPr>
                  <w:tcW w:w="966" w:type="pct"/>
                  <w:shd w:val="clear" w:color="auto" w:fill="auto"/>
                  <w:vAlign w:val="center"/>
                </w:tcPr>
                <w:p w14:paraId="600859FB">
                  <w:pPr>
                    <w:jc w:val="center"/>
                    <w:rPr>
                      <w:szCs w:val="21"/>
                    </w:rPr>
                  </w:pPr>
                  <w:r>
                    <w:rPr>
                      <w:szCs w:val="21"/>
                    </w:rPr>
                    <w:t>2</w:t>
                  </w:r>
                </w:p>
              </w:tc>
              <w:tc>
                <w:tcPr>
                  <w:tcW w:w="837" w:type="pct"/>
                  <w:vAlign w:val="center"/>
                </w:tcPr>
                <w:p w14:paraId="3F4D6748">
                  <w:pPr>
                    <w:jc w:val="center"/>
                    <w:rPr>
                      <w:szCs w:val="21"/>
                    </w:rPr>
                  </w:pPr>
                  <w:r>
                    <w:rPr>
                      <w:szCs w:val="21"/>
                    </w:rPr>
                    <w:t>2500</w:t>
                  </w:r>
                </w:p>
              </w:tc>
              <w:tc>
                <w:tcPr>
                  <w:tcW w:w="1094" w:type="pct"/>
                  <w:vAlign w:val="center"/>
                </w:tcPr>
                <w:p w14:paraId="17EA21CB">
                  <w:pPr>
                    <w:jc w:val="center"/>
                    <w:rPr>
                      <w:szCs w:val="21"/>
                    </w:rPr>
                  </w:pPr>
                  <w:r>
                    <w:rPr>
                      <w:szCs w:val="21"/>
                    </w:rPr>
                    <w:t>0.0008</w:t>
                  </w:r>
                </w:p>
              </w:tc>
            </w:tr>
            <w:tr w14:paraId="4D01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759DEEF5">
                  <w:pPr>
                    <w:pStyle w:val="122"/>
                    <w:spacing w:line="240" w:lineRule="auto"/>
                    <w:ind w:firstLine="0" w:firstLineChars="0"/>
                    <w:rPr>
                      <w:snapToGrid w:val="0"/>
                      <w:sz w:val="21"/>
                      <w:szCs w:val="21"/>
                    </w:rPr>
                  </w:pPr>
                  <w:r>
                    <w:rPr>
                      <w:snapToGrid w:val="0"/>
                      <w:sz w:val="21"/>
                      <w:szCs w:val="21"/>
                    </w:rPr>
                    <w:t>6</w:t>
                  </w:r>
                </w:p>
              </w:tc>
              <w:tc>
                <w:tcPr>
                  <w:tcW w:w="1562" w:type="pct"/>
                  <w:vAlign w:val="center"/>
                </w:tcPr>
                <w:p w14:paraId="2DDD0BCE">
                  <w:pPr>
                    <w:pStyle w:val="122"/>
                    <w:spacing w:line="240" w:lineRule="auto"/>
                    <w:ind w:firstLine="0" w:firstLineChars="0"/>
                    <w:rPr>
                      <w:sz w:val="21"/>
                      <w:szCs w:val="21"/>
                    </w:rPr>
                  </w:pPr>
                  <w:r>
                    <w:rPr>
                      <w:sz w:val="21"/>
                      <w:szCs w:val="21"/>
                    </w:rPr>
                    <w:t>废润滑油</w:t>
                  </w:r>
                </w:p>
              </w:tc>
              <w:tc>
                <w:tcPr>
                  <w:tcW w:w="966" w:type="pct"/>
                  <w:shd w:val="clear" w:color="auto" w:fill="auto"/>
                  <w:vAlign w:val="center"/>
                </w:tcPr>
                <w:p w14:paraId="06327CF1">
                  <w:pPr>
                    <w:jc w:val="center"/>
                    <w:rPr>
                      <w:szCs w:val="21"/>
                    </w:rPr>
                  </w:pPr>
                  <w:r>
                    <w:rPr>
                      <w:szCs w:val="21"/>
                    </w:rPr>
                    <w:t>2</w:t>
                  </w:r>
                </w:p>
              </w:tc>
              <w:tc>
                <w:tcPr>
                  <w:tcW w:w="837" w:type="pct"/>
                  <w:vAlign w:val="center"/>
                </w:tcPr>
                <w:p w14:paraId="10D4F599">
                  <w:pPr>
                    <w:jc w:val="center"/>
                    <w:rPr>
                      <w:szCs w:val="21"/>
                    </w:rPr>
                  </w:pPr>
                  <w:r>
                    <w:rPr>
                      <w:szCs w:val="21"/>
                    </w:rPr>
                    <w:t>2500</w:t>
                  </w:r>
                </w:p>
              </w:tc>
              <w:tc>
                <w:tcPr>
                  <w:tcW w:w="1094" w:type="pct"/>
                  <w:vAlign w:val="center"/>
                </w:tcPr>
                <w:p w14:paraId="6DC5ACE4">
                  <w:pPr>
                    <w:jc w:val="center"/>
                    <w:rPr>
                      <w:szCs w:val="21"/>
                    </w:rPr>
                  </w:pPr>
                  <w:r>
                    <w:rPr>
                      <w:szCs w:val="21"/>
                    </w:rPr>
                    <w:t>0.0008</w:t>
                  </w:r>
                </w:p>
              </w:tc>
            </w:tr>
            <w:tr w14:paraId="4CA0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6609455F">
                  <w:pPr>
                    <w:pStyle w:val="122"/>
                    <w:spacing w:line="240" w:lineRule="auto"/>
                    <w:ind w:firstLine="0" w:firstLineChars="0"/>
                    <w:rPr>
                      <w:snapToGrid w:val="0"/>
                      <w:sz w:val="21"/>
                      <w:szCs w:val="21"/>
                    </w:rPr>
                  </w:pPr>
                  <w:r>
                    <w:rPr>
                      <w:snapToGrid w:val="0"/>
                      <w:sz w:val="21"/>
                      <w:szCs w:val="21"/>
                    </w:rPr>
                    <w:t>7</w:t>
                  </w:r>
                </w:p>
              </w:tc>
              <w:tc>
                <w:tcPr>
                  <w:tcW w:w="1562" w:type="pct"/>
                  <w:vAlign w:val="center"/>
                </w:tcPr>
                <w:p w14:paraId="65D49CB6">
                  <w:pPr>
                    <w:pStyle w:val="122"/>
                    <w:spacing w:line="240" w:lineRule="auto"/>
                    <w:ind w:firstLine="0" w:firstLineChars="0"/>
                    <w:rPr>
                      <w:sz w:val="21"/>
                      <w:szCs w:val="21"/>
                    </w:rPr>
                  </w:pPr>
                  <w:r>
                    <w:rPr>
                      <w:sz w:val="21"/>
                      <w:szCs w:val="21"/>
                    </w:rPr>
                    <w:t>废切削液</w:t>
                  </w:r>
                </w:p>
              </w:tc>
              <w:tc>
                <w:tcPr>
                  <w:tcW w:w="966" w:type="pct"/>
                  <w:shd w:val="clear" w:color="auto" w:fill="auto"/>
                  <w:vAlign w:val="center"/>
                </w:tcPr>
                <w:p w14:paraId="03DDB548">
                  <w:pPr>
                    <w:jc w:val="center"/>
                    <w:rPr>
                      <w:szCs w:val="21"/>
                    </w:rPr>
                  </w:pPr>
                  <w:r>
                    <w:rPr>
                      <w:szCs w:val="21"/>
                    </w:rPr>
                    <w:t>50</w:t>
                  </w:r>
                </w:p>
              </w:tc>
              <w:tc>
                <w:tcPr>
                  <w:tcW w:w="837" w:type="pct"/>
                  <w:vAlign w:val="center"/>
                </w:tcPr>
                <w:p w14:paraId="74AECDA5">
                  <w:pPr>
                    <w:jc w:val="center"/>
                    <w:rPr>
                      <w:szCs w:val="21"/>
                    </w:rPr>
                  </w:pPr>
                  <w:r>
                    <w:rPr>
                      <w:szCs w:val="21"/>
                    </w:rPr>
                    <w:t>2500</w:t>
                  </w:r>
                </w:p>
              </w:tc>
              <w:tc>
                <w:tcPr>
                  <w:tcW w:w="1094" w:type="pct"/>
                  <w:vAlign w:val="center"/>
                </w:tcPr>
                <w:p w14:paraId="58DD0ABD">
                  <w:pPr>
                    <w:jc w:val="center"/>
                    <w:rPr>
                      <w:szCs w:val="21"/>
                    </w:rPr>
                  </w:pPr>
                  <w:r>
                    <w:rPr>
                      <w:szCs w:val="21"/>
                    </w:rPr>
                    <w:t>0.02</w:t>
                  </w:r>
                </w:p>
              </w:tc>
            </w:tr>
            <w:tr w14:paraId="317A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621D6A08">
                  <w:pPr>
                    <w:pStyle w:val="122"/>
                    <w:spacing w:line="240" w:lineRule="auto"/>
                    <w:ind w:firstLine="0" w:firstLineChars="0"/>
                    <w:rPr>
                      <w:snapToGrid w:val="0"/>
                      <w:sz w:val="21"/>
                      <w:szCs w:val="21"/>
                    </w:rPr>
                  </w:pPr>
                  <w:r>
                    <w:rPr>
                      <w:snapToGrid w:val="0"/>
                      <w:sz w:val="21"/>
                      <w:szCs w:val="21"/>
                    </w:rPr>
                    <w:t>8</w:t>
                  </w:r>
                </w:p>
              </w:tc>
              <w:tc>
                <w:tcPr>
                  <w:tcW w:w="1562" w:type="pct"/>
                  <w:vAlign w:val="center"/>
                </w:tcPr>
                <w:p w14:paraId="6BCB654B">
                  <w:pPr>
                    <w:pStyle w:val="122"/>
                    <w:spacing w:line="240" w:lineRule="auto"/>
                    <w:ind w:firstLine="0" w:firstLineChars="0"/>
                    <w:rPr>
                      <w:sz w:val="21"/>
                      <w:szCs w:val="21"/>
                    </w:rPr>
                  </w:pPr>
                  <w:r>
                    <w:rPr>
                      <w:sz w:val="21"/>
                      <w:szCs w:val="21"/>
                    </w:rPr>
                    <w:t>乙炔</w:t>
                  </w:r>
                </w:p>
              </w:tc>
              <w:tc>
                <w:tcPr>
                  <w:tcW w:w="966" w:type="pct"/>
                  <w:shd w:val="clear" w:color="auto" w:fill="auto"/>
                  <w:vAlign w:val="center"/>
                </w:tcPr>
                <w:p w14:paraId="18302D10">
                  <w:pPr>
                    <w:jc w:val="center"/>
                    <w:rPr>
                      <w:szCs w:val="21"/>
                    </w:rPr>
                  </w:pPr>
                  <w:r>
                    <w:rPr>
                      <w:szCs w:val="21"/>
                    </w:rPr>
                    <w:t>0.0125</w:t>
                  </w:r>
                </w:p>
              </w:tc>
              <w:tc>
                <w:tcPr>
                  <w:tcW w:w="837" w:type="pct"/>
                  <w:vAlign w:val="center"/>
                </w:tcPr>
                <w:p w14:paraId="7325F9E9">
                  <w:pPr>
                    <w:jc w:val="center"/>
                    <w:rPr>
                      <w:szCs w:val="21"/>
                    </w:rPr>
                  </w:pPr>
                  <w:r>
                    <w:rPr>
                      <w:szCs w:val="21"/>
                    </w:rPr>
                    <w:t>10</w:t>
                  </w:r>
                </w:p>
              </w:tc>
              <w:tc>
                <w:tcPr>
                  <w:tcW w:w="1094" w:type="pct"/>
                  <w:vAlign w:val="center"/>
                </w:tcPr>
                <w:p w14:paraId="78A4DDD2">
                  <w:pPr>
                    <w:jc w:val="center"/>
                    <w:rPr>
                      <w:szCs w:val="21"/>
                    </w:rPr>
                  </w:pPr>
                  <w:r>
                    <w:rPr>
                      <w:szCs w:val="21"/>
                    </w:rPr>
                    <w:t>0.00125</w:t>
                  </w:r>
                </w:p>
              </w:tc>
            </w:tr>
            <w:tr w14:paraId="2D21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12B7EACA">
                  <w:pPr>
                    <w:pStyle w:val="122"/>
                    <w:spacing w:line="240" w:lineRule="auto"/>
                    <w:ind w:firstLine="0" w:firstLineChars="0"/>
                    <w:rPr>
                      <w:snapToGrid w:val="0"/>
                      <w:sz w:val="21"/>
                      <w:szCs w:val="21"/>
                    </w:rPr>
                  </w:pPr>
                  <w:r>
                    <w:rPr>
                      <w:snapToGrid w:val="0"/>
                      <w:sz w:val="21"/>
                      <w:szCs w:val="21"/>
                    </w:rPr>
                    <w:t>9</w:t>
                  </w:r>
                </w:p>
              </w:tc>
              <w:tc>
                <w:tcPr>
                  <w:tcW w:w="1562" w:type="pct"/>
                  <w:vAlign w:val="center"/>
                </w:tcPr>
                <w:p w14:paraId="3B250C4C">
                  <w:pPr>
                    <w:pStyle w:val="122"/>
                    <w:spacing w:line="240" w:lineRule="auto"/>
                    <w:ind w:firstLine="0" w:firstLineChars="0"/>
                    <w:rPr>
                      <w:sz w:val="21"/>
                      <w:szCs w:val="21"/>
                    </w:rPr>
                  </w:pPr>
                  <w:r>
                    <w:rPr>
                      <w:sz w:val="21"/>
                      <w:szCs w:val="21"/>
                    </w:rPr>
                    <w:t>柴油</w:t>
                  </w:r>
                </w:p>
              </w:tc>
              <w:tc>
                <w:tcPr>
                  <w:tcW w:w="966" w:type="pct"/>
                  <w:shd w:val="clear" w:color="auto" w:fill="auto"/>
                  <w:vAlign w:val="center"/>
                </w:tcPr>
                <w:p w14:paraId="7E16A97D">
                  <w:pPr>
                    <w:jc w:val="center"/>
                    <w:rPr>
                      <w:szCs w:val="21"/>
                    </w:rPr>
                  </w:pPr>
                  <w:r>
                    <w:rPr>
                      <w:rFonts w:hint="eastAsia"/>
                      <w:szCs w:val="21"/>
                    </w:rPr>
                    <w:t>1</w:t>
                  </w:r>
                </w:p>
              </w:tc>
              <w:tc>
                <w:tcPr>
                  <w:tcW w:w="837" w:type="pct"/>
                  <w:vAlign w:val="center"/>
                </w:tcPr>
                <w:p w14:paraId="63A1161C">
                  <w:pPr>
                    <w:jc w:val="center"/>
                    <w:rPr>
                      <w:szCs w:val="21"/>
                    </w:rPr>
                  </w:pPr>
                  <w:r>
                    <w:rPr>
                      <w:rFonts w:hint="eastAsia"/>
                      <w:szCs w:val="21"/>
                    </w:rPr>
                    <w:t>2</w:t>
                  </w:r>
                  <w:r>
                    <w:rPr>
                      <w:szCs w:val="21"/>
                    </w:rPr>
                    <w:t>500</w:t>
                  </w:r>
                </w:p>
              </w:tc>
              <w:tc>
                <w:tcPr>
                  <w:tcW w:w="1094" w:type="pct"/>
                  <w:vAlign w:val="center"/>
                </w:tcPr>
                <w:p w14:paraId="7617C990">
                  <w:pPr>
                    <w:jc w:val="center"/>
                    <w:rPr>
                      <w:szCs w:val="21"/>
                    </w:rPr>
                  </w:pPr>
                  <w:r>
                    <w:rPr>
                      <w:szCs w:val="21"/>
                    </w:rPr>
                    <w:t>0.0004</w:t>
                  </w:r>
                </w:p>
              </w:tc>
            </w:tr>
            <w:tr w14:paraId="2760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1" w:type="pct"/>
                  <w:vAlign w:val="center"/>
                </w:tcPr>
                <w:p w14:paraId="11EA03F8">
                  <w:pPr>
                    <w:pStyle w:val="122"/>
                    <w:spacing w:line="240" w:lineRule="auto"/>
                    <w:ind w:firstLine="0" w:firstLineChars="0"/>
                    <w:rPr>
                      <w:snapToGrid w:val="0"/>
                      <w:sz w:val="21"/>
                      <w:szCs w:val="21"/>
                    </w:rPr>
                  </w:pPr>
                </w:p>
              </w:tc>
              <w:tc>
                <w:tcPr>
                  <w:tcW w:w="1562" w:type="pct"/>
                  <w:vAlign w:val="center"/>
                </w:tcPr>
                <w:p w14:paraId="66B88E3B">
                  <w:pPr>
                    <w:pStyle w:val="122"/>
                    <w:spacing w:line="240" w:lineRule="auto"/>
                    <w:ind w:firstLine="0" w:firstLineChars="0"/>
                    <w:rPr>
                      <w:snapToGrid w:val="0"/>
                      <w:sz w:val="21"/>
                      <w:szCs w:val="21"/>
                    </w:rPr>
                  </w:pPr>
                  <w:r>
                    <w:rPr>
                      <w:snapToGrid w:val="0"/>
                      <w:sz w:val="21"/>
                      <w:szCs w:val="21"/>
                    </w:rPr>
                    <w:t>项目Q值∑</w:t>
                  </w:r>
                </w:p>
              </w:tc>
              <w:tc>
                <w:tcPr>
                  <w:tcW w:w="966" w:type="pct"/>
                  <w:shd w:val="clear" w:color="auto" w:fill="auto"/>
                  <w:vAlign w:val="center"/>
                </w:tcPr>
                <w:p w14:paraId="7BD1E3C5">
                  <w:pPr>
                    <w:pStyle w:val="122"/>
                    <w:spacing w:line="240" w:lineRule="auto"/>
                    <w:ind w:firstLine="0" w:firstLineChars="0"/>
                    <w:rPr>
                      <w:snapToGrid w:val="0"/>
                      <w:sz w:val="21"/>
                      <w:szCs w:val="21"/>
                    </w:rPr>
                  </w:pPr>
                  <w:r>
                    <w:rPr>
                      <w:snapToGrid w:val="0"/>
                      <w:sz w:val="21"/>
                      <w:szCs w:val="21"/>
                    </w:rPr>
                    <w:t>/</w:t>
                  </w:r>
                </w:p>
              </w:tc>
              <w:tc>
                <w:tcPr>
                  <w:tcW w:w="837" w:type="pct"/>
                  <w:vAlign w:val="center"/>
                </w:tcPr>
                <w:p w14:paraId="011DCB30">
                  <w:pPr>
                    <w:pStyle w:val="122"/>
                    <w:spacing w:line="240" w:lineRule="auto"/>
                    <w:ind w:firstLine="0" w:firstLineChars="0"/>
                    <w:rPr>
                      <w:snapToGrid w:val="0"/>
                      <w:sz w:val="21"/>
                      <w:szCs w:val="21"/>
                    </w:rPr>
                  </w:pPr>
                  <w:r>
                    <w:rPr>
                      <w:snapToGrid w:val="0"/>
                      <w:sz w:val="21"/>
                      <w:szCs w:val="21"/>
                    </w:rPr>
                    <w:t>/</w:t>
                  </w:r>
                </w:p>
              </w:tc>
              <w:tc>
                <w:tcPr>
                  <w:tcW w:w="1094" w:type="pct"/>
                  <w:vAlign w:val="center"/>
                </w:tcPr>
                <w:p w14:paraId="0942ABEA">
                  <w:pPr>
                    <w:pStyle w:val="122"/>
                    <w:spacing w:line="240" w:lineRule="auto"/>
                    <w:ind w:firstLine="0" w:firstLineChars="0"/>
                    <w:rPr>
                      <w:snapToGrid w:val="0"/>
                      <w:sz w:val="21"/>
                      <w:szCs w:val="21"/>
                    </w:rPr>
                  </w:pPr>
                  <w:r>
                    <w:rPr>
                      <w:snapToGrid w:val="0"/>
                      <w:sz w:val="21"/>
                      <w:szCs w:val="21"/>
                    </w:rPr>
                    <w:t>0.14565</w:t>
                  </w:r>
                </w:p>
              </w:tc>
            </w:tr>
          </w:tbl>
          <w:p w14:paraId="49FC2479">
            <w:pPr>
              <w:spacing w:line="360" w:lineRule="auto"/>
              <w:ind w:firstLine="480" w:firstLineChars="200"/>
              <w:rPr>
                <w:sz w:val="24"/>
              </w:rPr>
            </w:pPr>
            <w:r>
              <w:rPr>
                <w:sz w:val="24"/>
              </w:rPr>
              <w:t>（2）环境风险物质影响途径</w:t>
            </w:r>
          </w:p>
          <w:p w14:paraId="63CA8B74">
            <w:pPr>
              <w:spacing w:line="360" w:lineRule="auto"/>
              <w:ind w:firstLine="480" w:firstLineChars="200"/>
              <w:rPr>
                <w:sz w:val="24"/>
              </w:rPr>
            </w:pPr>
            <w:r>
              <w:rPr>
                <w:sz w:val="24"/>
              </w:rPr>
              <w:t>项目涉及的危险物质以液态为主，存在泄漏风险，产生原因主要为物料在存储和使用过程中容器破损、管道破裂等，泄漏物料</w:t>
            </w:r>
            <w:r>
              <w:rPr>
                <w:rFonts w:hAnsi="宋体"/>
                <w:sz w:val="24"/>
              </w:rPr>
              <w:t>下渗进入项目所在地地下水和土壤环境中</w:t>
            </w:r>
            <w:r>
              <w:rPr>
                <w:rFonts w:hint="eastAsia" w:hAnsi="宋体"/>
                <w:sz w:val="24"/>
              </w:rPr>
              <w:t>，通过在土壤和地下水中的运移可能污染扩大化。同时</w:t>
            </w:r>
            <w:r>
              <w:rPr>
                <w:rFonts w:hAnsi="宋体"/>
                <w:sz w:val="24"/>
              </w:rPr>
              <w:t>渗入地下水的污染物参与地下水循环可能对</w:t>
            </w:r>
            <w:r>
              <w:rPr>
                <w:rFonts w:hint="eastAsia" w:hAnsi="宋体"/>
                <w:sz w:val="24"/>
              </w:rPr>
              <w:t>项目区</w:t>
            </w:r>
            <w:r>
              <w:rPr>
                <w:rFonts w:hAnsi="宋体"/>
                <w:sz w:val="24"/>
              </w:rPr>
              <w:t>周边植被生长产生一定影响</w:t>
            </w:r>
            <w:r>
              <w:rPr>
                <w:sz w:val="24"/>
              </w:rPr>
              <w:t>。</w:t>
            </w:r>
          </w:p>
          <w:p w14:paraId="4A489F3E">
            <w:pPr>
              <w:spacing w:line="360" w:lineRule="auto"/>
              <w:ind w:firstLine="480" w:firstLineChars="200"/>
              <w:rPr>
                <w:sz w:val="24"/>
              </w:rPr>
            </w:pPr>
            <w:r>
              <w:rPr>
                <w:sz w:val="24"/>
              </w:rPr>
              <w:t>此外</w:t>
            </w:r>
            <w:r>
              <w:rPr>
                <w:rFonts w:hint="eastAsia"/>
                <w:sz w:val="24"/>
              </w:rPr>
              <w:t>，</w:t>
            </w:r>
            <w:r>
              <w:rPr>
                <w:sz w:val="24"/>
              </w:rPr>
              <w:t>项目储存的乙炔属气态危险物质</w:t>
            </w:r>
            <w:r>
              <w:rPr>
                <w:rFonts w:hint="eastAsia"/>
                <w:sz w:val="24"/>
              </w:rPr>
              <w:t>，</w:t>
            </w:r>
            <w:r>
              <w:rPr>
                <w:sz w:val="24"/>
              </w:rPr>
              <w:t>泄漏后与控制混合可形成爆炸气体混合物</w:t>
            </w:r>
            <w:r>
              <w:rPr>
                <w:rFonts w:hint="eastAsia"/>
                <w:sz w:val="24"/>
              </w:rPr>
              <w:t>，</w:t>
            </w:r>
            <w:r>
              <w:rPr>
                <w:sz w:val="24"/>
              </w:rPr>
              <w:t>空气中乙炔含量大道爆炸极限后</w:t>
            </w:r>
            <w:r>
              <w:rPr>
                <w:rFonts w:hint="eastAsia"/>
                <w:sz w:val="24"/>
              </w:rPr>
              <w:t>，</w:t>
            </w:r>
            <w:r>
              <w:rPr>
                <w:sz w:val="24"/>
              </w:rPr>
              <w:t>遇明火或火星可直接一起爆炸</w:t>
            </w:r>
            <w:r>
              <w:rPr>
                <w:rFonts w:hint="eastAsia"/>
                <w:sz w:val="24"/>
              </w:rPr>
              <w:t>。</w:t>
            </w:r>
            <w:r>
              <w:rPr>
                <w:sz w:val="24"/>
              </w:rPr>
              <w:t>项目储存的</w:t>
            </w:r>
            <w:r>
              <w:rPr>
                <w:rFonts w:hint="eastAsia"/>
                <w:sz w:val="24"/>
              </w:rPr>
              <w:t>机油、液压油及柴油等物质均为可燃物质，储存或使用不当可能引发火灾，油料物质燃烧过程中将产生一氧化碳、颗粒物等次生/伴生大气污染物，造成项目所在地短时间内环境空气质量下降。</w:t>
            </w:r>
          </w:p>
          <w:p w14:paraId="1AA35450">
            <w:pPr>
              <w:spacing w:line="360" w:lineRule="auto"/>
              <w:ind w:firstLine="480" w:firstLineChars="200"/>
              <w:rPr>
                <w:sz w:val="24"/>
              </w:rPr>
            </w:pPr>
            <w:r>
              <w:rPr>
                <w:sz w:val="24"/>
              </w:rPr>
              <w:t>（3）环境风险防范措施</w:t>
            </w:r>
          </w:p>
          <w:p w14:paraId="78CB85EF">
            <w:pPr>
              <w:spacing w:line="360" w:lineRule="auto"/>
              <w:ind w:firstLine="480" w:firstLineChars="200"/>
              <w:rPr>
                <w:sz w:val="24"/>
              </w:rPr>
            </w:pPr>
            <w:r>
              <w:rPr>
                <w:rFonts w:hint="eastAsia" w:ascii="宋体" w:hAnsi="宋体" w:cs="宋体"/>
                <w:sz w:val="24"/>
              </w:rPr>
              <w:t>①</w:t>
            </w:r>
            <w:r>
              <w:rPr>
                <w:sz w:val="24"/>
              </w:rPr>
              <w:t>联合厂房内进行分区防渗，</w:t>
            </w:r>
            <w:r>
              <w:rPr>
                <w:rFonts w:hint="eastAsia"/>
                <w:sz w:val="24"/>
              </w:rPr>
              <w:t>油品库</w:t>
            </w:r>
            <w:r>
              <w:rPr>
                <w:sz w:val="24"/>
              </w:rPr>
              <w:t>、污水处理设施、危废暂存间、柴油发电机房采取重点防渗，底部设有托盘，防止物料储存过程中发生泄漏并进入地下水及土壤环境；</w:t>
            </w:r>
          </w:p>
          <w:p w14:paraId="015C2E0A">
            <w:pPr>
              <w:spacing w:line="360" w:lineRule="auto"/>
              <w:ind w:firstLine="480" w:firstLineChars="200"/>
              <w:rPr>
                <w:sz w:val="24"/>
              </w:rPr>
            </w:pPr>
            <w:r>
              <w:rPr>
                <w:rFonts w:hint="eastAsia" w:ascii="宋体" w:hAnsi="宋体" w:cs="宋体"/>
                <w:sz w:val="24"/>
              </w:rPr>
              <w:t>②</w:t>
            </w:r>
            <w:r>
              <w:rPr>
                <w:sz w:val="24"/>
              </w:rPr>
              <w:t>乙炔设置单独库房储存，同时设置禁烟、禁明火标识牌，并设干粉灭火器等消防设施。</w:t>
            </w:r>
            <w:r>
              <w:rPr>
                <w:rFonts w:hint="eastAsia"/>
                <w:sz w:val="24"/>
              </w:rPr>
              <w:t>氧气、乙炔均向具有相关环保安全手续的正规厂家购买，气瓶质量按相关要求进行定期检验，运输、堆存及使用过程中轻拿轻放，避免强烈碰撞引起的气瓶物理爆炸。</w:t>
            </w:r>
          </w:p>
          <w:p w14:paraId="1620C2BE">
            <w:pPr>
              <w:spacing w:line="360" w:lineRule="auto"/>
              <w:ind w:firstLine="480" w:firstLineChars="200"/>
              <w:rPr>
                <w:sz w:val="24"/>
              </w:rPr>
            </w:pPr>
            <w:r>
              <w:rPr>
                <w:rFonts w:hint="eastAsia" w:ascii="宋体" w:hAnsi="宋体" w:cs="宋体"/>
                <w:sz w:val="24"/>
              </w:rPr>
              <w:t>③</w:t>
            </w:r>
            <w:r>
              <w:rPr>
                <w:sz w:val="24"/>
              </w:rPr>
              <w:t>危废暂存地面采取防腐、防渗处理，物料底部设置托盘，内墙四周设截流沟及收集池（容积不低于0.2m</w:t>
            </w:r>
            <w:r>
              <w:rPr>
                <w:sz w:val="24"/>
                <w:vertAlign w:val="superscript"/>
              </w:rPr>
              <w:t>3</w:t>
            </w:r>
            <w:r>
              <w:rPr>
                <w:sz w:val="24"/>
              </w:rPr>
              <w:t>），能有效防止液体泄漏。同时在危废暂存间内设置备用防腐空桶</w:t>
            </w:r>
            <w:r>
              <w:rPr>
                <w:rFonts w:hint="eastAsia"/>
                <w:sz w:val="24"/>
              </w:rPr>
              <w:t>，</w:t>
            </w:r>
            <w:r>
              <w:rPr>
                <w:sz w:val="24"/>
              </w:rPr>
              <w:t>用于液态危险废物泄漏后的应急收集和处置</w:t>
            </w:r>
            <w:r>
              <w:rPr>
                <w:rFonts w:hint="eastAsia"/>
                <w:sz w:val="24"/>
              </w:rPr>
              <w:t>。</w:t>
            </w:r>
          </w:p>
          <w:p w14:paraId="50306A0D">
            <w:pPr>
              <w:spacing w:line="360" w:lineRule="auto"/>
              <w:ind w:firstLine="480" w:firstLineChars="200"/>
              <w:rPr>
                <w:sz w:val="24"/>
              </w:rPr>
            </w:pPr>
            <w:r>
              <w:rPr>
                <w:rFonts w:hint="eastAsia"/>
                <w:sz w:val="24"/>
              </w:rPr>
              <w:t>④表面清理及抛丸过程产生的铝粉尘单独储存，小心收集，避免产生铝粉扬尘。同时设置</w:t>
            </w:r>
            <w:r>
              <w:rPr>
                <w:sz w:val="24"/>
              </w:rPr>
              <w:t>禁烟、禁明火标识牌，并设干粉灭火器等消防设施。</w:t>
            </w:r>
          </w:p>
          <w:p w14:paraId="78F58848">
            <w:pPr>
              <w:spacing w:line="360" w:lineRule="auto"/>
              <w:ind w:firstLine="480" w:firstLineChars="200"/>
              <w:rPr>
                <w:sz w:val="24"/>
              </w:rPr>
            </w:pPr>
            <w:r>
              <w:rPr>
                <w:rFonts w:hint="eastAsia"/>
                <w:sz w:val="24"/>
              </w:rPr>
              <w:t>⑤建立安全生产岗位责任制，制定安全生产规章制度、安全操作规程。如生产过程必须有全套切实可行的安全操作规程，有专人负责检查安全操作规程的执行、安全设备及防护设备的使用情况；工作现场严禁吸烟、进食、饮水；车间应配备急救设备和药品；作业人员应学会自救和互救。</w:t>
            </w:r>
          </w:p>
          <w:p w14:paraId="5FEED772">
            <w:pPr>
              <w:spacing w:line="360" w:lineRule="auto"/>
              <w:ind w:firstLine="480" w:firstLineChars="200"/>
              <w:rPr>
                <w:sz w:val="24"/>
              </w:rPr>
            </w:pPr>
            <w:r>
              <w:rPr>
                <w:rFonts w:hint="eastAsia"/>
                <w:sz w:val="24"/>
              </w:rPr>
              <w:t>⑥严格岗位操作规程，加强操作人员的岗位培训和职业素质教育。提高安全意识，实施规范核查。实行操作人员持证上岗制度，确保安全生产。</w:t>
            </w:r>
          </w:p>
          <w:p w14:paraId="52D7BA70">
            <w:pPr>
              <w:spacing w:line="360" w:lineRule="auto"/>
              <w:ind w:firstLine="480" w:firstLineChars="200"/>
              <w:rPr>
                <w:sz w:val="24"/>
              </w:rPr>
            </w:pPr>
            <w:r>
              <w:rPr>
                <w:rFonts w:hint="eastAsia"/>
                <w:sz w:val="24"/>
              </w:rPr>
              <w:t>⑦建立预警机制，定期组织相关人员进行事故防范演习，提高事故应变能力，一旦发生事故时，能及时采取正确措施，将事故造成的损失降低到最低程度。</w:t>
            </w:r>
          </w:p>
          <w:p w14:paraId="3BDEF396">
            <w:pPr>
              <w:spacing w:line="360" w:lineRule="auto"/>
              <w:ind w:firstLine="480" w:firstLineChars="200"/>
              <w:rPr>
                <w:sz w:val="24"/>
              </w:rPr>
            </w:pPr>
            <w:r>
              <w:rPr>
                <w:rFonts w:hint="eastAsia"/>
                <w:sz w:val="24"/>
              </w:rPr>
              <w:t>⑧做好日常机械设备维护保养工作；定期检查，保证安全措施（如消防设施）齐全并保持完好。</w:t>
            </w:r>
          </w:p>
          <w:p w14:paraId="0E1876A7">
            <w:pPr>
              <w:tabs>
                <w:tab w:val="center" w:pos="4422"/>
              </w:tabs>
              <w:spacing w:line="360" w:lineRule="auto"/>
              <w:ind w:firstLine="560" w:firstLineChars="200"/>
              <w:rPr>
                <w:sz w:val="28"/>
                <w:szCs w:val="28"/>
              </w:rPr>
            </w:pPr>
          </w:p>
          <w:p w14:paraId="10CBF2DC">
            <w:pPr>
              <w:tabs>
                <w:tab w:val="center" w:pos="4422"/>
              </w:tabs>
              <w:spacing w:line="360" w:lineRule="auto"/>
              <w:ind w:firstLine="560" w:firstLineChars="200"/>
              <w:rPr>
                <w:sz w:val="28"/>
                <w:szCs w:val="28"/>
              </w:rPr>
            </w:pPr>
          </w:p>
          <w:p w14:paraId="2BC6C1E8">
            <w:pPr>
              <w:tabs>
                <w:tab w:val="center" w:pos="4422"/>
              </w:tabs>
              <w:spacing w:line="360" w:lineRule="auto"/>
              <w:ind w:firstLine="560" w:firstLineChars="200"/>
              <w:rPr>
                <w:sz w:val="28"/>
                <w:szCs w:val="28"/>
              </w:rPr>
            </w:pPr>
          </w:p>
          <w:p w14:paraId="5657C92A">
            <w:pPr>
              <w:tabs>
                <w:tab w:val="center" w:pos="4422"/>
              </w:tabs>
              <w:spacing w:line="360" w:lineRule="auto"/>
              <w:ind w:firstLine="560" w:firstLineChars="200"/>
              <w:rPr>
                <w:sz w:val="28"/>
                <w:szCs w:val="28"/>
              </w:rPr>
            </w:pPr>
          </w:p>
          <w:p w14:paraId="3899B65B">
            <w:pPr>
              <w:tabs>
                <w:tab w:val="center" w:pos="4422"/>
              </w:tabs>
              <w:spacing w:line="360" w:lineRule="auto"/>
              <w:ind w:firstLine="560" w:firstLineChars="200"/>
              <w:rPr>
                <w:sz w:val="28"/>
                <w:szCs w:val="28"/>
              </w:rPr>
            </w:pPr>
          </w:p>
          <w:p w14:paraId="123967B4">
            <w:pPr>
              <w:tabs>
                <w:tab w:val="center" w:pos="4422"/>
              </w:tabs>
              <w:spacing w:line="360" w:lineRule="auto"/>
              <w:ind w:firstLine="560" w:firstLineChars="200"/>
              <w:rPr>
                <w:sz w:val="28"/>
                <w:szCs w:val="28"/>
              </w:rPr>
            </w:pPr>
          </w:p>
          <w:p w14:paraId="416D2A17">
            <w:pPr>
              <w:tabs>
                <w:tab w:val="center" w:pos="4422"/>
              </w:tabs>
              <w:spacing w:line="360" w:lineRule="auto"/>
              <w:ind w:firstLine="560" w:firstLineChars="200"/>
              <w:rPr>
                <w:sz w:val="28"/>
                <w:szCs w:val="28"/>
              </w:rPr>
            </w:pPr>
          </w:p>
          <w:p w14:paraId="65567E02">
            <w:pPr>
              <w:tabs>
                <w:tab w:val="center" w:pos="4422"/>
              </w:tabs>
              <w:spacing w:line="360" w:lineRule="auto"/>
              <w:ind w:firstLine="560" w:firstLineChars="200"/>
              <w:rPr>
                <w:sz w:val="28"/>
                <w:szCs w:val="28"/>
              </w:rPr>
            </w:pPr>
          </w:p>
          <w:p w14:paraId="71EC8EB2">
            <w:pPr>
              <w:tabs>
                <w:tab w:val="center" w:pos="4422"/>
              </w:tabs>
              <w:spacing w:line="360" w:lineRule="auto"/>
              <w:ind w:firstLine="560" w:firstLineChars="200"/>
              <w:rPr>
                <w:sz w:val="28"/>
                <w:szCs w:val="28"/>
              </w:rPr>
            </w:pPr>
          </w:p>
          <w:p w14:paraId="24056D98">
            <w:pPr>
              <w:tabs>
                <w:tab w:val="center" w:pos="4422"/>
              </w:tabs>
              <w:spacing w:line="360" w:lineRule="auto"/>
              <w:ind w:firstLine="560" w:firstLineChars="200"/>
              <w:rPr>
                <w:sz w:val="28"/>
                <w:szCs w:val="28"/>
              </w:rPr>
            </w:pPr>
          </w:p>
          <w:p w14:paraId="6A37230A">
            <w:pPr>
              <w:tabs>
                <w:tab w:val="center" w:pos="4422"/>
              </w:tabs>
              <w:spacing w:line="360" w:lineRule="auto"/>
              <w:ind w:firstLine="560" w:firstLineChars="200"/>
              <w:rPr>
                <w:sz w:val="28"/>
                <w:szCs w:val="28"/>
              </w:rPr>
            </w:pPr>
          </w:p>
          <w:p w14:paraId="51C8C435">
            <w:pPr>
              <w:tabs>
                <w:tab w:val="center" w:pos="4422"/>
              </w:tabs>
              <w:spacing w:line="360" w:lineRule="auto"/>
              <w:ind w:firstLine="560" w:firstLineChars="200"/>
              <w:rPr>
                <w:sz w:val="28"/>
                <w:szCs w:val="28"/>
              </w:rPr>
            </w:pPr>
          </w:p>
          <w:p w14:paraId="48C7D039">
            <w:pPr>
              <w:tabs>
                <w:tab w:val="center" w:pos="4422"/>
              </w:tabs>
              <w:spacing w:line="360" w:lineRule="auto"/>
              <w:ind w:firstLine="560" w:firstLineChars="200"/>
              <w:rPr>
                <w:sz w:val="28"/>
                <w:szCs w:val="28"/>
              </w:rPr>
            </w:pPr>
          </w:p>
          <w:p w14:paraId="08690D5C">
            <w:pPr>
              <w:tabs>
                <w:tab w:val="center" w:pos="4422"/>
              </w:tabs>
              <w:spacing w:line="360" w:lineRule="auto"/>
              <w:ind w:firstLine="560" w:firstLineChars="200"/>
              <w:rPr>
                <w:sz w:val="28"/>
                <w:szCs w:val="28"/>
              </w:rPr>
            </w:pPr>
          </w:p>
          <w:p w14:paraId="135ED730">
            <w:pPr>
              <w:tabs>
                <w:tab w:val="center" w:pos="4422"/>
              </w:tabs>
              <w:spacing w:line="360" w:lineRule="auto"/>
              <w:ind w:firstLine="560" w:firstLineChars="200"/>
              <w:rPr>
                <w:sz w:val="28"/>
                <w:szCs w:val="28"/>
              </w:rPr>
            </w:pPr>
          </w:p>
          <w:p w14:paraId="3349EAB9">
            <w:pPr>
              <w:tabs>
                <w:tab w:val="center" w:pos="4422"/>
              </w:tabs>
              <w:spacing w:line="360" w:lineRule="auto"/>
              <w:ind w:firstLine="560" w:firstLineChars="200"/>
              <w:rPr>
                <w:sz w:val="28"/>
                <w:szCs w:val="28"/>
              </w:rPr>
            </w:pPr>
          </w:p>
        </w:tc>
      </w:tr>
    </w:tbl>
    <w:p w14:paraId="06E70AC8">
      <w:pPr>
        <w:tabs>
          <w:tab w:val="center" w:pos="4422"/>
        </w:tabs>
        <w:rPr>
          <w:sz w:val="28"/>
          <w:szCs w:val="28"/>
        </w:rPr>
        <w:sectPr>
          <w:pgSz w:w="11907" w:h="16840"/>
          <w:pgMar w:top="1701" w:right="1531" w:bottom="2127" w:left="1531" w:header="851" w:footer="851" w:gutter="0"/>
          <w:cols w:space="720" w:num="1"/>
          <w:docGrid w:linePitch="312" w:charSpace="0"/>
        </w:sectPr>
      </w:pPr>
    </w:p>
    <w:p w14:paraId="2DDA24D4">
      <w:pPr>
        <w:pStyle w:val="24"/>
        <w:jc w:val="center"/>
        <w:outlineLvl w:val="0"/>
        <w:rPr>
          <w:rFonts w:ascii="Times New Roman" w:hAnsi="Times New Roman"/>
          <w:snapToGrid w:val="0"/>
          <w:sz w:val="30"/>
          <w:szCs w:val="30"/>
        </w:rPr>
      </w:pPr>
      <w:r>
        <w:rPr>
          <w:rFonts w:ascii="Times New Roman" w:hAnsi="Times New Roman"/>
          <w:snapToGrid w:val="0"/>
          <w:sz w:val="30"/>
          <w:szCs w:val="30"/>
        </w:rPr>
        <w:t>五、</w:t>
      </w:r>
      <w:bookmarkStart w:id="1" w:name="_Hlk54167917"/>
      <w:r>
        <w:rPr>
          <w:rFonts w:hint="eastAsia" w:ascii="Times New Roman" w:hAnsi="Times New Roman"/>
          <w:snapToGrid w:val="0"/>
          <w:sz w:val="30"/>
          <w:szCs w:val="30"/>
        </w:rPr>
        <w:t>迁建</w:t>
      </w:r>
      <w:r>
        <w:rPr>
          <w:rFonts w:ascii="Times New Roman" w:hAnsi="Times New Roman"/>
          <w:snapToGrid w:val="0"/>
          <w:sz w:val="30"/>
          <w:szCs w:val="30"/>
        </w:rPr>
        <w:t>后全厂环境保护措施监督检查清单</w:t>
      </w:r>
      <w:bookmarkEnd w:id="1"/>
    </w:p>
    <w:tbl>
      <w:tblPr>
        <w:tblStyle w:val="26"/>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855"/>
        <w:gridCol w:w="2689"/>
        <w:gridCol w:w="1417"/>
        <w:gridCol w:w="2006"/>
      </w:tblGrid>
      <w:tr w14:paraId="7420A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tcBorders>
              <w:tl2br w:val="single" w:color="auto" w:sz="4" w:space="0"/>
            </w:tcBorders>
          </w:tcPr>
          <w:p w14:paraId="102B81F0">
            <w:pPr>
              <w:adjustRightInd w:val="0"/>
              <w:snapToGrid w:val="0"/>
              <w:ind w:firstLine="210" w:firstLineChars="100"/>
              <w:rPr>
                <w:szCs w:val="21"/>
              </w:rPr>
            </w:pPr>
            <w:r>
              <w:rPr>
                <w:szCs w:val="21"/>
              </w:rPr>
              <w:t>内容</w:t>
            </w:r>
          </w:p>
          <w:p w14:paraId="021AA2D5">
            <w:pPr>
              <w:adjustRightInd w:val="0"/>
              <w:snapToGrid w:val="0"/>
              <w:rPr>
                <w:szCs w:val="21"/>
              </w:rPr>
            </w:pPr>
          </w:p>
          <w:p w14:paraId="41FC8FF0">
            <w:pPr>
              <w:adjustRightInd w:val="0"/>
              <w:snapToGrid w:val="0"/>
              <w:rPr>
                <w:szCs w:val="21"/>
              </w:rPr>
            </w:pPr>
            <w:r>
              <w:rPr>
                <w:szCs w:val="21"/>
              </w:rPr>
              <w:t>要素</w:t>
            </w:r>
          </w:p>
        </w:tc>
        <w:tc>
          <w:tcPr>
            <w:tcW w:w="1134" w:type="dxa"/>
            <w:vAlign w:val="center"/>
          </w:tcPr>
          <w:p w14:paraId="19FC15E5">
            <w:pPr>
              <w:adjustRightInd w:val="0"/>
              <w:snapToGrid w:val="0"/>
              <w:jc w:val="center"/>
              <w:rPr>
                <w:szCs w:val="21"/>
              </w:rPr>
            </w:pPr>
            <w:r>
              <w:rPr>
                <w:szCs w:val="21"/>
              </w:rPr>
              <w:t>排放口(编号、名称)/污染源</w:t>
            </w:r>
          </w:p>
        </w:tc>
        <w:tc>
          <w:tcPr>
            <w:tcW w:w="855" w:type="dxa"/>
            <w:vAlign w:val="center"/>
          </w:tcPr>
          <w:p w14:paraId="4B24F23E">
            <w:pPr>
              <w:adjustRightInd w:val="0"/>
              <w:snapToGrid w:val="0"/>
              <w:jc w:val="center"/>
              <w:rPr>
                <w:szCs w:val="21"/>
              </w:rPr>
            </w:pPr>
            <w:r>
              <w:rPr>
                <w:szCs w:val="21"/>
              </w:rPr>
              <w:t>污染物项目</w:t>
            </w:r>
          </w:p>
        </w:tc>
        <w:tc>
          <w:tcPr>
            <w:tcW w:w="2689" w:type="dxa"/>
            <w:vAlign w:val="center"/>
          </w:tcPr>
          <w:p w14:paraId="13E5AB0F">
            <w:pPr>
              <w:adjustRightInd w:val="0"/>
              <w:snapToGrid w:val="0"/>
              <w:jc w:val="center"/>
              <w:rPr>
                <w:szCs w:val="21"/>
              </w:rPr>
            </w:pPr>
            <w:r>
              <w:rPr>
                <w:szCs w:val="21"/>
              </w:rPr>
              <w:t>环境保护措施</w:t>
            </w:r>
          </w:p>
        </w:tc>
        <w:tc>
          <w:tcPr>
            <w:tcW w:w="3423" w:type="dxa"/>
            <w:gridSpan w:val="2"/>
            <w:vAlign w:val="center"/>
          </w:tcPr>
          <w:p w14:paraId="63042868">
            <w:pPr>
              <w:adjustRightInd w:val="0"/>
              <w:snapToGrid w:val="0"/>
              <w:jc w:val="center"/>
              <w:rPr>
                <w:szCs w:val="21"/>
              </w:rPr>
            </w:pPr>
            <w:r>
              <w:rPr>
                <w:szCs w:val="21"/>
              </w:rPr>
              <w:t>执行标准</w:t>
            </w:r>
          </w:p>
        </w:tc>
      </w:tr>
      <w:tr w14:paraId="5589B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Merge w:val="restart"/>
            <w:vAlign w:val="center"/>
          </w:tcPr>
          <w:p w14:paraId="44C8DA99">
            <w:pPr>
              <w:adjustRightInd w:val="0"/>
              <w:snapToGrid w:val="0"/>
              <w:jc w:val="center"/>
              <w:rPr>
                <w:szCs w:val="21"/>
              </w:rPr>
            </w:pPr>
            <w:r>
              <w:rPr>
                <w:szCs w:val="21"/>
              </w:rPr>
              <w:t>大气环境</w:t>
            </w:r>
          </w:p>
        </w:tc>
        <w:tc>
          <w:tcPr>
            <w:tcW w:w="1134" w:type="dxa"/>
            <w:vAlign w:val="center"/>
          </w:tcPr>
          <w:p w14:paraId="6D3E1319">
            <w:pPr>
              <w:adjustRightInd w:val="0"/>
              <w:snapToGrid w:val="0"/>
              <w:jc w:val="center"/>
              <w:rPr>
                <w:szCs w:val="21"/>
              </w:rPr>
            </w:pPr>
            <w:r>
              <w:rPr>
                <w:bCs/>
                <w:spacing w:val="-10"/>
                <w:szCs w:val="21"/>
              </w:rPr>
              <w:t>DA001</w:t>
            </w:r>
            <w:r>
              <w:rPr>
                <w:rFonts w:hint="eastAsia"/>
                <w:szCs w:val="21"/>
              </w:rPr>
              <w:t>熔化炉</w:t>
            </w:r>
            <w:r>
              <w:rPr>
                <w:szCs w:val="21"/>
              </w:rPr>
              <w:t>废气排放口</w:t>
            </w:r>
          </w:p>
        </w:tc>
        <w:tc>
          <w:tcPr>
            <w:tcW w:w="855" w:type="dxa"/>
            <w:vAlign w:val="center"/>
          </w:tcPr>
          <w:p w14:paraId="5570AF34">
            <w:pPr>
              <w:adjustRightInd w:val="0"/>
              <w:snapToGrid w:val="0"/>
              <w:spacing w:line="280" w:lineRule="exact"/>
              <w:jc w:val="center"/>
              <w:rPr>
                <w:szCs w:val="21"/>
              </w:rPr>
            </w:pPr>
            <w:r>
              <w:rPr>
                <w:rFonts w:hint="eastAsia"/>
                <w:bCs/>
                <w:spacing w:val="-10"/>
                <w:szCs w:val="21"/>
              </w:rPr>
              <w:t>颗粒物、二氧化硫、氮氧化物</w:t>
            </w:r>
          </w:p>
        </w:tc>
        <w:tc>
          <w:tcPr>
            <w:tcW w:w="2689" w:type="dxa"/>
            <w:vAlign w:val="center"/>
          </w:tcPr>
          <w:p w14:paraId="78EA33F0">
            <w:pPr>
              <w:adjustRightInd w:val="0"/>
              <w:snapToGrid w:val="0"/>
              <w:jc w:val="center"/>
              <w:rPr>
                <w:szCs w:val="21"/>
              </w:rPr>
            </w:pPr>
            <w:r>
              <w:rPr>
                <w:rFonts w:hint="eastAsia"/>
                <w:szCs w:val="21"/>
              </w:rPr>
              <w:t>每台熔化炉铝锭</w:t>
            </w:r>
            <w:r>
              <w:rPr>
                <w:szCs w:val="21"/>
              </w:rPr>
              <w:t>进料口上方建设</w:t>
            </w:r>
            <w:r>
              <w:rPr>
                <w:rFonts w:hint="eastAsia"/>
                <w:szCs w:val="21"/>
              </w:rPr>
              <w:t>1个集气罩，打渣除气剂进料口上方设置1个集气罩，共</w:t>
            </w:r>
            <w:r>
              <w:rPr>
                <w:szCs w:val="21"/>
              </w:rPr>
              <w:t>4</w:t>
            </w:r>
            <w:r>
              <w:rPr>
                <w:rFonts w:hint="eastAsia"/>
                <w:szCs w:val="21"/>
              </w:rPr>
              <w:t>个，熔化炉</w:t>
            </w:r>
            <w:r>
              <w:rPr>
                <w:szCs w:val="21"/>
              </w:rPr>
              <w:t>废气经收集至高温布袋除尘器处理后通过20m高的</w:t>
            </w:r>
            <w:r>
              <w:rPr>
                <w:rFonts w:hint="eastAsia"/>
                <w:szCs w:val="21"/>
              </w:rPr>
              <w:t>1#</w:t>
            </w:r>
            <w:r>
              <w:rPr>
                <w:szCs w:val="21"/>
              </w:rPr>
              <w:t>排气筒排放</w:t>
            </w:r>
          </w:p>
        </w:tc>
        <w:tc>
          <w:tcPr>
            <w:tcW w:w="1417" w:type="dxa"/>
            <w:vAlign w:val="center"/>
          </w:tcPr>
          <w:p w14:paraId="695244A4">
            <w:pPr>
              <w:adjustRightInd w:val="0"/>
              <w:snapToGrid w:val="0"/>
              <w:jc w:val="center"/>
              <w:rPr>
                <w:snapToGrid w:val="0"/>
                <w:kern w:val="0"/>
                <w:szCs w:val="21"/>
              </w:rPr>
            </w:pPr>
            <w:r>
              <w:rPr>
                <w:rFonts w:hint="eastAsia"/>
                <w:snapToGrid w:val="0"/>
                <w:kern w:val="0"/>
                <w:szCs w:val="21"/>
              </w:rPr>
              <w:t>《铸造工业大气污染物排放标准》（GB39726-2020）</w:t>
            </w:r>
          </w:p>
          <w:p w14:paraId="12810853">
            <w:pPr>
              <w:adjustRightInd w:val="0"/>
              <w:snapToGrid w:val="0"/>
              <w:jc w:val="center"/>
              <w:rPr>
                <w:szCs w:val="21"/>
              </w:rPr>
            </w:pPr>
          </w:p>
          <w:p w14:paraId="515AAAFF">
            <w:pPr>
              <w:adjustRightInd w:val="0"/>
              <w:snapToGrid w:val="0"/>
              <w:jc w:val="center"/>
              <w:rPr>
                <w:szCs w:val="21"/>
              </w:rPr>
            </w:pPr>
            <w:r>
              <w:rPr>
                <w:snapToGrid w:val="0"/>
                <w:kern w:val="0"/>
                <w:szCs w:val="21"/>
              </w:rPr>
              <w:t>《大气污染物综合排放标准》（DB50/418-2016）</w:t>
            </w:r>
          </w:p>
        </w:tc>
        <w:tc>
          <w:tcPr>
            <w:tcW w:w="2006" w:type="dxa"/>
            <w:vAlign w:val="center"/>
          </w:tcPr>
          <w:p w14:paraId="71088437">
            <w:pPr>
              <w:adjustRightInd w:val="0"/>
              <w:snapToGrid w:val="0"/>
              <w:jc w:val="center"/>
              <w:rPr>
                <w:szCs w:val="21"/>
              </w:rPr>
            </w:pPr>
            <w:r>
              <w:rPr>
                <w:szCs w:val="21"/>
              </w:rPr>
              <w:t>有组织</w:t>
            </w:r>
            <w:r>
              <w:rPr>
                <w:rFonts w:hint="eastAsia"/>
                <w:szCs w:val="21"/>
              </w:rPr>
              <w:t>：</w:t>
            </w:r>
          </w:p>
          <w:p w14:paraId="5E429887">
            <w:pPr>
              <w:adjustRightInd w:val="0"/>
              <w:snapToGrid w:val="0"/>
              <w:jc w:val="center"/>
              <w:rPr>
                <w:szCs w:val="21"/>
              </w:rPr>
            </w:pPr>
            <w:r>
              <w:rPr>
                <w:rFonts w:hint="eastAsia"/>
                <w:szCs w:val="21"/>
              </w:rPr>
              <w:t>二氧化硫：</w:t>
            </w:r>
            <w:r>
              <w:rPr>
                <w:rFonts w:eastAsia="等线"/>
                <w:szCs w:val="21"/>
              </w:rPr>
              <w:t>100mg/m</w:t>
            </w:r>
            <w:r>
              <w:rPr>
                <w:rFonts w:eastAsia="等线"/>
                <w:szCs w:val="21"/>
                <w:vertAlign w:val="superscript"/>
              </w:rPr>
              <w:t>3</w:t>
            </w:r>
          </w:p>
          <w:p w14:paraId="3AFF5385">
            <w:pPr>
              <w:adjustRightInd w:val="0"/>
              <w:snapToGrid w:val="0"/>
              <w:jc w:val="center"/>
              <w:rPr>
                <w:szCs w:val="21"/>
              </w:rPr>
            </w:pPr>
            <w:r>
              <w:rPr>
                <w:rFonts w:hint="eastAsia"/>
                <w:szCs w:val="21"/>
              </w:rPr>
              <w:t>氮氧化物：</w:t>
            </w:r>
            <w:r>
              <w:rPr>
                <w:rFonts w:eastAsia="等线"/>
                <w:szCs w:val="21"/>
              </w:rPr>
              <w:t>400mg/m</w:t>
            </w:r>
            <w:r>
              <w:rPr>
                <w:rFonts w:eastAsia="等线"/>
                <w:szCs w:val="21"/>
                <w:vertAlign w:val="superscript"/>
              </w:rPr>
              <w:t>3</w:t>
            </w:r>
          </w:p>
          <w:p w14:paraId="63ABE15A">
            <w:pPr>
              <w:adjustRightInd w:val="0"/>
              <w:snapToGrid w:val="0"/>
              <w:jc w:val="center"/>
              <w:rPr>
                <w:rFonts w:eastAsia="等线"/>
                <w:szCs w:val="21"/>
                <w:vertAlign w:val="superscript"/>
              </w:rPr>
            </w:pPr>
            <w:r>
              <w:rPr>
                <w:rFonts w:hint="eastAsia"/>
                <w:szCs w:val="21"/>
              </w:rPr>
              <w:t>颗粒物：</w:t>
            </w:r>
            <w:r>
              <w:rPr>
                <w:rFonts w:eastAsia="等线"/>
                <w:szCs w:val="21"/>
              </w:rPr>
              <w:t>30mg/m</w:t>
            </w:r>
            <w:r>
              <w:rPr>
                <w:rFonts w:eastAsia="等线"/>
                <w:szCs w:val="21"/>
                <w:vertAlign w:val="superscript"/>
              </w:rPr>
              <w:t>3</w:t>
            </w:r>
          </w:p>
          <w:p w14:paraId="4D279729">
            <w:pPr>
              <w:adjustRightInd w:val="0"/>
              <w:snapToGrid w:val="0"/>
              <w:jc w:val="center"/>
              <w:rPr>
                <w:szCs w:val="21"/>
                <w:vertAlign w:val="superscript"/>
              </w:rPr>
            </w:pPr>
            <w:r>
              <w:rPr>
                <w:rFonts w:ascii="宋体" w:hAnsi="宋体"/>
                <w:szCs w:val="21"/>
              </w:rPr>
              <w:t>氯化氢：</w:t>
            </w:r>
            <w:r>
              <w:rPr>
                <w:rFonts w:eastAsia="等线"/>
                <w:szCs w:val="21"/>
              </w:rPr>
              <w:t>100mg/m</w:t>
            </w:r>
            <w:r>
              <w:rPr>
                <w:rFonts w:eastAsia="等线"/>
                <w:szCs w:val="21"/>
                <w:vertAlign w:val="superscript"/>
              </w:rPr>
              <w:t>3</w:t>
            </w:r>
          </w:p>
        </w:tc>
      </w:tr>
      <w:tr w14:paraId="65134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Merge w:val="continue"/>
            <w:vAlign w:val="center"/>
          </w:tcPr>
          <w:p w14:paraId="2F9F51EB">
            <w:pPr>
              <w:adjustRightInd w:val="0"/>
              <w:snapToGrid w:val="0"/>
              <w:jc w:val="center"/>
              <w:rPr>
                <w:szCs w:val="21"/>
              </w:rPr>
            </w:pPr>
          </w:p>
        </w:tc>
        <w:tc>
          <w:tcPr>
            <w:tcW w:w="1134" w:type="dxa"/>
            <w:vAlign w:val="center"/>
          </w:tcPr>
          <w:p w14:paraId="4AA76E9A">
            <w:pPr>
              <w:adjustRightInd w:val="0"/>
              <w:snapToGrid w:val="0"/>
              <w:jc w:val="center"/>
              <w:rPr>
                <w:bCs/>
                <w:spacing w:val="-10"/>
                <w:szCs w:val="21"/>
              </w:rPr>
            </w:pPr>
            <w:r>
              <w:rPr>
                <w:bCs/>
                <w:spacing w:val="-10"/>
                <w:szCs w:val="21"/>
              </w:rPr>
              <w:t>DA002</w:t>
            </w:r>
            <w:r>
              <w:rPr>
                <w:rFonts w:hint="eastAsia"/>
                <w:szCs w:val="21"/>
              </w:rPr>
              <w:t>保温炉废气排放口</w:t>
            </w:r>
          </w:p>
        </w:tc>
        <w:tc>
          <w:tcPr>
            <w:tcW w:w="855" w:type="dxa"/>
            <w:vAlign w:val="center"/>
          </w:tcPr>
          <w:p w14:paraId="7D96727C">
            <w:pPr>
              <w:adjustRightInd w:val="0"/>
              <w:snapToGrid w:val="0"/>
              <w:spacing w:line="280" w:lineRule="exact"/>
              <w:jc w:val="center"/>
              <w:rPr>
                <w:bCs/>
                <w:spacing w:val="-10"/>
                <w:szCs w:val="21"/>
              </w:rPr>
            </w:pPr>
            <w:r>
              <w:rPr>
                <w:rFonts w:hint="eastAsia"/>
                <w:bCs/>
                <w:spacing w:val="-10"/>
                <w:szCs w:val="21"/>
              </w:rPr>
              <w:t>颗粒物、二氧化硫、氮氧化物</w:t>
            </w:r>
          </w:p>
        </w:tc>
        <w:tc>
          <w:tcPr>
            <w:tcW w:w="2689" w:type="dxa"/>
            <w:vAlign w:val="center"/>
          </w:tcPr>
          <w:p w14:paraId="1CC71379">
            <w:pPr>
              <w:adjustRightInd w:val="0"/>
              <w:snapToGrid w:val="0"/>
              <w:jc w:val="center"/>
              <w:rPr>
                <w:szCs w:val="21"/>
              </w:rPr>
            </w:pPr>
            <w:r>
              <w:rPr>
                <w:rFonts w:hint="eastAsia"/>
                <w:szCs w:val="21"/>
              </w:rPr>
              <w:t>保温炉炉体一侧建设1根排气管</w:t>
            </w:r>
            <w:r>
              <w:rPr>
                <w:szCs w:val="21"/>
              </w:rPr>
              <w:t>，</w:t>
            </w:r>
            <w:r>
              <w:rPr>
                <w:rFonts w:hint="eastAsia"/>
                <w:szCs w:val="21"/>
              </w:rPr>
              <w:t>保温炉废气经收集</w:t>
            </w:r>
            <w:r>
              <w:rPr>
                <w:szCs w:val="21"/>
              </w:rPr>
              <w:t>后通过20m高的2</w:t>
            </w:r>
            <w:r>
              <w:rPr>
                <w:rFonts w:hint="eastAsia"/>
                <w:szCs w:val="21"/>
              </w:rPr>
              <w:t>#</w:t>
            </w:r>
            <w:r>
              <w:rPr>
                <w:szCs w:val="21"/>
              </w:rPr>
              <w:t>排气筒排放</w:t>
            </w:r>
          </w:p>
        </w:tc>
        <w:tc>
          <w:tcPr>
            <w:tcW w:w="1417" w:type="dxa"/>
            <w:vAlign w:val="center"/>
          </w:tcPr>
          <w:p w14:paraId="70A296E7">
            <w:pPr>
              <w:adjustRightInd w:val="0"/>
              <w:snapToGrid w:val="0"/>
              <w:jc w:val="center"/>
              <w:rPr>
                <w:snapToGrid w:val="0"/>
                <w:kern w:val="0"/>
                <w:szCs w:val="21"/>
              </w:rPr>
            </w:pPr>
            <w:r>
              <w:rPr>
                <w:snapToGrid w:val="0"/>
                <w:kern w:val="0"/>
                <w:szCs w:val="21"/>
              </w:rPr>
              <w:t>《</w:t>
            </w:r>
            <w:r>
              <w:rPr>
                <w:rFonts w:hint="eastAsia"/>
                <w:bCs/>
                <w:szCs w:val="21"/>
              </w:rPr>
              <w:t>工业炉窑大气污染物排放标准》（DB50659-2016）</w:t>
            </w:r>
          </w:p>
        </w:tc>
        <w:tc>
          <w:tcPr>
            <w:tcW w:w="2006" w:type="dxa"/>
            <w:vAlign w:val="center"/>
          </w:tcPr>
          <w:p w14:paraId="16D176B5">
            <w:pPr>
              <w:adjustRightInd w:val="0"/>
              <w:snapToGrid w:val="0"/>
              <w:jc w:val="center"/>
              <w:rPr>
                <w:szCs w:val="21"/>
              </w:rPr>
            </w:pPr>
            <w:r>
              <w:rPr>
                <w:szCs w:val="21"/>
              </w:rPr>
              <w:t>有组织</w:t>
            </w:r>
            <w:r>
              <w:rPr>
                <w:rFonts w:hint="eastAsia"/>
                <w:szCs w:val="21"/>
              </w:rPr>
              <w:t>：</w:t>
            </w:r>
          </w:p>
          <w:p w14:paraId="274966A5">
            <w:pPr>
              <w:adjustRightInd w:val="0"/>
              <w:snapToGrid w:val="0"/>
              <w:jc w:val="center"/>
              <w:rPr>
                <w:szCs w:val="21"/>
              </w:rPr>
            </w:pPr>
            <w:r>
              <w:rPr>
                <w:rFonts w:hint="eastAsia"/>
                <w:szCs w:val="21"/>
              </w:rPr>
              <w:t>二氧化硫：</w:t>
            </w:r>
            <w:r>
              <w:rPr>
                <w:rFonts w:eastAsia="等线"/>
                <w:szCs w:val="21"/>
              </w:rPr>
              <w:t>400mg/m</w:t>
            </w:r>
            <w:r>
              <w:rPr>
                <w:rFonts w:eastAsia="等线"/>
                <w:szCs w:val="21"/>
                <w:vertAlign w:val="superscript"/>
              </w:rPr>
              <w:t>3</w:t>
            </w:r>
          </w:p>
          <w:p w14:paraId="30C55D14">
            <w:pPr>
              <w:adjustRightInd w:val="0"/>
              <w:snapToGrid w:val="0"/>
              <w:jc w:val="center"/>
              <w:rPr>
                <w:szCs w:val="21"/>
              </w:rPr>
            </w:pPr>
            <w:r>
              <w:rPr>
                <w:rFonts w:hint="eastAsia"/>
                <w:szCs w:val="21"/>
              </w:rPr>
              <w:t>氮氧化物：</w:t>
            </w:r>
            <w:r>
              <w:rPr>
                <w:rFonts w:eastAsia="等线"/>
                <w:szCs w:val="21"/>
              </w:rPr>
              <w:t>700mg/m</w:t>
            </w:r>
            <w:r>
              <w:rPr>
                <w:rFonts w:eastAsia="等线"/>
                <w:szCs w:val="21"/>
                <w:vertAlign w:val="superscript"/>
              </w:rPr>
              <w:t>3</w:t>
            </w:r>
          </w:p>
          <w:p w14:paraId="6FF42641">
            <w:pPr>
              <w:adjustRightInd w:val="0"/>
              <w:snapToGrid w:val="0"/>
              <w:jc w:val="center"/>
              <w:rPr>
                <w:szCs w:val="21"/>
              </w:rPr>
            </w:pPr>
            <w:r>
              <w:rPr>
                <w:rFonts w:hint="eastAsia"/>
                <w:szCs w:val="21"/>
              </w:rPr>
              <w:t>颗粒物：</w:t>
            </w:r>
            <w:r>
              <w:rPr>
                <w:rFonts w:eastAsia="等线"/>
                <w:szCs w:val="21"/>
              </w:rPr>
              <w:t>100mg/m</w:t>
            </w:r>
            <w:r>
              <w:rPr>
                <w:rFonts w:eastAsia="等线"/>
                <w:szCs w:val="21"/>
                <w:vertAlign w:val="superscript"/>
              </w:rPr>
              <w:t>3</w:t>
            </w:r>
          </w:p>
        </w:tc>
      </w:tr>
      <w:tr w14:paraId="1E83A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Merge w:val="continue"/>
            <w:vAlign w:val="center"/>
          </w:tcPr>
          <w:p w14:paraId="0879D6C1">
            <w:pPr>
              <w:adjustRightInd w:val="0"/>
              <w:snapToGrid w:val="0"/>
              <w:jc w:val="center"/>
              <w:rPr>
                <w:szCs w:val="21"/>
                <w:highlight w:val="yellow"/>
              </w:rPr>
            </w:pPr>
          </w:p>
        </w:tc>
        <w:tc>
          <w:tcPr>
            <w:tcW w:w="1134" w:type="dxa"/>
            <w:vAlign w:val="center"/>
          </w:tcPr>
          <w:p w14:paraId="0B826A23">
            <w:pPr>
              <w:adjustRightInd w:val="0"/>
              <w:snapToGrid w:val="0"/>
              <w:jc w:val="center"/>
              <w:rPr>
                <w:szCs w:val="21"/>
              </w:rPr>
            </w:pPr>
            <w:r>
              <w:rPr>
                <w:bCs/>
                <w:spacing w:val="-10"/>
                <w:szCs w:val="21"/>
              </w:rPr>
              <w:t>DA003</w:t>
            </w:r>
            <w:r>
              <w:rPr>
                <w:rFonts w:hint="eastAsia"/>
                <w:szCs w:val="21"/>
              </w:rPr>
              <w:t>压铸工序脱膜废气</w:t>
            </w:r>
            <w:r>
              <w:rPr>
                <w:szCs w:val="21"/>
              </w:rPr>
              <w:t>排放口</w:t>
            </w:r>
          </w:p>
        </w:tc>
        <w:tc>
          <w:tcPr>
            <w:tcW w:w="855" w:type="dxa"/>
            <w:vAlign w:val="center"/>
          </w:tcPr>
          <w:p w14:paraId="10619DD2">
            <w:pPr>
              <w:adjustRightInd w:val="0"/>
              <w:snapToGrid w:val="0"/>
              <w:jc w:val="center"/>
              <w:rPr>
                <w:szCs w:val="21"/>
                <w:highlight w:val="yellow"/>
              </w:rPr>
            </w:pPr>
            <w:r>
              <w:rPr>
                <w:rFonts w:hint="eastAsia"/>
                <w:szCs w:val="21"/>
              </w:rPr>
              <w:t>非甲烷总烃</w:t>
            </w:r>
          </w:p>
        </w:tc>
        <w:tc>
          <w:tcPr>
            <w:tcW w:w="2689" w:type="dxa"/>
            <w:vAlign w:val="center"/>
          </w:tcPr>
          <w:p w14:paraId="5F7E3EDA">
            <w:pPr>
              <w:adjustRightInd w:val="0"/>
              <w:snapToGrid w:val="0"/>
              <w:jc w:val="center"/>
              <w:rPr>
                <w:szCs w:val="21"/>
                <w:highlight w:val="yellow"/>
              </w:rPr>
            </w:pPr>
            <w:r>
              <w:rPr>
                <w:rFonts w:hint="eastAsia"/>
              </w:rPr>
              <w:t>每台压铸机上方建设1个方形集气罩，</w:t>
            </w:r>
            <w:r>
              <w:rPr>
                <w:rFonts w:hint="eastAsia"/>
                <w:szCs w:val="21"/>
              </w:rPr>
              <w:t>共12个，压铸工序脱膜废气收集至“</w:t>
            </w:r>
            <w:r>
              <w:rPr>
                <w:rFonts w:hint="eastAsia"/>
                <w:bCs/>
                <w:szCs w:val="21"/>
              </w:rPr>
              <w:t>干燥+UV光解+活性炭吸附</w:t>
            </w:r>
            <w:r>
              <w:rPr>
                <w:rFonts w:hint="eastAsia"/>
                <w:szCs w:val="21"/>
              </w:rPr>
              <w:t>”处理装置处理后经</w:t>
            </w:r>
            <w:r>
              <w:rPr>
                <w:szCs w:val="21"/>
              </w:rPr>
              <w:t>20m高3</w:t>
            </w:r>
            <w:r>
              <w:rPr>
                <w:rFonts w:hint="eastAsia"/>
                <w:szCs w:val="21"/>
              </w:rPr>
              <w:t>#排气筒达标排放</w:t>
            </w:r>
          </w:p>
        </w:tc>
        <w:tc>
          <w:tcPr>
            <w:tcW w:w="1417" w:type="dxa"/>
            <w:vAlign w:val="center"/>
          </w:tcPr>
          <w:p w14:paraId="1993112D">
            <w:pPr>
              <w:adjustRightInd w:val="0"/>
              <w:snapToGrid w:val="0"/>
              <w:jc w:val="center"/>
              <w:rPr>
                <w:szCs w:val="21"/>
              </w:rPr>
            </w:pPr>
            <w:r>
              <w:rPr>
                <w:snapToGrid w:val="0"/>
                <w:kern w:val="0"/>
                <w:szCs w:val="21"/>
              </w:rPr>
              <w:t>《大气污染物综合排放标准》（DB50/418-2016）</w:t>
            </w:r>
          </w:p>
        </w:tc>
        <w:tc>
          <w:tcPr>
            <w:tcW w:w="2006" w:type="dxa"/>
            <w:vAlign w:val="center"/>
          </w:tcPr>
          <w:p w14:paraId="17D7382D">
            <w:pPr>
              <w:adjustRightInd w:val="0"/>
              <w:snapToGrid w:val="0"/>
              <w:jc w:val="center"/>
              <w:rPr>
                <w:szCs w:val="21"/>
              </w:rPr>
            </w:pPr>
            <w:r>
              <w:rPr>
                <w:szCs w:val="21"/>
              </w:rPr>
              <w:t>有组织</w:t>
            </w:r>
            <w:r>
              <w:rPr>
                <w:rFonts w:hint="eastAsia"/>
                <w:szCs w:val="21"/>
              </w:rPr>
              <w:t>：</w:t>
            </w:r>
          </w:p>
          <w:p w14:paraId="65505227">
            <w:pPr>
              <w:adjustRightInd w:val="0"/>
              <w:snapToGrid w:val="0"/>
              <w:jc w:val="center"/>
              <w:rPr>
                <w:szCs w:val="21"/>
              </w:rPr>
            </w:pPr>
            <w:r>
              <w:rPr>
                <w:szCs w:val="21"/>
              </w:rPr>
              <w:t>非甲烷总烃</w:t>
            </w:r>
            <w:r>
              <w:rPr>
                <w:rFonts w:hint="eastAsia"/>
                <w:szCs w:val="21"/>
              </w:rPr>
              <w:t>：</w:t>
            </w:r>
            <w:r>
              <w:rPr>
                <w:szCs w:val="21"/>
              </w:rPr>
              <w:t>≤</w:t>
            </w:r>
            <w:r>
              <w:rPr>
                <w:kern w:val="0"/>
              </w:rPr>
              <w:t>8.5</w:t>
            </w:r>
            <w:r>
              <w:rPr>
                <w:szCs w:val="21"/>
              </w:rPr>
              <w:t>kg/h</w:t>
            </w:r>
          </w:p>
          <w:p w14:paraId="0CBB48E8">
            <w:pPr>
              <w:adjustRightInd w:val="0"/>
              <w:snapToGrid w:val="0"/>
              <w:jc w:val="center"/>
              <w:rPr>
                <w:szCs w:val="21"/>
              </w:rPr>
            </w:pPr>
            <w:r>
              <w:rPr>
                <w:szCs w:val="21"/>
              </w:rPr>
              <w:t>≤</w:t>
            </w:r>
            <w:r>
              <w:rPr>
                <w:kern w:val="0"/>
              </w:rPr>
              <w:t>120</w:t>
            </w:r>
            <w:r>
              <w:rPr>
                <w:szCs w:val="21"/>
              </w:rPr>
              <w:t>mg/m</w:t>
            </w:r>
            <w:r>
              <w:rPr>
                <w:szCs w:val="21"/>
                <w:vertAlign w:val="superscript"/>
              </w:rPr>
              <w:t>3</w:t>
            </w:r>
          </w:p>
        </w:tc>
      </w:tr>
      <w:tr w14:paraId="7F1EC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Merge w:val="continue"/>
            <w:vAlign w:val="center"/>
          </w:tcPr>
          <w:p w14:paraId="59CF7180">
            <w:pPr>
              <w:adjustRightInd w:val="0"/>
              <w:snapToGrid w:val="0"/>
              <w:jc w:val="center"/>
              <w:rPr>
                <w:szCs w:val="21"/>
                <w:highlight w:val="yellow"/>
              </w:rPr>
            </w:pPr>
          </w:p>
        </w:tc>
        <w:tc>
          <w:tcPr>
            <w:tcW w:w="1134" w:type="dxa"/>
            <w:vAlign w:val="center"/>
          </w:tcPr>
          <w:p w14:paraId="7FCFB30C">
            <w:pPr>
              <w:adjustRightInd w:val="0"/>
              <w:snapToGrid w:val="0"/>
              <w:jc w:val="center"/>
              <w:rPr>
                <w:bCs/>
                <w:spacing w:val="-10"/>
                <w:szCs w:val="21"/>
              </w:rPr>
            </w:pPr>
            <w:r>
              <w:rPr>
                <w:bCs/>
                <w:spacing w:val="-10"/>
                <w:szCs w:val="21"/>
              </w:rPr>
              <w:t>DA004</w:t>
            </w:r>
            <w:r>
              <w:rPr>
                <w:rFonts w:hint="eastAsia"/>
                <w:szCs w:val="21"/>
              </w:rPr>
              <w:t>表面清理废气、抛丸废气排放口</w:t>
            </w:r>
          </w:p>
        </w:tc>
        <w:tc>
          <w:tcPr>
            <w:tcW w:w="855" w:type="dxa"/>
            <w:vAlign w:val="center"/>
          </w:tcPr>
          <w:p w14:paraId="2CB821FC">
            <w:pPr>
              <w:adjustRightInd w:val="0"/>
              <w:snapToGrid w:val="0"/>
              <w:jc w:val="center"/>
              <w:rPr>
                <w:szCs w:val="21"/>
                <w:highlight w:val="yellow"/>
              </w:rPr>
            </w:pPr>
            <w:r>
              <w:rPr>
                <w:rFonts w:hint="eastAsia"/>
                <w:szCs w:val="21"/>
              </w:rPr>
              <w:t>颗粒物</w:t>
            </w:r>
          </w:p>
        </w:tc>
        <w:tc>
          <w:tcPr>
            <w:tcW w:w="2689" w:type="dxa"/>
            <w:vAlign w:val="center"/>
          </w:tcPr>
          <w:p w14:paraId="442B3970">
            <w:pPr>
              <w:adjustRightInd w:val="0"/>
              <w:snapToGrid w:val="0"/>
              <w:jc w:val="center"/>
              <w:rPr>
                <w:szCs w:val="21"/>
              </w:rPr>
            </w:pPr>
            <w:r>
              <w:rPr>
                <w:rFonts w:hint="eastAsia"/>
                <w:szCs w:val="21"/>
              </w:rPr>
              <w:t>每个表面清理操作台建设1个侧向集气罩，共1</w:t>
            </w:r>
            <w:r>
              <w:rPr>
                <w:szCs w:val="21"/>
              </w:rPr>
              <w:t>8个</w:t>
            </w:r>
            <w:r>
              <w:rPr>
                <w:rFonts w:hint="eastAsia"/>
                <w:szCs w:val="21"/>
              </w:rPr>
              <w:t>，表面清理粉尘经风机抽送至防爆布袋除尘器。每台抛丸机设置1台滤筒除尘器，滤筒除尘器出口与防爆布袋除尘器抽风管箱梁，抛丸粉尘抽送至防爆布袋除尘器处理，处理后的废气经</w:t>
            </w:r>
            <w:r>
              <w:rPr>
                <w:szCs w:val="21"/>
              </w:rPr>
              <w:t>20m</w:t>
            </w:r>
            <w:r>
              <w:rPr>
                <w:bCs/>
                <w:szCs w:val="21"/>
              </w:rPr>
              <w:t>高的</w:t>
            </w:r>
            <w:r>
              <w:rPr>
                <w:szCs w:val="21"/>
              </w:rPr>
              <w:t>4</w:t>
            </w:r>
            <w:r>
              <w:rPr>
                <w:rFonts w:hint="eastAsia"/>
                <w:szCs w:val="21"/>
              </w:rPr>
              <w:t>#排气筒达标排放</w:t>
            </w:r>
          </w:p>
        </w:tc>
        <w:tc>
          <w:tcPr>
            <w:tcW w:w="1417" w:type="dxa"/>
            <w:vAlign w:val="center"/>
          </w:tcPr>
          <w:p w14:paraId="5710BB59">
            <w:pPr>
              <w:adjustRightInd w:val="0"/>
              <w:snapToGrid w:val="0"/>
              <w:jc w:val="center"/>
              <w:rPr>
                <w:snapToGrid w:val="0"/>
                <w:kern w:val="0"/>
                <w:szCs w:val="21"/>
                <w:highlight w:val="yellow"/>
              </w:rPr>
            </w:pPr>
            <w:r>
              <w:rPr>
                <w:rFonts w:hint="eastAsia"/>
                <w:snapToGrid w:val="0"/>
                <w:kern w:val="0"/>
                <w:szCs w:val="21"/>
              </w:rPr>
              <w:t>《铸造工业大气污染物排放标准》（GB39726-2020）</w:t>
            </w:r>
          </w:p>
        </w:tc>
        <w:tc>
          <w:tcPr>
            <w:tcW w:w="2006" w:type="dxa"/>
            <w:vAlign w:val="center"/>
          </w:tcPr>
          <w:p w14:paraId="5696C761">
            <w:pPr>
              <w:adjustRightInd w:val="0"/>
              <w:snapToGrid w:val="0"/>
              <w:jc w:val="center"/>
              <w:rPr>
                <w:szCs w:val="21"/>
              </w:rPr>
            </w:pPr>
            <w:r>
              <w:rPr>
                <w:szCs w:val="21"/>
              </w:rPr>
              <w:t>有组织</w:t>
            </w:r>
            <w:r>
              <w:rPr>
                <w:rFonts w:hint="eastAsia"/>
                <w:szCs w:val="21"/>
              </w:rPr>
              <w:t>：</w:t>
            </w:r>
          </w:p>
          <w:p w14:paraId="69601AE8">
            <w:pPr>
              <w:adjustRightInd w:val="0"/>
              <w:snapToGrid w:val="0"/>
              <w:jc w:val="center"/>
              <w:rPr>
                <w:szCs w:val="21"/>
                <w:highlight w:val="yellow"/>
              </w:rPr>
            </w:pPr>
            <w:r>
              <w:rPr>
                <w:rFonts w:hint="eastAsia"/>
                <w:szCs w:val="21"/>
              </w:rPr>
              <w:t>颗粒物：</w:t>
            </w:r>
            <w:r>
              <w:rPr>
                <w:rFonts w:hint="eastAsia"/>
                <w:kern w:val="0"/>
              </w:rPr>
              <w:t>3</w:t>
            </w:r>
            <w:r>
              <w:rPr>
                <w:kern w:val="0"/>
              </w:rPr>
              <w:t>0</w:t>
            </w:r>
            <w:r>
              <w:rPr>
                <w:szCs w:val="21"/>
              </w:rPr>
              <w:t>mg/m</w:t>
            </w:r>
            <w:r>
              <w:rPr>
                <w:szCs w:val="21"/>
                <w:vertAlign w:val="superscript"/>
              </w:rPr>
              <w:t>3</w:t>
            </w:r>
          </w:p>
        </w:tc>
      </w:tr>
      <w:tr w14:paraId="275F3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Align w:val="center"/>
          </w:tcPr>
          <w:p w14:paraId="4D8CC5C7">
            <w:pPr>
              <w:adjustRightInd w:val="0"/>
              <w:snapToGrid w:val="0"/>
              <w:jc w:val="center"/>
              <w:rPr>
                <w:szCs w:val="21"/>
              </w:rPr>
            </w:pPr>
            <w:r>
              <w:rPr>
                <w:szCs w:val="21"/>
              </w:rPr>
              <w:t>地表水环境</w:t>
            </w:r>
          </w:p>
        </w:tc>
        <w:tc>
          <w:tcPr>
            <w:tcW w:w="1134" w:type="dxa"/>
            <w:vAlign w:val="center"/>
          </w:tcPr>
          <w:p w14:paraId="6532C527">
            <w:pPr>
              <w:adjustRightInd w:val="0"/>
              <w:snapToGrid w:val="0"/>
              <w:spacing w:line="280" w:lineRule="exact"/>
              <w:jc w:val="center"/>
              <w:rPr>
                <w:bCs/>
                <w:spacing w:val="-10"/>
                <w:szCs w:val="21"/>
              </w:rPr>
            </w:pPr>
            <w:r>
              <w:rPr>
                <w:szCs w:val="21"/>
              </w:rPr>
              <w:t>DW001</w:t>
            </w:r>
            <w:r>
              <w:rPr>
                <w:rFonts w:hint="eastAsia"/>
                <w:snapToGrid w:val="0"/>
                <w:szCs w:val="21"/>
              </w:rPr>
              <w:t>污水</w:t>
            </w:r>
            <w:r>
              <w:rPr>
                <w:snapToGrid w:val="0"/>
                <w:szCs w:val="21"/>
              </w:rPr>
              <w:t>处理设施排放口</w:t>
            </w:r>
          </w:p>
        </w:tc>
        <w:tc>
          <w:tcPr>
            <w:tcW w:w="855" w:type="dxa"/>
            <w:vAlign w:val="center"/>
          </w:tcPr>
          <w:p w14:paraId="3972BA97">
            <w:pPr>
              <w:adjustRightInd w:val="0"/>
              <w:snapToGrid w:val="0"/>
              <w:spacing w:line="280" w:lineRule="exact"/>
              <w:jc w:val="center"/>
              <w:rPr>
                <w:snapToGrid w:val="0"/>
                <w:szCs w:val="21"/>
              </w:rPr>
            </w:pPr>
            <w:r>
              <w:rPr>
                <w:snapToGrid w:val="0"/>
                <w:szCs w:val="21"/>
              </w:rPr>
              <w:t>COD</w:t>
            </w:r>
          </w:p>
          <w:p w14:paraId="1DDA8D9F">
            <w:pPr>
              <w:adjustRightInd w:val="0"/>
              <w:snapToGrid w:val="0"/>
              <w:spacing w:line="280" w:lineRule="exact"/>
              <w:jc w:val="center"/>
              <w:rPr>
                <w:snapToGrid w:val="0"/>
                <w:szCs w:val="21"/>
              </w:rPr>
            </w:pPr>
            <w:r>
              <w:rPr>
                <w:snapToGrid w:val="0"/>
                <w:szCs w:val="21"/>
              </w:rPr>
              <w:t>SS</w:t>
            </w:r>
          </w:p>
          <w:p w14:paraId="707060D3">
            <w:pPr>
              <w:adjustRightInd w:val="0"/>
              <w:snapToGrid w:val="0"/>
              <w:spacing w:line="280" w:lineRule="exact"/>
              <w:jc w:val="center"/>
              <w:rPr>
                <w:snapToGrid w:val="0"/>
                <w:szCs w:val="21"/>
              </w:rPr>
            </w:pPr>
            <w:r>
              <w:rPr>
                <w:snapToGrid w:val="0"/>
                <w:szCs w:val="21"/>
              </w:rPr>
              <w:t>BOD</w:t>
            </w:r>
            <w:r>
              <w:rPr>
                <w:snapToGrid w:val="0"/>
                <w:szCs w:val="21"/>
                <w:vertAlign w:val="subscript"/>
              </w:rPr>
              <w:t>5</w:t>
            </w:r>
          </w:p>
          <w:p w14:paraId="4411896E">
            <w:pPr>
              <w:adjustRightInd w:val="0"/>
              <w:snapToGrid w:val="0"/>
              <w:spacing w:line="280" w:lineRule="exact"/>
              <w:jc w:val="center"/>
              <w:rPr>
                <w:snapToGrid w:val="0"/>
                <w:szCs w:val="21"/>
              </w:rPr>
            </w:pPr>
            <w:r>
              <w:rPr>
                <w:rFonts w:hint="eastAsia"/>
                <w:snapToGrid w:val="0"/>
                <w:szCs w:val="21"/>
              </w:rPr>
              <w:t>氨氮</w:t>
            </w:r>
          </w:p>
          <w:p w14:paraId="1D018889">
            <w:pPr>
              <w:adjustRightInd w:val="0"/>
              <w:snapToGrid w:val="0"/>
              <w:spacing w:line="280" w:lineRule="exact"/>
              <w:jc w:val="center"/>
              <w:rPr>
                <w:snapToGrid w:val="0"/>
                <w:szCs w:val="21"/>
              </w:rPr>
            </w:pPr>
            <w:r>
              <w:rPr>
                <w:rFonts w:hint="eastAsia"/>
                <w:snapToGrid w:val="0"/>
                <w:szCs w:val="21"/>
              </w:rPr>
              <w:t>石油类</w:t>
            </w:r>
          </w:p>
          <w:p w14:paraId="66429817">
            <w:pPr>
              <w:adjustRightInd w:val="0"/>
              <w:snapToGrid w:val="0"/>
              <w:spacing w:line="280" w:lineRule="exact"/>
              <w:jc w:val="center"/>
              <w:rPr>
                <w:szCs w:val="21"/>
                <w:highlight w:val="yellow"/>
              </w:rPr>
            </w:pPr>
            <w:r>
              <w:rPr>
                <w:snapToGrid w:val="0"/>
                <w:szCs w:val="21"/>
              </w:rPr>
              <w:t>LAS</w:t>
            </w:r>
          </w:p>
        </w:tc>
        <w:tc>
          <w:tcPr>
            <w:tcW w:w="2689" w:type="dxa"/>
            <w:vAlign w:val="center"/>
          </w:tcPr>
          <w:p w14:paraId="3F52607F">
            <w:pPr>
              <w:adjustRightInd w:val="0"/>
              <w:snapToGrid w:val="0"/>
              <w:jc w:val="center"/>
              <w:rPr>
                <w:szCs w:val="21"/>
                <w:highlight w:val="yellow"/>
              </w:rPr>
            </w:pPr>
            <w:r>
              <w:rPr>
                <w:rFonts w:hint="eastAsia"/>
                <w:bCs/>
                <w:spacing w:val="-10"/>
                <w:szCs w:val="21"/>
              </w:rPr>
              <w:t>项目生产废水收集后经“隔油+调节池+破乳+气浮”预处理后进入污水处理设施生化处理系统，食堂废水经隔油池、化粪池处理后进入污水处理设施，生活污水经化粪池处理后进入生化处理系统，综合废水经生化处理系统处理达《污水综合排放标准》（GB8978-1996）三级标准后后排入园区管网，最终经李渡大耍坝污水处理厂处理达到《城镇污水处理厂污染物排放标准》（GB18918-2002）一级B标准，最终排入长江。</w:t>
            </w:r>
          </w:p>
        </w:tc>
        <w:tc>
          <w:tcPr>
            <w:tcW w:w="1417" w:type="dxa"/>
            <w:vAlign w:val="center"/>
          </w:tcPr>
          <w:p w14:paraId="34F407A3">
            <w:pPr>
              <w:adjustRightInd w:val="0"/>
              <w:snapToGrid w:val="0"/>
              <w:jc w:val="center"/>
              <w:rPr>
                <w:snapToGrid w:val="0"/>
                <w:kern w:val="0"/>
                <w:szCs w:val="21"/>
                <w:highlight w:val="yellow"/>
              </w:rPr>
            </w:pPr>
            <w:r>
              <w:rPr>
                <w:szCs w:val="21"/>
              </w:rPr>
              <w:t>《污水综合排放标准》（GB8978-1996）三级标准</w:t>
            </w:r>
          </w:p>
        </w:tc>
        <w:tc>
          <w:tcPr>
            <w:tcW w:w="2006" w:type="dxa"/>
            <w:vAlign w:val="center"/>
          </w:tcPr>
          <w:p w14:paraId="1893F133">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COD：500mg/L</w:t>
            </w:r>
          </w:p>
          <w:p w14:paraId="16EF7EF8">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z w:val="21"/>
                <w:szCs w:val="21"/>
              </w:rPr>
              <w:t>BOD</w:t>
            </w:r>
            <w:r>
              <w:rPr>
                <w:rFonts w:ascii="Times New Roman" w:hAnsi="Times New Roman"/>
                <w:sz w:val="21"/>
                <w:szCs w:val="21"/>
                <w:vertAlign w:val="subscript"/>
              </w:rPr>
              <w:t>5</w:t>
            </w:r>
            <w:r>
              <w:rPr>
                <w:rFonts w:ascii="Times New Roman" w:hAnsi="Times New Roman"/>
                <w:sz w:val="21"/>
                <w:szCs w:val="21"/>
              </w:rPr>
              <w:t>：300</w:t>
            </w:r>
            <w:r>
              <w:rPr>
                <w:rFonts w:ascii="Times New Roman" w:hAnsi="Times New Roman"/>
                <w:snapToGrid w:val="0"/>
                <w:sz w:val="21"/>
                <w:szCs w:val="21"/>
              </w:rPr>
              <w:t>mg/L</w:t>
            </w:r>
          </w:p>
          <w:p w14:paraId="149C4FD8">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napToGrid w:val="0"/>
                <w:sz w:val="21"/>
                <w:szCs w:val="21"/>
              </w:rPr>
              <w:t>SS：400mg/L</w:t>
            </w:r>
          </w:p>
          <w:p w14:paraId="739AA555">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sz w:val="21"/>
                <w:szCs w:val="21"/>
              </w:rPr>
              <w:t>氨氮：45</w:t>
            </w:r>
            <w:r>
              <w:rPr>
                <w:rFonts w:ascii="Times New Roman" w:hAnsi="Times New Roman"/>
                <w:snapToGrid w:val="0"/>
                <w:sz w:val="21"/>
                <w:szCs w:val="21"/>
              </w:rPr>
              <w:t>mg/L</w:t>
            </w:r>
          </w:p>
          <w:p w14:paraId="4AA93801">
            <w:pPr>
              <w:pStyle w:val="24"/>
              <w:spacing w:before="0" w:beforeAutospacing="0" w:after="0" w:afterAutospacing="0"/>
              <w:ind w:left="-105" w:leftChars="-50" w:right="-105" w:rightChars="-50"/>
              <w:jc w:val="center"/>
              <w:rPr>
                <w:rFonts w:ascii="Times New Roman" w:hAnsi="Times New Roman"/>
                <w:snapToGrid w:val="0"/>
                <w:sz w:val="21"/>
                <w:szCs w:val="21"/>
              </w:rPr>
            </w:pPr>
            <w:r>
              <w:rPr>
                <w:rFonts w:ascii="Times New Roman" w:hAnsi="Times New Roman"/>
                <w:bCs/>
                <w:sz w:val="21"/>
                <w:szCs w:val="21"/>
              </w:rPr>
              <w:t>石油类：20</w:t>
            </w:r>
            <w:r>
              <w:rPr>
                <w:rFonts w:ascii="Times New Roman" w:hAnsi="Times New Roman"/>
                <w:snapToGrid w:val="0"/>
                <w:sz w:val="21"/>
                <w:szCs w:val="21"/>
              </w:rPr>
              <w:t>mg/L</w:t>
            </w:r>
          </w:p>
          <w:p w14:paraId="15C5743C">
            <w:pPr>
              <w:adjustRightInd w:val="0"/>
              <w:snapToGrid w:val="0"/>
              <w:jc w:val="center"/>
              <w:rPr>
                <w:szCs w:val="21"/>
                <w:highlight w:val="yellow"/>
              </w:rPr>
            </w:pPr>
            <w:r>
              <w:rPr>
                <w:bCs/>
                <w:szCs w:val="21"/>
              </w:rPr>
              <w:t>阴离子表面活性剂：20</w:t>
            </w:r>
            <w:r>
              <w:rPr>
                <w:snapToGrid w:val="0"/>
                <w:szCs w:val="21"/>
              </w:rPr>
              <w:t>mg/L</w:t>
            </w:r>
          </w:p>
        </w:tc>
      </w:tr>
      <w:tr w14:paraId="6802F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Align w:val="center"/>
          </w:tcPr>
          <w:p w14:paraId="11DDAB7F">
            <w:pPr>
              <w:adjustRightInd w:val="0"/>
              <w:snapToGrid w:val="0"/>
              <w:jc w:val="center"/>
              <w:rPr>
                <w:szCs w:val="21"/>
              </w:rPr>
            </w:pPr>
            <w:r>
              <w:rPr>
                <w:szCs w:val="21"/>
              </w:rPr>
              <w:t>声环境</w:t>
            </w:r>
          </w:p>
        </w:tc>
        <w:tc>
          <w:tcPr>
            <w:tcW w:w="1134" w:type="dxa"/>
            <w:vAlign w:val="center"/>
          </w:tcPr>
          <w:p w14:paraId="0BB1D24E">
            <w:pPr>
              <w:adjustRightInd w:val="0"/>
              <w:snapToGrid w:val="0"/>
              <w:jc w:val="center"/>
              <w:rPr>
                <w:szCs w:val="21"/>
              </w:rPr>
            </w:pPr>
            <w:r>
              <w:rPr>
                <w:rFonts w:hint="eastAsia"/>
                <w:szCs w:val="21"/>
              </w:rPr>
              <w:t>东、南、西、北</w:t>
            </w:r>
            <w:r>
              <w:rPr>
                <w:szCs w:val="21"/>
              </w:rPr>
              <w:t>厂界</w:t>
            </w:r>
          </w:p>
        </w:tc>
        <w:tc>
          <w:tcPr>
            <w:tcW w:w="855" w:type="dxa"/>
            <w:vAlign w:val="center"/>
          </w:tcPr>
          <w:p w14:paraId="7C179240">
            <w:pPr>
              <w:adjustRightInd w:val="0"/>
              <w:snapToGrid w:val="0"/>
              <w:jc w:val="center"/>
              <w:rPr>
                <w:szCs w:val="21"/>
              </w:rPr>
            </w:pPr>
            <w:r>
              <w:rPr>
                <w:szCs w:val="21"/>
              </w:rPr>
              <w:t>Leq/dB（A）</w:t>
            </w:r>
          </w:p>
        </w:tc>
        <w:tc>
          <w:tcPr>
            <w:tcW w:w="2689" w:type="dxa"/>
            <w:vAlign w:val="center"/>
          </w:tcPr>
          <w:p w14:paraId="2623ED8A">
            <w:pPr>
              <w:adjustRightInd w:val="0"/>
              <w:snapToGrid w:val="0"/>
              <w:jc w:val="center"/>
              <w:rPr>
                <w:szCs w:val="21"/>
              </w:rPr>
            </w:pPr>
            <w:r>
              <w:rPr>
                <w:szCs w:val="21"/>
              </w:rPr>
              <w:t>合理布局、厂房隔声、基础减震</w:t>
            </w:r>
            <w:r>
              <w:rPr>
                <w:rFonts w:hint="eastAsia"/>
                <w:szCs w:val="21"/>
              </w:rPr>
              <w:t>，</w:t>
            </w:r>
            <w:r>
              <w:rPr>
                <w:szCs w:val="21"/>
              </w:rPr>
              <w:t>坚强保养</w:t>
            </w:r>
          </w:p>
        </w:tc>
        <w:tc>
          <w:tcPr>
            <w:tcW w:w="1417" w:type="dxa"/>
            <w:vAlign w:val="center"/>
          </w:tcPr>
          <w:p w14:paraId="0D38E0C0">
            <w:pPr>
              <w:adjustRightInd w:val="0"/>
              <w:snapToGrid w:val="0"/>
              <w:jc w:val="center"/>
              <w:rPr>
                <w:szCs w:val="21"/>
              </w:rPr>
            </w:pPr>
            <w:r>
              <w:rPr>
                <w:szCs w:val="21"/>
              </w:rPr>
              <w:t>《工业企业厂界环境噪声排放标准》（GB12348-2008）3类标准</w:t>
            </w:r>
          </w:p>
        </w:tc>
        <w:tc>
          <w:tcPr>
            <w:tcW w:w="2006" w:type="dxa"/>
            <w:vAlign w:val="center"/>
          </w:tcPr>
          <w:p w14:paraId="6F1BB1CD">
            <w:pPr>
              <w:pBdr>
                <w:left w:val="single" w:color="auto" w:sz="4" w:space="31"/>
                <w:right w:val="single" w:color="auto" w:sz="4" w:space="31"/>
              </w:pBdr>
              <w:snapToGrid w:val="0"/>
              <w:ind w:right="561"/>
              <w:jc w:val="center"/>
              <w:rPr>
                <w:bCs/>
                <w:snapToGrid w:val="0"/>
                <w:kern w:val="0"/>
                <w:szCs w:val="21"/>
              </w:rPr>
            </w:pPr>
            <w:r>
              <w:rPr>
                <w:szCs w:val="21"/>
              </w:rPr>
              <w:t>昼间</w:t>
            </w:r>
            <w:r>
              <w:rPr>
                <w:rFonts w:hint="eastAsia"/>
                <w:szCs w:val="21"/>
              </w:rPr>
              <w:t>：</w:t>
            </w:r>
            <w:r>
              <w:rPr>
                <w:szCs w:val="21"/>
              </w:rPr>
              <w:t>≤65</w:t>
            </w:r>
            <w:r>
              <w:rPr>
                <w:bCs/>
                <w:snapToGrid w:val="0"/>
                <w:kern w:val="0"/>
                <w:szCs w:val="21"/>
              </w:rPr>
              <w:t>dB(A)</w:t>
            </w:r>
          </w:p>
          <w:p w14:paraId="0AA634AA">
            <w:pPr>
              <w:pBdr>
                <w:left w:val="single" w:color="auto" w:sz="4" w:space="31"/>
                <w:right w:val="single" w:color="auto" w:sz="4" w:space="31"/>
              </w:pBdr>
              <w:snapToGrid w:val="0"/>
              <w:ind w:right="561"/>
              <w:jc w:val="center"/>
              <w:rPr>
                <w:bCs/>
                <w:snapToGrid w:val="0"/>
                <w:kern w:val="0"/>
                <w:szCs w:val="21"/>
              </w:rPr>
            </w:pPr>
            <w:r>
              <w:rPr>
                <w:bCs/>
                <w:snapToGrid w:val="0"/>
                <w:kern w:val="0"/>
                <w:szCs w:val="21"/>
              </w:rPr>
              <w:t>夜间</w:t>
            </w:r>
            <w:r>
              <w:rPr>
                <w:rFonts w:hint="eastAsia"/>
                <w:bCs/>
                <w:snapToGrid w:val="0"/>
                <w:kern w:val="0"/>
                <w:szCs w:val="21"/>
              </w:rPr>
              <w:t>：</w:t>
            </w:r>
          </w:p>
          <w:p w14:paraId="31CF618F">
            <w:pPr>
              <w:pBdr>
                <w:left w:val="single" w:color="auto" w:sz="4" w:space="31"/>
                <w:right w:val="single" w:color="auto" w:sz="4" w:space="31"/>
              </w:pBdr>
              <w:snapToGrid w:val="0"/>
              <w:ind w:right="561"/>
              <w:jc w:val="center"/>
              <w:rPr>
                <w:szCs w:val="21"/>
              </w:rPr>
            </w:pPr>
            <w:r>
              <w:rPr>
                <w:szCs w:val="21"/>
              </w:rPr>
              <w:t>≤55</w:t>
            </w:r>
            <w:r>
              <w:rPr>
                <w:bCs/>
                <w:snapToGrid w:val="0"/>
                <w:kern w:val="0"/>
                <w:szCs w:val="21"/>
              </w:rPr>
              <w:t>dB(A)</w:t>
            </w:r>
          </w:p>
        </w:tc>
      </w:tr>
      <w:tr w14:paraId="5AD12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9" w:type="dxa"/>
            <w:vAlign w:val="center"/>
          </w:tcPr>
          <w:p w14:paraId="6D546B75">
            <w:pPr>
              <w:adjustRightInd w:val="0"/>
              <w:snapToGrid w:val="0"/>
              <w:jc w:val="center"/>
              <w:rPr>
                <w:szCs w:val="21"/>
              </w:rPr>
            </w:pPr>
            <w:r>
              <w:rPr>
                <w:szCs w:val="21"/>
              </w:rPr>
              <w:t>电磁辐射</w:t>
            </w:r>
          </w:p>
        </w:tc>
        <w:tc>
          <w:tcPr>
            <w:tcW w:w="1134" w:type="dxa"/>
            <w:vAlign w:val="center"/>
          </w:tcPr>
          <w:p w14:paraId="731300E6">
            <w:pPr>
              <w:adjustRightInd w:val="0"/>
              <w:snapToGrid w:val="0"/>
              <w:jc w:val="center"/>
              <w:rPr>
                <w:szCs w:val="21"/>
              </w:rPr>
            </w:pPr>
            <w:r>
              <w:rPr>
                <w:szCs w:val="21"/>
              </w:rPr>
              <w:t>/</w:t>
            </w:r>
          </w:p>
        </w:tc>
        <w:tc>
          <w:tcPr>
            <w:tcW w:w="855" w:type="dxa"/>
            <w:vAlign w:val="center"/>
          </w:tcPr>
          <w:p w14:paraId="437523D3">
            <w:pPr>
              <w:adjustRightInd w:val="0"/>
              <w:snapToGrid w:val="0"/>
              <w:jc w:val="center"/>
              <w:rPr>
                <w:szCs w:val="21"/>
              </w:rPr>
            </w:pPr>
            <w:r>
              <w:rPr>
                <w:szCs w:val="21"/>
              </w:rPr>
              <w:t>/</w:t>
            </w:r>
          </w:p>
        </w:tc>
        <w:tc>
          <w:tcPr>
            <w:tcW w:w="2689" w:type="dxa"/>
            <w:vAlign w:val="center"/>
          </w:tcPr>
          <w:p w14:paraId="6CC9D5FE">
            <w:pPr>
              <w:adjustRightInd w:val="0"/>
              <w:snapToGrid w:val="0"/>
              <w:jc w:val="center"/>
              <w:rPr>
                <w:szCs w:val="21"/>
              </w:rPr>
            </w:pPr>
            <w:r>
              <w:rPr>
                <w:szCs w:val="21"/>
              </w:rPr>
              <w:t>/</w:t>
            </w:r>
          </w:p>
        </w:tc>
        <w:tc>
          <w:tcPr>
            <w:tcW w:w="3423" w:type="dxa"/>
            <w:gridSpan w:val="2"/>
            <w:vAlign w:val="center"/>
          </w:tcPr>
          <w:p w14:paraId="5426A0D9">
            <w:pPr>
              <w:adjustRightInd w:val="0"/>
              <w:snapToGrid w:val="0"/>
              <w:jc w:val="center"/>
              <w:rPr>
                <w:szCs w:val="21"/>
              </w:rPr>
            </w:pPr>
            <w:r>
              <w:rPr>
                <w:szCs w:val="21"/>
              </w:rPr>
              <w:t>/</w:t>
            </w:r>
          </w:p>
        </w:tc>
      </w:tr>
      <w:tr w14:paraId="24555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9" w:type="dxa"/>
            <w:vAlign w:val="center"/>
          </w:tcPr>
          <w:p w14:paraId="7D8B72A2">
            <w:pPr>
              <w:adjustRightInd w:val="0"/>
              <w:snapToGrid w:val="0"/>
              <w:jc w:val="center"/>
              <w:rPr>
                <w:szCs w:val="21"/>
                <w:highlight w:val="yellow"/>
              </w:rPr>
            </w:pPr>
            <w:r>
              <w:rPr>
                <w:szCs w:val="21"/>
              </w:rPr>
              <w:t>固体废物</w:t>
            </w:r>
          </w:p>
        </w:tc>
        <w:tc>
          <w:tcPr>
            <w:tcW w:w="8101" w:type="dxa"/>
            <w:gridSpan w:val="5"/>
            <w:vAlign w:val="center"/>
          </w:tcPr>
          <w:p w14:paraId="2DBA43A5">
            <w:pPr>
              <w:adjustRightInd w:val="0"/>
              <w:snapToGrid w:val="0"/>
              <w:jc w:val="left"/>
              <w:rPr>
                <w:bCs/>
                <w:szCs w:val="21"/>
              </w:rPr>
            </w:pPr>
            <w:r>
              <w:rPr>
                <w:szCs w:val="21"/>
              </w:rPr>
              <w:t>一般工业固废：</w:t>
            </w:r>
            <w:r>
              <w:rPr>
                <w:rFonts w:hint="eastAsia"/>
                <w:szCs w:val="21"/>
              </w:rPr>
              <w:t>废品、废边角料、废钢丸、废包装材料、表面清理在</w:t>
            </w:r>
            <w:r>
              <w:rPr>
                <w:szCs w:val="21"/>
              </w:rPr>
              <w:t>一般固废暂存间暂存，定期</w:t>
            </w:r>
            <w:r>
              <w:rPr>
                <w:rFonts w:hint="eastAsia"/>
                <w:szCs w:val="21"/>
              </w:rPr>
              <w:t>外售</w:t>
            </w:r>
            <w:r>
              <w:rPr>
                <w:szCs w:val="21"/>
              </w:rPr>
              <w:t>剑涛铝业或废品收购站；</w:t>
            </w:r>
            <w:r>
              <w:rPr>
                <w:rFonts w:hint="eastAsia"/>
                <w:szCs w:val="21"/>
              </w:rPr>
              <w:t>抛丸废气处理系统除尘灰在</w:t>
            </w:r>
            <w:r>
              <w:rPr>
                <w:rFonts w:hint="eastAsia"/>
                <w:bCs/>
                <w:szCs w:val="21"/>
              </w:rPr>
              <w:t>铝粉暂存间暂存，定期外售剑涛铝业。</w:t>
            </w:r>
          </w:p>
          <w:p w14:paraId="447FD881">
            <w:pPr>
              <w:adjustRightInd w:val="0"/>
              <w:snapToGrid w:val="0"/>
              <w:jc w:val="left"/>
              <w:rPr>
                <w:szCs w:val="21"/>
                <w:highlight w:val="yellow"/>
              </w:rPr>
            </w:pPr>
            <w:r>
              <w:rPr>
                <w:szCs w:val="21"/>
              </w:rPr>
              <w:t>危险废物：</w:t>
            </w:r>
            <w:r>
              <w:rPr>
                <w:rFonts w:hint="eastAsia"/>
                <w:szCs w:val="21"/>
              </w:rPr>
              <w:t>废液压油、废润滑油、废包装桶、铝灰渣、废切削液、熔化炉废气处理系统除尘灰、废铝屑、生产废水预处理废油和污泥、废活性炭、废紫外灯管、含油废棉纱及手套在</w:t>
            </w:r>
            <w:r>
              <w:rPr>
                <w:szCs w:val="21"/>
              </w:rPr>
              <w:t>危险废物暂存间暂存，</w:t>
            </w:r>
            <w:r>
              <w:rPr>
                <w:rFonts w:hint="eastAsia"/>
                <w:szCs w:val="21"/>
              </w:rPr>
              <w:t>5</w:t>
            </w:r>
            <w:r>
              <w:rPr>
                <w:szCs w:val="21"/>
              </w:rPr>
              <w:t>0m</w:t>
            </w:r>
            <w:r>
              <w:rPr>
                <w:szCs w:val="21"/>
                <w:vertAlign w:val="superscript"/>
              </w:rPr>
              <w:t>2</w:t>
            </w:r>
            <w:r>
              <w:rPr>
                <w:szCs w:val="21"/>
              </w:rPr>
              <w:t>，容器下设托盘，定期由危废资质单位处理</w:t>
            </w:r>
            <w:r>
              <w:rPr>
                <w:rFonts w:hint="eastAsia"/>
                <w:szCs w:val="21"/>
              </w:rPr>
              <w:t>。</w:t>
            </w:r>
          </w:p>
        </w:tc>
      </w:tr>
      <w:tr w14:paraId="7EADF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9" w:type="dxa"/>
            <w:vAlign w:val="center"/>
          </w:tcPr>
          <w:p w14:paraId="5952BF7A">
            <w:pPr>
              <w:adjustRightInd w:val="0"/>
              <w:snapToGrid w:val="0"/>
              <w:jc w:val="center"/>
              <w:rPr>
                <w:szCs w:val="21"/>
              </w:rPr>
            </w:pPr>
            <w:r>
              <w:rPr>
                <w:szCs w:val="21"/>
              </w:rPr>
              <w:t>土壤及地下水</w:t>
            </w:r>
          </w:p>
          <w:p w14:paraId="4FABDBE5">
            <w:pPr>
              <w:adjustRightInd w:val="0"/>
              <w:snapToGrid w:val="0"/>
              <w:jc w:val="center"/>
              <w:rPr>
                <w:szCs w:val="21"/>
              </w:rPr>
            </w:pPr>
            <w:r>
              <w:rPr>
                <w:szCs w:val="21"/>
              </w:rPr>
              <w:t>污染防治措施</w:t>
            </w:r>
          </w:p>
        </w:tc>
        <w:tc>
          <w:tcPr>
            <w:tcW w:w="8101" w:type="dxa"/>
            <w:gridSpan w:val="5"/>
            <w:vAlign w:val="center"/>
          </w:tcPr>
          <w:p w14:paraId="09983216">
            <w:pPr>
              <w:adjustRightInd w:val="0"/>
              <w:snapToGrid w:val="0"/>
              <w:jc w:val="left"/>
              <w:rPr>
                <w:szCs w:val="21"/>
              </w:rPr>
            </w:pPr>
            <w:r>
              <w:rPr>
                <w:rFonts w:hAnsi="宋体"/>
                <w:szCs w:val="21"/>
              </w:rPr>
              <w:t>源头控制</w:t>
            </w:r>
            <w:r>
              <w:rPr>
                <w:rFonts w:hint="eastAsia" w:hAnsi="宋体"/>
                <w:szCs w:val="21"/>
              </w:rPr>
              <w:t>：</w:t>
            </w:r>
            <w:r>
              <w:rPr>
                <w:rFonts w:hAnsi="宋体"/>
                <w:szCs w:val="21"/>
              </w:rPr>
              <w:t>防止物料包装物、危险废物存放铁桶的跑、冒、滴、漏</w:t>
            </w:r>
            <w:r>
              <w:rPr>
                <w:rFonts w:hint="eastAsia" w:hAnsi="宋体"/>
                <w:szCs w:val="21"/>
              </w:rPr>
              <w:t>，</w:t>
            </w:r>
            <w:r>
              <w:rPr>
                <w:rFonts w:hAnsi="宋体"/>
                <w:szCs w:val="21"/>
              </w:rPr>
              <w:t>生产管线可视化建设</w:t>
            </w:r>
            <w:r>
              <w:rPr>
                <w:rFonts w:hint="eastAsia" w:hAnsi="宋体"/>
                <w:szCs w:val="21"/>
              </w:rPr>
              <w:t>；</w:t>
            </w:r>
            <w:r>
              <w:rPr>
                <w:rFonts w:hAnsi="宋体"/>
                <w:szCs w:val="21"/>
              </w:rPr>
              <w:t>分区防控</w:t>
            </w:r>
            <w:r>
              <w:rPr>
                <w:rFonts w:hint="eastAsia" w:hAnsi="宋体"/>
                <w:szCs w:val="21"/>
              </w:rPr>
              <w:t>：油品库、污水处理设施、危废暂存间、切削液循环池、脱模剂循环池、柴油发电机房</w:t>
            </w:r>
            <w:r>
              <w:rPr>
                <w:rFonts w:hAnsi="宋体"/>
                <w:szCs w:val="21"/>
              </w:rPr>
              <w:t>为</w:t>
            </w:r>
            <w:r>
              <w:rPr>
                <w:rFonts w:hint="eastAsia" w:hAnsi="宋体"/>
                <w:szCs w:val="21"/>
              </w:rPr>
              <w:t>重点</w:t>
            </w:r>
            <w:r>
              <w:rPr>
                <w:rFonts w:hAnsi="宋体"/>
                <w:szCs w:val="21"/>
              </w:rPr>
              <w:t>防渗区</w:t>
            </w:r>
            <w:r>
              <w:rPr>
                <w:szCs w:val="21"/>
              </w:rPr>
              <w:t>作为重点防渗区，防渗层的防渗性能不应低于6.0m厚渗透系数为1.0×10</w:t>
            </w:r>
            <w:r>
              <w:rPr>
                <w:szCs w:val="21"/>
                <w:vertAlign w:val="superscript"/>
              </w:rPr>
              <w:t>-7</w:t>
            </w:r>
            <w:r>
              <w:rPr>
                <w:szCs w:val="21"/>
              </w:rPr>
              <w:t>cm/s的黏土层的防渗性能；危废暂存间</w:t>
            </w:r>
            <w:r>
              <w:rPr>
                <w:rFonts w:hAnsi="宋体"/>
                <w:szCs w:val="21"/>
              </w:rPr>
              <w:t>防渗性能要求达到其防渗层渗透系数</w:t>
            </w:r>
            <w:r>
              <w:rPr>
                <w:szCs w:val="21"/>
              </w:rPr>
              <w:t>≤10</w:t>
            </w:r>
            <w:r>
              <w:rPr>
                <w:szCs w:val="21"/>
                <w:vertAlign w:val="superscript"/>
              </w:rPr>
              <w:t>-10</w:t>
            </w:r>
            <w:r>
              <w:rPr>
                <w:szCs w:val="21"/>
              </w:rPr>
              <w:t>cm/s</w:t>
            </w:r>
            <w:r>
              <w:rPr>
                <w:rFonts w:hAnsi="宋体"/>
                <w:szCs w:val="21"/>
              </w:rPr>
              <w:t>的要求。</w:t>
            </w:r>
            <w:r>
              <w:rPr>
                <w:rFonts w:hAnsi="宋体"/>
              </w:rPr>
              <w:t>项目</w:t>
            </w:r>
            <w:r>
              <w:rPr>
                <w:rFonts w:hint="eastAsia"/>
                <w:bCs/>
                <w:szCs w:val="21"/>
              </w:rPr>
              <w:t>化粪池</w:t>
            </w:r>
            <w:r>
              <w:rPr>
                <w:rFonts w:hint="eastAsia" w:hAnsi="宋体"/>
              </w:rPr>
              <w:t>、</w:t>
            </w:r>
            <w:r>
              <w:rPr>
                <w:rFonts w:hAnsi="宋体"/>
              </w:rPr>
              <w:t>联合厂房内除重点防渗区</w:t>
            </w:r>
            <w:r>
              <w:rPr>
                <w:rFonts w:hint="eastAsia" w:hAnsi="宋体"/>
              </w:rPr>
              <w:t>、仓笼</w:t>
            </w:r>
            <w:r>
              <w:rPr>
                <w:rFonts w:hAnsi="宋体"/>
              </w:rPr>
              <w:t>暂存区</w:t>
            </w:r>
            <w:r>
              <w:rPr>
                <w:rFonts w:hint="eastAsia" w:hAnsi="宋体"/>
              </w:rPr>
              <w:t>、成品暂存区、装卸平台</w:t>
            </w:r>
            <w:r>
              <w:rPr>
                <w:rFonts w:hAnsi="宋体"/>
              </w:rPr>
              <w:t>外</w:t>
            </w:r>
            <w:r>
              <w:rPr>
                <w:rFonts w:hAnsi="宋体"/>
                <w:szCs w:val="21"/>
              </w:rPr>
              <w:t>的其他生产区域均为一</w:t>
            </w:r>
            <w:r>
              <w:rPr>
                <w:rFonts w:hint="eastAsia" w:hAnsi="宋体"/>
                <w:szCs w:val="21"/>
              </w:rPr>
              <w:t>般防渗区，</w:t>
            </w:r>
            <w:r>
              <w:rPr>
                <w:rFonts w:hAnsi="宋体"/>
                <w:szCs w:val="21"/>
              </w:rPr>
              <w:t>防渗性能要求不低</w:t>
            </w:r>
            <w:r>
              <w:rPr>
                <w:szCs w:val="21"/>
              </w:rPr>
              <w:t>1.5m</w:t>
            </w:r>
            <w:r>
              <w:rPr>
                <w:rFonts w:hAnsi="宋体"/>
                <w:szCs w:val="21"/>
              </w:rPr>
              <w:t>厚渗透系数为</w:t>
            </w:r>
            <w:r>
              <w:rPr>
                <w:szCs w:val="21"/>
              </w:rPr>
              <w:t>1.0×10</w:t>
            </w:r>
            <w:r>
              <w:rPr>
                <w:szCs w:val="21"/>
                <w:vertAlign w:val="superscript"/>
              </w:rPr>
              <w:t>-7</w:t>
            </w:r>
            <w:r>
              <w:rPr>
                <w:szCs w:val="21"/>
              </w:rPr>
              <w:t>cm/s</w:t>
            </w:r>
            <w:r>
              <w:rPr>
                <w:rFonts w:hAnsi="宋体"/>
                <w:szCs w:val="21"/>
              </w:rPr>
              <w:t>的黏土层防渗性能。</w:t>
            </w:r>
          </w:p>
        </w:tc>
      </w:tr>
      <w:tr w14:paraId="2F150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9" w:type="dxa"/>
            <w:vAlign w:val="center"/>
          </w:tcPr>
          <w:p w14:paraId="7C9AF98F">
            <w:pPr>
              <w:adjustRightInd w:val="0"/>
              <w:snapToGrid w:val="0"/>
              <w:jc w:val="center"/>
              <w:rPr>
                <w:szCs w:val="21"/>
              </w:rPr>
            </w:pPr>
            <w:r>
              <w:rPr>
                <w:szCs w:val="21"/>
              </w:rPr>
              <w:t>生态保护措施</w:t>
            </w:r>
          </w:p>
        </w:tc>
        <w:tc>
          <w:tcPr>
            <w:tcW w:w="8101" w:type="dxa"/>
            <w:gridSpan w:val="5"/>
            <w:vAlign w:val="center"/>
          </w:tcPr>
          <w:p w14:paraId="368B6D6B">
            <w:pPr>
              <w:adjustRightInd w:val="0"/>
              <w:snapToGrid w:val="0"/>
              <w:jc w:val="center"/>
              <w:rPr>
                <w:szCs w:val="21"/>
                <w:highlight w:val="yellow"/>
              </w:rPr>
            </w:pPr>
            <w:r>
              <w:rPr>
                <w:szCs w:val="21"/>
              </w:rPr>
              <w:t>/</w:t>
            </w:r>
          </w:p>
        </w:tc>
      </w:tr>
      <w:tr w14:paraId="36D40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59" w:type="dxa"/>
            <w:shd w:val="clear" w:color="auto" w:fill="auto"/>
            <w:vAlign w:val="center"/>
          </w:tcPr>
          <w:p w14:paraId="4B7ADB02">
            <w:pPr>
              <w:adjustRightInd w:val="0"/>
              <w:snapToGrid w:val="0"/>
              <w:jc w:val="center"/>
              <w:rPr>
                <w:spacing w:val="-8"/>
                <w:szCs w:val="21"/>
              </w:rPr>
            </w:pPr>
            <w:r>
              <w:rPr>
                <w:spacing w:val="-8"/>
                <w:szCs w:val="21"/>
              </w:rPr>
              <w:t>环境风险防范措施</w:t>
            </w:r>
          </w:p>
        </w:tc>
        <w:tc>
          <w:tcPr>
            <w:tcW w:w="8101" w:type="dxa"/>
            <w:gridSpan w:val="5"/>
            <w:shd w:val="clear" w:color="auto" w:fill="auto"/>
            <w:vAlign w:val="center"/>
          </w:tcPr>
          <w:p w14:paraId="20A3EBCE">
            <w:pPr>
              <w:adjustRightInd w:val="0"/>
              <w:snapToGrid w:val="0"/>
              <w:jc w:val="left"/>
              <w:rPr>
                <w:szCs w:val="21"/>
              </w:rPr>
            </w:pPr>
            <w:r>
              <w:rPr>
                <w:rFonts w:hint="eastAsia"/>
                <w:szCs w:val="21"/>
              </w:rPr>
              <w:t>分区防渗、物料分区分类储存，存放区下设托盘，联合厂房内设立禁烟、禁火表示标牌。</w:t>
            </w:r>
            <w:r>
              <w:rPr>
                <w:szCs w:val="21"/>
              </w:rPr>
              <w:t>建立预警机制，定期组织相关人员进行事故防范演习</w:t>
            </w:r>
            <w:r>
              <w:rPr>
                <w:rFonts w:hint="eastAsia"/>
                <w:szCs w:val="21"/>
              </w:rPr>
              <w:t>；</w:t>
            </w:r>
            <w:r>
              <w:rPr>
                <w:szCs w:val="21"/>
              </w:rPr>
              <w:t>做好日常机械设备维护保养工作</w:t>
            </w:r>
          </w:p>
        </w:tc>
      </w:tr>
      <w:tr w14:paraId="10CAB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59" w:type="dxa"/>
            <w:vAlign w:val="center"/>
          </w:tcPr>
          <w:p w14:paraId="356FB111">
            <w:pPr>
              <w:adjustRightInd w:val="0"/>
              <w:snapToGrid w:val="0"/>
              <w:jc w:val="center"/>
              <w:rPr>
                <w:spacing w:val="-8"/>
                <w:szCs w:val="21"/>
              </w:rPr>
            </w:pPr>
            <w:r>
              <w:rPr>
                <w:spacing w:val="-8"/>
                <w:szCs w:val="21"/>
              </w:rPr>
              <w:t>其他环境管理要求</w:t>
            </w:r>
          </w:p>
        </w:tc>
        <w:tc>
          <w:tcPr>
            <w:tcW w:w="8101" w:type="dxa"/>
            <w:gridSpan w:val="5"/>
            <w:vAlign w:val="center"/>
          </w:tcPr>
          <w:p w14:paraId="3909D266">
            <w:pPr>
              <w:adjustRightInd w:val="0"/>
              <w:snapToGrid w:val="0"/>
              <w:jc w:val="center"/>
              <w:rPr>
                <w:szCs w:val="21"/>
              </w:rPr>
            </w:pPr>
            <w:r>
              <w:rPr>
                <w:rFonts w:hint="eastAsia"/>
                <w:szCs w:val="21"/>
              </w:rPr>
              <w:t>/</w:t>
            </w:r>
          </w:p>
        </w:tc>
      </w:tr>
    </w:tbl>
    <w:p w14:paraId="6D1D5B2A">
      <w:pPr>
        <w:pStyle w:val="24"/>
        <w:jc w:val="center"/>
        <w:outlineLvl w:val="0"/>
        <w:rPr>
          <w:rFonts w:ascii="Times New Roman" w:hAnsi="Times New Roman"/>
          <w:snapToGrid w:val="0"/>
          <w:sz w:val="30"/>
          <w:szCs w:val="30"/>
        </w:rPr>
      </w:pPr>
      <w:r>
        <w:rPr>
          <w:rFonts w:ascii="Times New Roman" w:hAnsi="Times New Roman"/>
          <w:snapToGrid w:val="0"/>
        </w:rPr>
        <w:br w:type="page"/>
      </w:r>
      <w:r>
        <w:rPr>
          <w:rFonts w:ascii="Times New Roman" w:hAnsi="Times New Roman"/>
          <w:snapToGrid w:val="0"/>
          <w:sz w:val="30"/>
          <w:szCs w:val="30"/>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84B3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3025FFEB">
            <w:pPr>
              <w:tabs>
                <w:tab w:val="left" w:pos="6120"/>
              </w:tabs>
              <w:spacing w:line="360" w:lineRule="auto"/>
              <w:ind w:firstLine="480" w:firstLineChars="200"/>
              <w:jc w:val="left"/>
              <w:rPr>
                <w:sz w:val="24"/>
              </w:rPr>
            </w:pPr>
            <w:r>
              <w:rPr>
                <w:rFonts w:hint="eastAsia"/>
                <w:sz w:val="24"/>
              </w:rPr>
              <w:t>重庆渝湘精密机械有限公司涪陵新型铝合金零部件制造基地</w:t>
            </w:r>
            <w:r>
              <w:rPr>
                <w:sz w:val="24"/>
              </w:rPr>
              <w:t>符合国家的产业政策，符合园区规划环评结论和审查意见，符合</w:t>
            </w:r>
            <w:r>
              <w:rPr>
                <w:rFonts w:hint="eastAsia"/>
                <w:sz w:val="24"/>
              </w:rPr>
              <w:t>涪陵区</w:t>
            </w:r>
            <w:r>
              <w:rPr>
                <w:sz w:val="24"/>
              </w:rPr>
              <w:t>“三线一单”及生态环境保护法律法规政策、生态环境保护规划。工程实施产生的各类污染物在采取污染防治措施后其不利影响能得到有效治理和控制，能为环境所接受。</w:t>
            </w:r>
          </w:p>
          <w:p w14:paraId="08904EDF">
            <w:pPr>
              <w:spacing w:line="360" w:lineRule="auto"/>
              <w:ind w:firstLine="480" w:firstLineChars="200"/>
              <w:jc w:val="left"/>
              <w:rPr>
                <w:sz w:val="24"/>
              </w:rPr>
            </w:pPr>
            <w:r>
              <w:rPr>
                <w:sz w:val="24"/>
              </w:rPr>
              <w:t>从环境保护的角度分析，本工程建设可行。</w:t>
            </w:r>
          </w:p>
        </w:tc>
      </w:tr>
    </w:tbl>
    <w:p w14:paraId="7D89A891">
      <w:pPr>
        <w:sectPr>
          <w:pgSz w:w="11906" w:h="16838"/>
          <w:pgMar w:top="1701" w:right="1531" w:bottom="1701" w:left="1531" w:header="851" w:footer="851" w:gutter="0"/>
          <w:cols w:space="720" w:num="1"/>
          <w:docGrid w:linePitch="312" w:charSpace="0"/>
        </w:sectPr>
      </w:pPr>
    </w:p>
    <w:p w14:paraId="424270B7">
      <w:pPr>
        <w:pStyle w:val="24"/>
        <w:adjustRightInd w:val="0"/>
        <w:snapToGrid w:val="0"/>
        <w:spacing w:before="0" w:beforeAutospacing="0" w:after="0" w:afterAutospacing="0" w:line="360" w:lineRule="auto"/>
        <w:outlineLvl w:val="0"/>
        <w:rPr>
          <w:rFonts w:ascii="Times New Roman" w:hAnsi="Times New Roman"/>
          <w:snapToGrid w:val="0"/>
          <w:sz w:val="32"/>
          <w:szCs w:val="32"/>
        </w:rPr>
      </w:pPr>
      <w:r>
        <w:rPr>
          <w:rFonts w:ascii="Times New Roman" w:hAnsi="Times New Roman"/>
          <w:snapToGrid w:val="0"/>
          <w:sz w:val="32"/>
          <w:szCs w:val="32"/>
        </w:rPr>
        <w:t>附表</w:t>
      </w:r>
    </w:p>
    <w:p w14:paraId="3A6FC793">
      <w:pPr>
        <w:pStyle w:val="24"/>
        <w:adjustRightInd w:val="0"/>
        <w:snapToGrid w:val="0"/>
        <w:spacing w:before="0" w:beforeAutospacing="0" w:after="0" w:afterAutospacing="0" w:line="360" w:lineRule="auto"/>
        <w:jc w:val="center"/>
        <w:outlineLvl w:val="0"/>
        <w:rPr>
          <w:rFonts w:ascii="Times New Roman" w:hAnsi="Times New Roman"/>
          <w:snapToGrid w:val="0"/>
          <w:sz w:val="38"/>
          <w:szCs w:val="38"/>
        </w:rPr>
      </w:pPr>
      <w:r>
        <w:rPr>
          <w:rFonts w:ascii="Times New Roman" w:hAnsi="Times New Roman"/>
          <w:snapToGrid w:val="0"/>
          <w:sz w:val="38"/>
          <w:szCs w:val="38"/>
        </w:rPr>
        <w:t>建设项目污染物排放量汇总表</w:t>
      </w:r>
    </w:p>
    <w:tbl>
      <w:tblPr>
        <w:tblStyle w:val="26"/>
        <w:tblW w:w="5059" w:type="pct"/>
        <w:tblInd w:w="-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46"/>
        <w:gridCol w:w="1712"/>
        <w:gridCol w:w="1169"/>
        <w:gridCol w:w="1960"/>
        <w:gridCol w:w="2069"/>
        <w:gridCol w:w="1406"/>
        <w:gridCol w:w="2151"/>
        <w:gridCol w:w="989"/>
      </w:tblGrid>
      <w:tr w14:paraId="4DB30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1" w:type="pct"/>
            <w:tcBorders>
              <w:tl2br w:val="single" w:color="auto" w:sz="4" w:space="0"/>
            </w:tcBorders>
            <w:tcMar>
              <w:left w:w="28" w:type="dxa"/>
              <w:right w:w="28" w:type="dxa"/>
            </w:tcMar>
            <w:vAlign w:val="center"/>
          </w:tcPr>
          <w:p w14:paraId="70BAB7DA">
            <w:pPr>
              <w:pStyle w:val="42"/>
              <w:spacing w:beforeLines="0" w:afterLines="0" w:line="240" w:lineRule="auto"/>
              <w:jc w:val="right"/>
              <w:rPr>
                <w:rFonts w:ascii="Times New Roman"/>
                <w:snapToGrid w:val="0"/>
                <w:spacing w:val="-6"/>
                <w:kern w:val="21"/>
                <w:szCs w:val="21"/>
              </w:rPr>
            </w:pPr>
            <w:r>
              <w:rPr>
                <w:rFonts w:ascii="Times New Roman"/>
                <w:snapToGrid w:val="0"/>
                <w:spacing w:val="-6"/>
                <w:kern w:val="21"/>
                <w:szCs w:val="21"/>
              </w:rPr>
              <w:t>项目</w:t>
            </w:r>
          </w:p>
          <w:p w14:paraId="5504BD9E">
            <w:pPr>
              <w:pStyle w:val="42"/>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493" w:type="pct"/>
            <w:tcMar>
              <w:left w:w="28" w:type="dxa"/>
              <w:right w:w="28" w:type="dxa"/>
            </w:tcMar>
            <w:vAlign w:val="center"/>
          </w:tcPr>
          <w:p w14:paraId="44C757D8">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627" w:type="pct"/>
            <w:tcMar>
              <w:left w:w="28" w:type="dxa"/>
              <w:right w:w="28" w:type="dxa"/>
            </w:tcMar>
            <w:vAlign w:val="center"/>
          </w:tcPr>
          <w:p w14:paraId="0E4AE8C9">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14:paraId="70AB4CA1">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kern w:val="2"/>
                <w:szCs w:val="21"/>
              </w:rPr>
              <w:t>①</w:t>
            </w:r>
            <w:r>
              <w:rPr>
                <w:rFonts w:ascii="Times New Roman"/>
                <w:snapToGrid w:val="0"/>
                <w:spacing w:val="-6"/>
                <w:kern w:val="21"/>
                <w:szCs w:val="21"/>
              </w:rPr>
              <w:fldChar w:fldCharType="end"/>
            </w:r>
          </w:p>
        </w:tc>
        <w:tc>
          <w:tcPr>
            <w:tcW w:w="428" w:type="pct"/>
            <w:tcMar>
              <w:left w:w="28" w:type="dxa"/>
              <w:right w:w="28" w:type="dxa"/>
            </w:tcMar>
            <w:vAlign w:val="center"/>
          </w:tcPr>
          <w:p w14:paraId="141405AB">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14:paraId="1ABD4E4C">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14:paraId="37EE4978">
            <w:pPr>
              <w:pStyle w:val="42"/>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hint="eastAsia" w:hAnsi="宋体" w:cs="宋体"/>
                <w:snapToGrid w:val="0"/>
                <w:spacing w:val="-6"/>
                <w:kern w:val="21"/>
                <w:szCs w:val="21"/>
              </w:rPr>
              <w:t>②</w:t>
            </w:r>
            <w:r>
              <w:rPr>
                <w:rFonts w:ascii="Times New Roman"/>
                <w:snapToGrid w:val="0"/>
                <w:spacing w:val="-6"/>
                <w:kern w:val="21"/>
                <w:szCs w:val="21"/>
              </w:rPr>
              <w:fldChar w:fldCharType="end"/>
            </w:r>
          </w:p>
        </w:tc>
        <w:tc>
          <w:tcPr>
            <w:tcW w:w="718" w:type="pct"/>
            <w:tcMar>
              <w:left w:w="28" w:type="dxa"/>
              <w:right w:w="28" w:type="dxa"/>
            </w:tcMar>
            <w:vAlign w:val="center"/>
          </w:tcPr>
          <w:p w14:paraId="50440150">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14:paraId="117D554A">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kern w:val="2"/>
                <w:szCs w:val="21"/>
              </w:rPr>
              <w:t>③</w:t>
            </w:r>
            <w:r>
              <w:rPr>
                <w:rFonts w:ascii="Times New Roman"/>
                <w:snapToGrid w:val="0"/>
                <w:spacing w:val="-6"/>
                <w:kern w:val="21"/>
                <w:szCs w:val="21"/>
              </w:rPr>
              <w:fldChar w:fldCharType="end"/>
            </w:r>
          </w:p>
        </w:tc>
        <w:tc>
          <w:tcPr>
            <w:tcW w:w="758" w:type="pct"/>
            <w:tcMar>
              <w:left w:w="28" w:type="dxa"/>
              <w:right w:w="28" w:type="dxa"/>
            </w:tcMar>
            <w:vAlign w:val="center"/>
          </w:tcPr>
          <w:p w14:paraId="27361A83">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14:paraId="4D247B12">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kern w:val="2"/>
                <w:szCs w:val="21"/>
              </w:rPr>
              <w:t>④</w:t>
            </w:r>
            <w:r>
              <w:rPr>
                <w:rFonts w:ascii="Times New Roman"/>
                <w:snapToGrid w:val="0"/>
                <w:spacing w:val="-6"/>
                <w:kern w:val="21"/>
                <w:szCs w:val="21"/>
              </w:rPr>
              <w:fldChar w:fldCharType="end"/>
            </w:r>
          </w:p>
        </w:tc>
        <w:tc>
          <w:tcPr>
            <w:tcW w:w="515" w:type="pct"/>
            <w:tcMar>
              <w:left w:w="28" w:type="dxa"/>
              <w:right w:w="28" w:type="dxa"/>
            </w:tcMar>
            <w:vAlign w:val="center"/>
          </w:tcPr>
          <w:p w14:paraId="13CBB0E4">
            <w:pPr>
              <w:pStyle w:val="42"/>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14:paraId="1FEA9C0E">
            <w:pPr>
              <w:pStyle w:val="42"/>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kern w:val="2"/>
                <w:szCs w:val="21"/>
              </w:rPr>
              <w:t>⑤</w:t>
            </w:r>
            <w:r>
              <w:rPr>
                <w:rFonts w:ascii="Times New Roman"/>
                <w:snapToGrid w:val="0"/>
                <w:spacing w:val="-16"/>
                <w:kern w:val="21"/>
                <w:szCs w:val="21"/>
              </w:rPr>
              <w:fldChar w:fldCharType="end"/>
            </w:r>
          </w:p>
        </w:tc>
        <w:tc>
          <w:tcPr>
            <w:tcW w:w="788" w:type="pct"/>
            <w:tcMar>
              <w:left w:w="28" w:type="dxa"/>
              <w:right w:w="28" w:type="dxa"/>
            </w:tcMar>
            <w:vAlign w:val="center"/>
          </w:tcPr>
          <w:p w14:paraId="6B23A2CC">
            <w:pPr>
              <w:pStyle w:val="42"/>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14:paraId="34C5DF9E">
            <w:pPr>
              <w:pStyle w:val="42"/>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kern w:val="2"/>
                <w:szCs w:val="21"/>
              </w:rPr>
              <w:t>⑥</w:t>
            </w:r>
            <w:r>
              <w:rPr>
                <w:rFonts w:ascii="Times New Roman"/>
                <w:snapToGrid w:val="0"/>
                <w:spacing w:val="-16"/>
                <w:kern w:val="21"/>
                <w:szCs w:val="21"/>
              </w:rPr>
              <w:fldChar w:fldCharType="end"/>
            </w:r>
          </w:p>
        </w:tc>
        <w:tc>
          <w:tcPr>
            <w:tcW w:w="363" w:type="pct"/>
            <w:tcMar>
              <w:left w:w="28" w:type="dxa"/>
              <w:right w:w="28" w:type="dxa"/>
            </w:tcMar>
            <w:vAlign w:val="center"/>
          </w:tcPr>
          <w:p w14:paraId="1076EB8D">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14:paraId="7ECF554B">
            <w:pPr>
              <w:pStyle w:val="42"/>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kern w:val="2"/>
                <w:szCs w:val="21"/>
              </w:rPr>
              <w:t>⑦</w:t>
            </w:r>
            <w:r>
              <w:rPr>
                <w:rFonts w:ascii="Times New Roman"/>
                <w:snapToGrid w:val="0"/>
                <w:spacing w:val="-6"/>
                <w:kern w:val="21"/>
                <w:szCs w:val="21"/>
              </w:rPr>
              <w:fldChar w:fldCharType="end"/>
            </w:r>
          </w:p>
        </w:tc>
      </w:tr>
      <w:tr w14:paraId="57727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restart"/>
            <w:vAlign w:val="center"/>
          </w:tcPr>
          <w:p w14:paraId="428DD6CA">
            <w:pPr>
              <w:pStyle w:val="42"/>
              <w:spacing w:beforeLines="0" w:afterLines="0" w:line="240" w:lineRule="auto"/>
              <w:rPr>
                <w:rFonts w:ascii="Times New Roman"/>
                <w:snapToGrid w:val="0"/>
                <w:kern w:val="21"/>
                <w:szCs w:val="21"/>
              </w:rPr>
            </w:pPr>
            <w:r>
              <w:rPr>
                <w:rFonts w:ascii="Times New Roman"/>
                <w:snapToGrid w:val="0"/>
                <w:kern w:val="21"/>
                <w:szCs w:val="21"/>
              </w:rPr>
              <w:t>废气</w:t>
            </w:r>
          </w:p>
        </w:tc>
        <w:tc>
          <w:tcPr>
            <w:tcW w:w="493" w:type="pct"/>
            <w:vAlign w:val="center"/>
          </w:tcPr>
          <w:p w14:paraId="0B215567">
            <w:pPr>
              <w:ind w:left="-63" w:leftChars="-30" w:right="-63" w:rightChars="-30"/>
              <w:jc w:val="center"/>
              <w:rPr>
                <w:szCs w:val="21"/>
              </w:rPr>
            </w:pPr>
            <w:r>
              <w:rPr>
                <w:szCs w:val="21"/>
              </w:rPr>
              <w:t>颗粒物</w:t>
            </w:r>
          </w:p>
        </w:tc>
        <w:tc>
          <w:tcPr>
            <w:tcW w:w="627" w:type="pct"/>
            <w:vAlign w:val="center"/>
          </w:tcPr>
          <w:p w14:paraId="76203C5F">
            <w:pPr>
              <w:ind w:left="-63" w:leftChars="-30" w:right="-63" w:rightChars="-30"/>
              <w:jc w:val="center"/>
              <w:rPr>
                <w:szCs w:val="21"/>
              </w:rPr>
            </w:pPr>
            <w:r>
              <w:rPr>
                <w:szCs w:val="21"/>
              </w:rPr>
              <w:t>0.82</w:t>
            </w:r>
          </w:p>
        </w:tc>
        <w:tc>
          <w:tcPr>
            <w:tcW w:w="428" w:type="pct"/>
            <w:vAlign w:val="center"/>
          </w:tcPr>
          <w:p w14:paraId="33DB061D">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7ED00602">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40D5F2A9">
            <w:pPr>
              <w:widowControl/>
              <w:jc w:val="center"/>
              <w:rPr>
                <w:kern w:val="0"/>
                <w:szCs w:val="21"/>
              </w:rPr>
            </w:pPr>
            <w:r>
              <w:rPr>
                <w:szCs w:val="21"/>
              </w:rPr>
              <w:t>3.29</w:t>
            </w:r>
          </w:p>
        </w:tc>
        <w:tc>
          <w:tcPr>
            <w:tcW w:w="515" w:type="pct"/>
            <w:vAlign w:val="center"/>
          </w:tcPr>
          <w:p w14:paraId="7FFD662A">
            <w:pPr>
              <w:ind w:left="-63" w:leftChars="-30" w:right="-63" w:rightChars="-30"/>
              <w:jc w:val="center"/>
              <w:rPr>
                <w:szCs w:val="21"/>
              </w:rPr>
            </w:pPr>
            <w:r>
              <w:rPr>
                <w:szCs w:val="21"/>
              </w:rPr>
              <w:t>0.82</w:t>
            </w:r>
          </w:p>
        </w:tc>
        <w:tc>
          <w:tcPr>
            <w:tcW w:w="788" w:type="pct"/>
            <w:vAlign w:val="center"/>
          </w:tcPr>
          <w:p w14:paraId="1B740403">
            <w:pPr>
              <w:widowControl/>
              <w:jc w:val="center"/>
              <w:rPr>
                <w:kern w:val="0"/>
                <w:szCs w:val="21"/>
              </w:rPr>
            </w:pPr>
            <w:r>
              <w:rPr>
                <w:szCs w:val="21"/>
              </w:rPr>
              <w:t>3.29</w:t>
            </w:r>
          </w:p>
        </w:tc>
        <w:tc>
          <w:tcPr>
            <w:tcW w:w="363" w:type="pct"/>
            <w:vAlign w:val="center"/>
          </w:tcPr>
          <w:p w14:paraId="09A532CE">
            <w:pPr>
              <w:widowControl/>
              <w:jc w:val="center"/>
              <w:rPr>
                <w:rFonts w:eastAsia="等线"/>
                <w:kern w:val="0"/>
                <w:szCs w:val="22"/>
              </w:rPr>
            </w:pPr>
            <w:r>
              <w:rPr>
                <w:rFonts w:eastAsia="等线"/>
                <w:szCs w:val="22"/>
              </w:rPr>
              <w:t>+2.47</w:t>
            </w:r>
          </w:p>
        </w:tc>
      </w:tr>
      <w:tr w14:paraId="50A08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3C38B780">
            <w:pPr>
              <w:pStyle w:val="42"/>
              <w:spacing w:beforeLines="0" w:afterLines="0" w:line="240" w:lineRule="auto"/>
              <w:rPr>
                <w:rFonts w:ascii="Times New Roman"/>
                <w:snapToGrid w:val="0"/>
                <w:kern w:val="21"/>
                <w:szCs w:val="21"/>
              </w:rPr>
            </w:pPr>
          </w:p>
        </w:tc>
        <w:tc>
          <w:tcPr>
            <w:tcW w:w="493" w:type="pct"/>
            <w:vAlign w:val="center"/>
          </w:tcPr>
          <w:p w14:paraId="30AE041D">
            <w:pPr>
              <w:ind w:left="-63" w:leftChars="-30" w:right="-63" w:rightChars="-30"/>
              <w:jc w:val="center"/>
              <w:rPr>
                <w:szCs w:val="21"/>
              </w:rPr>
            </w:pPr>
            <w:r>
              <w:rPr>
                <w:szCs w:val="21"/>
              </w:rPr>
              <w:t>SO</w:t>
            </w:r>
            <w:r>
              <w:rPr>
                <w:szCs w:val="21"/>
                <w:vertAlign w:val="subscript"/>
              </w:rPr>
              <w:t>2</w:t>
            </w:r>
          </w:p>
        </w:tc>
        <w:tc>
          <w:tcPr>
            <w:tcW w:w="627" w:type="pct"/>
            <w:vAlign w:val="center"/>
          </w:tcPr>
          <w:p w14:paraId="5C4AEDF0">
            <w:pPr>
              <w:jc w:val="center"/>
              <w:rPr>
                <w:bCs/>
                <w:szCs w:val="21"/>
              </w:rPr>
            </w:pPr>
            <w:r>
              <w:rPr>
                <w:bCs/>
                <w:szCs w:val="21"/>
              </w:rPr>
              <w:t>0.45</w:t>
            </w:r>
          </w:p>
        </w:tc>
        <w:tc>
          <w:tcPr>
            <w:tcW w:w="428" w:type="pct"/>
            <w:vAlign w:val="center"/>
          </w:tcPr>
          <w:p w14:paraId="2C0A9F5F">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2D0CBF8D">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464D1C3C">
            <w:pPr>
              <w:pStyle w:val="69"/>
              <w:spacing w:line="260" w:lineRule="exact"/>
              <w:rPr>
                <w:rFonts w:ascii="Times New Roman" w:hAnsi="Times New Roman"/>
              </w:rPr>
            </w:pPr>
            <w:r>
              <w:rPr>
                <w:rFonts w:ascii="Times New Roman" w:hAnsi="Times New Roman"/>
              </w:rPr>
              <w:t>0.614</w:t>
            </w:r>
          </w:p>
        </w:tc>
        <w:tc>
          <w:tcPr>
            <w:tcW w:w="515" w:type="pct"/>
            <w:vAlign w:val="center"/>
          </w:tcPr>
          <w:p w14:paraId="593C11AE">
            <w:pPr>
              <w:jc w:val="center"/>
              <w:rPr>
                <w:bCs/>
                <w:szCs w:val="21"/>
              </w:rPr>
            </w:pPr>
            <w:r>
              <w:rPr>
                <w:bCs/>
                <w:szCs w:val="21"/>
              </w:rPr>
              <w:t>0.45</w:t>
            </w:r>
          </w:p>
        </w:tc>
        <w:tc>
          <w:tcPr>
            <w:tcW w:w="788" w:type="pct"/>
            <w:vAlign w:val="center"/>
          </w:tcPr>
          <w:p w14:paraId="5C2C8ECB">
            <w:pPr>
              <w:pStyle w:val="69"/>
              <w:spacing w:line="260" w:lineRule="exact"/>
              <w:rPr>
                <w:rFonts w:ascii="Times New Roman" w:hAnsi="Times New Roman"/>
              </w:rPr>
            </w:pPr>
            <w:r>
              <w:rPr>
                <w:rFonts w:ascii="Times New Roman" w:hAnsi="Times New Roman"/>
              </w:rPr>
              <w:t>0.614</w:t>
            </w:r>
          </w:p>
        </w:tc>
        <w:tc>
          <w:tcPr>
            <w:tcW w:w="363" w:type="pct"/>
            <w:vAlign w:val="center"/>
          </w:tcPr>
          <w:p w14:paraId="66FE3CE4">
            <w:pPr>
              <w:jc w:val="center"/>
              <w:rPr>
                <w:rFonts w:eastAsia="等线"/>
                <w:szCs w:val="22"/>
              </w:rPr>
            </w:pPr>
            <w:r>
              <w:rPr>
                <w:rFonts w:eastAsia="等线"/>
                <w:szCs w:val="22"/>
              </w:rPr>
              <w:t>+0.164</w:t>
            </w:r>
          </w:p>
        </w:tc>
      </w:tr>
      <w:tr w14:paraId="57F21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58C90837">
            <w:pPr>
              <w:pStyle w:val="42"/>
              <w:spacing w:beforeLines="0" w:afterLines="0" w:line="240" w:lineRule="auto"/>
              <w:rPr>
                <w:rFonts w:ascii="Times New Roman"/>
                <w:snapToGrid w:val="0"/>
                <w:kern w:val="21"/>
                <w:szCs w:val="21"/>
              </w:rPr>
            </w:pPr>
          </w:p>
        </w:tc>
        <w:tc>
          <w:tcPr>
            <w:tcW w:w="493" w:type="pct"/>
            <w:vAlign w:val="center"/>
          </w:tcPr>
          <w:p w14:paraId="4386D97E">
            <w:pPr>
              <w:ind w:left="-63" w:leftChars="-30" w:right="-63" w:rightChars="-30"/>
              <w:jc w:val="center"/>
              <w:rPr>
                <w:szCs w:val="21"/>
              </w:rPr>
            </w:pPr>
            <w:r>
              <w:rPr>
                <w:szCs w:val="21"/>
              </w:rPr>
              <w:t>NO</w:t>
            </w:r>
            <w:r>
              <w:rPr>
                <w:szCs w:val="21"/>
                <w:vertAlign w:val="subscript"/>
              </w:rPr>
              <w:t>X</w:t>
            </w:r>
          </w:p>
        </w:tc>
        <w:tc>
          <w:tcPr>
            <w:tcW w:w="627" w:type="pct"/>
            <w:vAlign w:val="center"/>
          </w:tcPr>
          <w:p w14:paraId="22C294A6">
            <w:pPr>
              <w:jc w:val="center"/>
              <w:rPr>
                <w:bCs/>
                <w:szCs w:val="21"/>
              </w:rPr>
            </w:pPr>
            <w:r>
              <w:rPr>
                <w:bCs/>
                <w:szCs w:val="21"/>
              </w:rPr>
              <w:t>0.85</w:t>
            </w:r>
          </w:p>
        </w:tc>
        <w:tc>
          <w:tcPr>
            <w:tcW w:w="428" w:type="pct"/>
            <w:vAlign w:val="center"/>
          </w:tcPr>
          <w:p w14:paraId="55522ED7">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095A0C57">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03E143B5">
            <w:pPr>
              <w:pStyle w:val="69"/>
              <w:spacing w:line="260" w:lineRule="exact"/>
              <w:rPr>
                <w:rFonts w:ascii="Times New Roman" w:hAnsi="Times New Roman"/>
              </w:rPr>
            </w:pPr>
            <w:r>
              <w:rPr>
                <w:rFonts w:ascii="Times New Roman" w:hAnsi="Times New Roman"/>
              </w:rPr>
              <w:t>5.749</w:t>
            </w:r>
          </w:p>
        </w:tc>
        <w:tc>
          <w:tcPr>
            <w:tcW w:w="515" w:type="pct"/>
            <w:vAlign w:val="center"/>
          </w:tcPr>
          <w:p w14:paraId="3FE9701D">
            <w:pPr>
              <w:jc w:val="center"/>
              <w:rPr>
                <w:bCs/>
                <w:szCs w:val="21"/>
              </w:rPr>
            </w:pPr>
            <w:r>
              <w:rPr>
                <w:bCs/>
                <w:szCs w:val="21"/>
              </w:rPr>
              <w:t>0.85</w:t>
            </w:r>
          </w:p>
        </w:tc>
        <w:tc>
          <w:tcPr>
            <w:tcW w:w="788" w:type="pct"/>
            <w:vAlign w:val="center"/>
          </w:tcPr>
          <w:p w14:paraId="5B5F4B31">
            <w:pPr>
              <w:pStyle w:val="69"/>
              <w:spacing w:line="260" w:lineRule="exact"/>
              <w:rPr>
                <w:rFonts w:ascii="Times New Roman" w:hAnsi="Times New Roman"/>
              </w:rPr>
            </w:pPr>
            <w:r>
              <w:rPr>
                <w:rFonts w:ascii="Times New Roman" w:hAnsi="Times New Roman"/>
              </w:rPr>
              <w:t>5.749</w:t>
            </w:r>
          </w:p>
        </w:tc>
        <w:tc>
          <w:tcPr>
            <w:tcW w:w="363" w:type="pct"/>
            <w:vAlign w:val="center"/>
          </w:tcPr>
          <w:p w14:paraId="2B95565A">
            <w:pPr>
              <w:jc w:val="center"/>
              <w:rPr>
                <w:rFonts w:eastAsia="等线"/>
                <w:szCs w:val="22"/>
              </w:rPr>
            </w:pPr>
            <w:r>
              <w:rPr>
                <w:rFonts w:eastAsia="等线"/>
                <w:szCs w:val="22"/>
              </w:rPr>
              <w:t>+4.899</w:t>
            </w:r>
          </w:p>
        </w:tc>
      </w:tr>
      <w:tr w14:paraId="494A3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6F9D8A3B">
            <w:pPr>
              <w:pStyle w:val="42"/>
              <w:spacing w:beforeLines="0" w:afterLines="0" w:line="240" w:lineRule="auto"/>
              <w:rPr>
                <w:rFonts w:ascii="Times New Roman"/>
                <w:snapToGrid w:val="0"/>
                <w:kern w:val="21"/>
                <w:szCs w:val="21"/>
              </w:rPr>
            </w:pPr>
          </w:p>
        </w:tc>
        <w:tc>
          <w:tcPr>
            <w:tcW w:w="493" w:type="pct"/>
            <w:vAlign w:val="center"/>
          </w:tcPr>
          <w:p w14:paraId="32658EB7">
            <w:pPr>
              <w:ind w:left="-63" w:leftChars="-30" w:right="-63" w:rightChars="-30"/>
              <w:jc w:val="center"/>
              <w:rPr>
                <w:szCs w:val="21"/>
              </w:rPr>
            </w:pPr>
            <w:r>
              <w:rPr>
                <w:szCs w:val="21"/>
              </w:rPr>
              <w:t>氯化氢</w:t>
            </w:r>
          </w:p>
        </w:tc>
        <w:tc>
          <w:tcPr>
            <w:tcW w:w="627" w:type="pct"/>
            <w:vAlign w:val="center"/>
          </w:tcPr>
          <w:p w14:paraId="5F71CC2F">
            <w:pPr>
              <w:jc w:val="center"/>
              <w:rPr>
                <w:bCs/>
                <w:szCs w:val="21"/>
              </w:rPr>
            </w:pPr>
            <w:r>
              <w:rPr>
                <w:rFonts w:hint="eastAsia"/>
                <w:bCs/>
                <w:szCs w:val="21"/>
              </w:rPr>
              <w:t>/</w:t>
            </w:r>
          </w:p>
        </w:tc>
        <w:tc>
          <w:tcPr>
            <w:tcW w:w="428" w:type="pct"/>
            <w:vAlign w:val="center"/>
          </w:tcPr>
          <w:p w14:paraId="0E368F24">
            <w:pPr>
              <w:pStyle w:val="42"/>
              <w:spacing w:beforeLines="0" w:afterLines="0" w:line="240" w:lineRule="auto"/>
              <w:rPr>
                <w:rFonts w:ascii="Times New Roman"/>
                <w:snapToGrid w:val="0"/>
                <w:kern w:val="21"/>
                <w:szCs w:val="21"/>
              </w:rPr>
            </w:pPr>
            <w:r>
              <w:rPr>
                <w:rFonts w:hint="eastAsia" w:ascii="Times New Roman"/>
                <w:snapToGrid w:val="0"/>
                <w:kern w:val="21"/>
                <w:szCs w:val="21"/>
              </w:rPr>
              <w:t>/</w:t>
            </w:r>
          </w:p>
        </w:tc>
        <w:tc>
          <w:tcPr>
            <w:tcW w:w="718" w:type="pct"/>
            <w:vAlign w:val="center"/>
          </w:tcPr>
          <w:p w14:paraId="290DE878">
            <w:pPr>
              <w:pStyle w:val="42"/>
              <w:spacing w:beforeLines="0" w:afterLines="0" w:line="240" w:lineRule="auto"/>
              <w:rPr>
                <w:rFonts w:ascii="Times New Roman"/>
                <w:snapToGrid w:val="0"/>
                <w:kern w:val="21"/>
                <w:szCs w:val="21"/>
              </w:rPr>
            </w:pPr>
            <w:r>
              <w:rPr>
                <w:rFonts w:hint="eastAsia" w:ascii="Times New Roman"/>
                <w:snapToGrid w:val="0"/>
                <w:kern w:val="21"/>
                <w:szCs w:val="21"/>
              </w:rPr>
              <w:t>/</w:t>
            </w:r>
          </w:p>
        </w:tc>
        <w:tc>
          <w:tcPr>
            <w:tcW w:w="758" w:type="pct"/>
            <w:vAlign w:val="center"/>
          </w:tcPr>
          <w:p w14:paraId="63221735">
            <w:pPr>
              <w:pStyle w:val="69"/>
              <w:spacing w:line="260" w:lineRule="exact"/>
              <w:rPr>
                <w:rFonts w:ascii="Times New Roman" w:hAnsi="Times New Roman"/>
              </w:rPr>
            </w:pPr>
            <w:r>
              <w:rPr>
                <w:rFonts w:hint="eastAsia" w:ascii="Times New Roman" w:hAnsi="Times New Roman"/>
              </w:rPr>
              <w:t>0</w:t>
            </w:r>
            <w:r>
              <w:rPr>
                <w:rFonts w:ascii="Times New Roman" w:hAnsi="Times New Roman"/>
              </w:rPr>
              <w:t>.11</w:t>
            </w:r>
          </w:p>
        </w:tc>
        <w:tc>
          <w:tcPr>
            <w:tcW w:w="515" w:type="pct"/>
            <w:vAlign w:val="center"/>
          </w:tcPr>
          <w:p w14:paraId="7A8A8A4C">
            <w:pPr>
              <w:jc w:val="center"/>
              <w:rPr>
                <w:bCs/>
                <w:szCs w:val="21"/>
              </w:rPr>
            </w:pPr>
            <w:r>
              <w:rPr>
                <w:rFonts w:hint="eastAsia"/>
                <w:bCs/>
                <w:szCs w:val="21"/>
              </w:rPr>
              <w:t>/</w:t>
            </w:r>
          </w:p>
        </w:tc>
        <w:tc>
          <w:tcPr>
            <w:tcW w:w="788" w:type="pct"/>
            <w:vAlign w:val="center"/>
          </w:tcPr>
          <w:p w14:paraId="74CFC746">
            <w:pPr>
              <w:pStyle w:val="69"/>
              <w:spacing w:line="260" w:lineRule="exact"/>
              <w:rPr>
                <w:rFonts w:ascii="Times New Roman" w:hAnsi="Times New Roman"/>
              </w:rPr>
            </w:pPr>
            <w:r>
              <w:rPr>
                <w:rFonts w:hint="eastAsia" w:ascii="Times New Roman" w:hAnsi="Times New Roman"/>
              </w:rPr>
              <w:t>0</w:t>
            </w:r>
            <w:r>
              <w:rPr>
                <w:rFonts w:ascii="Times New Roman" w:hAnsi="Times New Roman"/>
              </w:rPr>
              <w:t>.11</w:t>
            </w:r>
          </w:p>
        </w:tc>
        <w:tc>
          <w:tcPr>
            <w:tcW w:w="363" w:type="pct"/>
            <w:vAlign w:val="center"/>
          </w:tcPr>
          <w:p w14:paraId="63CAD3BC">
            <w:pPr>
              <w:jc w:val="center"/>
              <w:rPr>
                <w:rFonts w:eastAsia="等线"/>
                <w:szCs w:val="22"/>
              </w:rPr>
            </w:pPr>
            <w:r>
              <w:rPr>
                <w:rFonts w:eastAsia="等线"/>
                <w:szCs w:val="22"/>
              </w:rPr>
              <w:t>+0.11</w:t>
            </w:r>
          </w:p>
        </w:tc>
      </w:tr>
      <w:tr w14:paraId="55A41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56470174">
            <w:pPr>
              <w:pStyle w:val="42"/>
              <w:spacing w:beforeLines="0" w:afterLines="0" w:line="240" w:lineRule="auto"/>
              <w:rPr>
                <w:rFonts w:ascii="Times New Roman"/>
                <w:snapToGrid w:val="0"/>
                <w:kern w:val="21"/>
                <w:szCs w:val="21"/>
              </w:rPr>
            </w:pPr>
          </w:p>
        </w:tc>
        <w:tc>
          <w:tcPr>
            <w:tcW w:w="493" w:type="pct"/>
            <w:vAlign w:val="center"/>
          </w:tcPr>
          <w:p w14:paraId="2C2C2912">
            <w:pPr>
              <w:pStyle w:val="42"/>
              <w:spacing w:beforeLines="0" w:afterLines="0" w:line="240" w:lineRule="auto"/>
              <w:rPr>
                <w:rFonts w:ascii="Times New Roman"/>
                <w:snapToGrid w:val="0"/>
                <w:kern w:val="21"/>
                <w:szCs w:val="21"/>
              </w:rPr>
            </w:pPr>
            <w:r>
              <w:rPr>
                <w:rFonts w:ascii="Times New Roman"/>
                <w:snapToGrid w:val="0"/>
                <w:kern w:val="21"/>
                <w:szCs w:val="21"/>
              </w:rPr>
              <w:t>非甲烷总烃</w:t>
            </w:r>
          </w:p>
        </w:tc>
        <w:tc>
          <w:tcPr>
            <w:tcW w:w="627" w:type="pct"/>
            <w:vAlign w:val="center"/>
          </w:tcPr>
          <w:p w14:paraId="087DAC23">
            <w:pPr>
              <w:pStyle w:val="42"/>
              <w:spacing w:beforeLines="0" w:afterLines="0" w:line="240" w:lineRule="auto"/>
              <w:rPr>
                <w:rFonts w:ascii="Times New Roman"/>
                <w:snapToGrid w:val="0"/>
                <w:kern w:val="21"/>
                <w:szCs w:val="21"/>
              </w:rPr>
            </w:pPr>
            <w:r>
              <w:rPr>
                <w:rFonts w:ascii="Times New Roman"/>
                <w:snapToGrid w:val="0"/>
                <w:kern w:val="21"/>
                <w:szCs w:val="21"/>
              </w:rPr>
              <w:t>0.342</w:t>
            </w:r>
          </w:p>
        </w:tc>
        <w:tc>
          <w:tcPr>
            <w:tcW w:w="428" w:type="pct"/>
            <w:vAlign w:val="center"/>
          </w:tcPr>
          <w:p w14:paraId="15B200C5">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19823786">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7CE2516A">
            <w:pPr>
              <w:jc w:val="center"/>
              <w:rPr>
                <w:szCs w:val="21"/>
              </w:rPr>
            </w:pPr>
            <w:r>
              <w:rPr>
                <w:szCs w:val="21"/>
              </w:rPr>
              <w:t>0.556</w:t>
            </w:r>
          </w:p>
        </w:tc>
        <w:tc>
          <w:tcPr>
            <w:tcW w:w="515" w:type="pct"/>
            <w:vAlign w:val="center"/>
          </w:tcPr>
          <w:p w14:paraId="02449C29">
            <w:pPr>
              <w:pStyle w:val="42"/>
              <w:spacing w:beforeLines="0" w:afterLines="0" w:line="240" w:lineRule="auto"/>
              <w:rPr>
                <w:rFonts w:ascii="Times New Roman"/>
                <w:snapToGrid w:val="0"/>
                <w:kern w:val="21"/>
                <w:szCs w:val="21"/>
              </w:rPr>
            </w:pPr>
            <w:r>
              <w:rPr>
                <w:rFonts w:ascii="Times New Roman"/>
                <w:snapToGrid w:val="0"/>
                <w:kern w:val="21"/>
                <w:szCs w:val="21"/>
              </w:rPr>
              <w:t>0.342</w:t>
            </w:r>
          </w:p>
        </w:tc>
        <w:tc>
          <w:tcPr>
            <w:tcW w:w="788" w:type="pct"/>
            <w:vAlign w:val="center"/>
          </w:tcPr>
          <w:p w14:paraId="38D03300">
            <w:pPr>
              <w:jc w:val="center"/>
              <w:rPr>
                <w:szCs w:val="21"/>
              </w:rPr>
            </w:pPr>
            <w:r>
              <w:rPr>
                <w:szCs w:val="21"/>
              </w:rPr>
              <w:t>0.556</w:t>
            </w:r>
          </w:p>
        </w:tc>
        <w:tc>
          <w:tcPr>
            <w:tcW w:w="363" w:type="pct"/>
            <w:vAlign w:val="center"/>
          </w:tcPr>
          <w:p w14:paraId="49CE719B">
            <w:pPr>
              <w:jc w:val="center"/>
              <w:rPr>
                <w:rFonts w:eastAsia="等线"/>
                <w:szCs w:val="22"/>
              </w:rPr>
            </w:pPr>
            <w:r>
              <w:rPr>
                <w:rFonts w:eastAsia="等线"/>
                <w:szCs w:val="22"/>
              </w:rPr>
              <w:t>+0.214</w:t>
            </w:r>
          </w:p>
        </w:tc>
      </w:tr>
      <w:tr w14:paraId="335EA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restart"/>
            <w:vAlign w:val="center"/>
          </w:tcPr>
          <w:p w14:paraId="67772C23">
            <w:pPr>
              <w:pStyle w:val="42"/>
              <w:spacing w:beforeLines="0" w:afterLines="0" w:line="240" w:lineRule="auto"/>
              <w:rPr>
                <w:rFonts w:ascii="Times New Roman"/>
                <w:snapToGrid w:val="0"/>
                <w:kern w:val="21"/>
                <w:szCs w:val="21"/>
              </w:rPr>
            </w:pPr>
            <w:r>
              <w:rPr>
                <w:rFonts w:ascii="Times New Roman"/>
                <w:snapToGrid w:val="0"/>
                <w:kern w:val="21"/>
                <w:szCs w:val="21"/>
              </w:rPr>
              <w:t>废水</w:t>
            </w:r>
          </w:p>
        </w:tc>
        <w:tc>
          <w:tcPr>
            <w:tcW w:w="493" w:type="pct"/>
            <w:vAlign w:val="center"/>
          </w:tcPr>
          <w:p w14:paraId="327B2293">
            <w:pPr>
              <w:spacing w:line="280" w:lineRule="exact"/>
              <w:jc w:val="center"/>
              <w:rPr>
                <w:szCs w:val="21"/>
              </w:rPr>
            </w:pPr>
            <w:r>
              <w:rPr>
                <w:szCs w:val="21"/>
              </w:rPr>
              <w:t>COD</w:t>
            </w:r>
          </w:p>
        </w:tc>
        <w:tc>
          <w:tcPr>
            <w:tcW w:w="627" w:type="pct"/>
            <w:vAlign w:val="center"/>
          </w:tcPr>
          <w:p w14:paraId="5172CE7F">
            <w:pPr>
              <w:spacing w:line="280" w:lineRule="exact"/>
              <w:jc w:val="center"/>
              <w:rPr>
                <w:szCs w:val="21"/>
              </w:rPr>
            </w:pPr>
            <w:r>
              <w:rPr>
                <w:bCs/>
                <w:szCs w:val="21"/>
              </w:rPr>
              <w:t>1.261</w:t>
            </w:r>
          </w:p>
        </w:tc>
        <w:tc>
          <w:tcPr>
            <w:tcW w:w="428" w:type="pct"/>
            <w:vAlign w:val="center"/>
          </w:tcPr>
          <w:p w14:paraId="75832E02">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1B0BA346">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5E14BF3B">
            <w:pPr>
              <w:widowControl/>
              <w:jc w:val="center"/>
              <w:rPr>
                <w:kern w:val="0"/>
                <w:szCs w:val="21"/>
              </w:rPr>
            </w:pPr>
            <w:r>
              <w:rPr>
                <w:szCs w:val="21"/>
              </w:rPr>
              <w:t>9.049</w:t>
            </w:r>
          </w:p>
        </w:tc>
        <w:tc>
          <w:tcPr>
            <w:tcW w:w="515" w:type="pct"/>
            <w:vAlign w:val="center"/>
          </w:tcPr>
          <w:p w14:paraId="4101C1C2">
            <w:pPr>
              <w:spacing w:line="280" w:lineRule="exact"/>
              <w:jc w:val="center"/>
              <w:rPr>
                <w:szCs w:val="21"/>
              </w:rPr>
            </w:pPr>
            <w:r>
              <w:rPr>
                <w:bCs/>
                <w:szCs w:val="21"/>
              </w:rPr>
              <w:t>1.261</w:t>
            </w:r>
          </w:p>
        </w:tc>
        <w:tc>
          <w:tcPr>
            <w:tcW w:w="788" w:type="pct"/>
            <w:vAlign w:val="center"/>
          </w:tcPr>
          <w:p w14:paraId="2FDED6ED">
            <w:pPr>
              <w:widowControl/>
              <w:jc w:val="center"/>
              <w:rPr>
                <w:kern w:val="0"/>
                <w:szCs w:val="21"/>
              </w:rPr>
            </w:pPr>
            <w:r>
              <w:rPr>
                <w:szCs w:val="21"/>
              </w:rPr>
              <w:t>9.049</w:t>
            </w:r>
          </w:p>
        </w:tc>
        <w:tc>
          <w:tcPr>
            <w:tcW w:w="363" w:type="pct"/>
            <w:vAlign w:val="center"/>
          </w:tcPr>
          <w:p w14:paraId="7F217539">
            <w:pPr>
              <w:jc w:val="center"/>
              <w:rPr>
                <w:rFonts w:eastAsia="等线"/>
                <w:szCs w:val="22"/>
              </w:rPr>
            </w:pPr>
            <w:r>
              <w:rPr>
                <w:rFonts w:eastAsia="等线"/>
                <w:szCs w:val="22"/>
              </w:rPr>
              <w:t>+7.788</w:t>
            </w:r>
          </w:p>
        </w:tc>
      </w:tr>
      <w:tr w14:paraId="08E48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366A3739">
            <w:pPr>
              <w:pStyle w:val="42"/>
              <w:spacing w:beforeLines="0" w:afterLines="0" w:line="240" w:lineRule="auto"/>
              <w:rPr>
                <w:rFonts w:ascii="Times New Roman"/>
                <w:snapToGrid w:val="0"/>
                <w:kern w:val="21"/>
                <w:szCs w:val="21"/>
              </w:rPr>
            </w:pPr>
          </w:p>
        </w:tc>
        <w:tc>
          <w:tcPr>
            <w:tcW w:w="493" w:type="pct"/>
            <w:vAlign w:val="center"/>
          </w:tcPr>
          <w:p w14:paraId="5D260995">
            <w:pPr>
              <w:spacing w:line="280" w:lineRule="exact"/>
              <w:jc w:val="center"/>
              <w:rPr>
                <w:szCs w:val="21"/>
              </w:rPr>
            </w:pPr>
            <w:r>
              <w:rPr>
                <w:szCs w:val="21"/>
              </w:rPr>
              <w:t>氨氮</w:t>
            </w:r>
          </w:p>
        </w:tc>
        <w:tc>
          <w:tcPr>
            <w:tcW w:w="627" w:type="pct"/>
            <w:vAlign w:val="center"/>
          </w:tcPr>
          <w:p w14:paraId="42340EFB">
            <w:pPr>
              <w:spacing w:line="280" w:lineRule="exact"/>
              <w:jc w:val="center"/>
              <w:rPr>
                <w:szCs w:val="21"/>
              </w:rPr>
            </w:pPr>
            <w:r>
              <w:rPr>
                <w:bCs/>
                <w:szCs w:val="21"/>
              </w:rPr>
              <w:t>0.025</w:t>
            </w:r>
          </w:p>
        </w:tc>
        <w:tc>
          <w:tcPr>
            <w:tcW w:w="428" w:type="pct"/>
            <w:vAlign w:val="center"/>
          </w:tcPr>
          <w:p w14:paraId="64298530">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36427421">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2A863FEE">
            <w:pPr>
              <w:jc w:val="center"/>
              <w:rPr>
                <w:szCs w:val="21"/>
              </w:rPr>
            </w:pPr>
            <w:r>
              <w:rPr>
                <w:szCs w:val="21"/>
              </w:rPr>
              <w:t>0.302</w:t>
            </w:r>
          </w:p>
        </w:tc>
        <w:tc>
          <w:tcPr>
            <w:tcW w:w="515" w:type="pct"/>
            <w:vAlign w:val="center"/>
          </w:tcPr>
          <w:p w14:paraId="6DA43AFB">
            <w:pPr>
              <w:spacing w:line="280" w:lineRule="exact"/>
              <w:jc w:val="center"/>
              <w:rPr>
                <w:szCs w:val="21"/>
              </w:rPr>
            </w:pPr>
            <w:r>
              <w:rPr>
                <w:bCs/>
                <w:szCs w:val="21"/>
              </w:rPr>
              <w:t>0.025</w:t>
            </w:r>
          </w:p>
        </w:tc>
        <w:tc>
          <w:tcPr>
            <w:tcW w:w="788" w:type="pct"/>
            <w:vAlign w:val="center"/>
          </w:tcPr>
          <w:p w14:paraId="7F4E4061">
            <w:pPr>
              <w:jc w:val="center"/>
              <w:rPr>
                <w:szCs w:val="21"/>
              </w:rPr>
            </w:pPr>
            <w:r>
              <w:rPr>
                <w:szCs w:val="21"/>
              </w:rPr>
              <w:t>0.302</w:t>
            </w:r>
          </w:p>
        </w:tc>
        <w:tc>
          <w:tcPr>
            <w:tcW w:w="363" w:type="pct"/>
            <w:vAlign w:val="center"/>
          </w:tcPr>
          <w:p w14:paraId="45128B13">
            <w:pPr>
              <w:jc w:val="center"/>
              <w:rPr>
                <w:rFonts w:eastAsia="等线"/>
                <w:szCs w:val="22"/>
              </w:rPr>
            </w:pPr>
            <w:r>
              <w:rPr>
                <w:rFonts w:eastAsia="等线"/>
                <w:szCs w:val="22"/>
              </w:rPr>
              <w:t>+0.277</w:t>
            </w:r>
          </w:p>
        </w:tc>
      </w:tr>
      <w:tr w14:paraId="5338B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restart"/>
            <w:vAlign w:val="center"/>
          </w:tcPr>
          <w:p w14:paraId="7DF0FCC2">
            <w:pPr>
              <w:pStyle w:val="42"/>
              <w:spacing w:beforeLines="0" w:afterLines="0" w:line="240" w:lineRule="auto"/>
              <w:rPr>
                <w:rFonts w:ascii="Times New Roman"/>
                <w:snapToGrid w:val="0"/>
                <w:kern w:val="21"/>
                <w:szCs w:val="21"/>
              </w:rPr>
            </w:pPr>
            <w:r>
              <w:rPr>
                <w:rFonts w:ascii="Times New Roman"/>
                <w:snapToGrid w:val="0"/>
                <w:kern w:val="21"/>
                <w:szCs w:val="21"/>
              </w:rPr>
              <w:t>一般工业固体废物</w:t>
            </w:r>
          </w:p>
        </w:tc>
        <w:tc>
          <w:tcPr>
            <w:tcW w:w="493" w:type="pct"/>
            <w:vAlign w:val="center"/>
          </w:tcPr>
          <w:p w14:paraId="196FBD98">
            <w:pPr>
              <w:pStyle w:val="69"/>
              <w:autoSpaceDE/>
              <w:autoSpaceDN/>
              <w:adjustRightInd/>
              <w:snapToGrid/>
              <w:spacing w:line="260" w:lineRule="exact"/>
              <w:rPr>
                <w:rFonts w:ascii="Times New Roman" w:hAnsi="Times New Roman"/>
              </w:rPr>
            </w:pPr>
            <w:r>
              <w:rPr>
                <w:rFonts w:ascii="Times New Roman" w:hAnsi="Times New Roman"/>
              </w:rPr>
              <w:t>废品</w:t>
            </w:r>
          </w:p>
        </w:tc>
        <w:tc>
          <w:tcPr>
            <w:tcW w:w="627" w:type="pct"/>
            <w:vAlign w:val="center"/>
          </w:tcPr>
          <w:p w14:paraId="35A82CCC">
            <w:pPr>
              <w:ind w:left="-63" w:leftChars="-30" w:right="-63" w:rightChars="-30"/>
              <w:jc w:val="center"/>
              <w:rPr>
                <w:bCs/>
                <w:szCs w:val="21"/>
              </w:rPr>
            </w:pPr>
            <w:r>
              <w:rPr>
                <w:bCs/>
                <w:szCs w:val="21"/>
              </w:rPr>
              <w:t>389</w:t>
            </w:r>
          </w:p>
        </w:tc>
        <w:tc>
          <w:tcPr>
            <w:tcW w:w="428" w:type="pct"/>
            <w:vAlign w:val="center"/>
          </w:tcPr>
          <w:p w14:paraId="3685888A">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05191EC3">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5B255D8E">
            <w:pPr>
              <w:pStyle w:val="69"/>
              <w:autoSpaceDE/>
              <w:autoSpaceDN/>
              <w:adjustRightInd/>
              <w:snapToGrid/>
              <w:spacing w:line="260" w:lineRule="exact"/>
              <w:rPr>
                <w:rFonts w:ascii="Times New Roman" w:hAnsi="Times New Roman"/>
              </w:rPr>
            </w:pPr>
            <w:r>
              <w:rPr>
                <w:rFonts w:ascii="Times New Roman" w:hAnsi="Times New Roman"/>
              </w:rPr>
              <w:t>400</w:t>
            </w:r>
          </w:p>
        </w:tc>
        <w:tc>
          <w:tcPr>
            <w:tcW w:w="515" w:type="pct"/>
            <w:vAlign w:val="center"/>
          </w:tcPr>
          <w:p w14:paraId="1AA7CCF1">
            <w:pPr>
              <w:ind w:left="-63" w:leftChars="-30" w:right="-63" w:rightChars="-30"/>
              <w:jc w:val="center"/>
              <w:rPr>
                <w:bCs/>
                <w:szCs w:val="21"/>
              </w:rPr>
            </w:pPr>
            <w:r>
              <w:rPr>
                <w:bCs/>
                <w:szCs w:val="21"/>
              </w:rPr>
              <w:t>389</w:t>
            </w:r>
          </w:p>
        </w:tc>
        <w:tc>
          <w:tcPr>
            <w:tcW w:w="788" w:type="pct"/>
            <w:vAlign w:val="center"/>
          </w:tcPr>
          <w:p w14:paraId="1A581DAD">
            <w:pPr>
              <w:pStyle w:val="69"/>
              <w:autoSpaceDE/>
              <w:autoSpaceDN/>
              <w:adjustRightInd/>
              <w:snapToGrid/>
              <w:spacing w:line="260" w:lineRule="exact"/>
              <w:rPr>
                <w:rFonts w:ascii="Times New Roman" w:hAnsi="Times New Roman"/>
              </w:rPr>
            </w:pPr>
            <w:r>
              <w:rPr>
                <w:rFonts w:ascii="Times New Roman" w:hAnsi="Times New Roman"/>
              </w:rPr>
              <w:t>400</w:t>
            </w:r>
          </w:p>
        </w:tc>
        <w:tc>
          <w:tcPr>
            <w:tcW w:w="363" w:type="pct"/>
            <w:vAlign w:val="center"/>
          </w:tcPr>
          <w:p w14:paraId="6E9CB62D">
            <w:pPr>
              <w:jc w:val="center"/>
              <w:rPr>
                <w:rFonts w:eastAsia="等线"/>
                <w:szCs w:val="22"/>
              </w:rPr>
            </w:pPr>
            <w:r>
              <w:rPr>
                <w:rFonts w:eastAsia="等线"/>
                <w:szCs w:val="22"/>
              </w:rPr>
              <w:t>+11</w:t>
            </w:r>
          </w:p>
        </w:tc>
      </w:tr>
      <w:tr w14:paraId="6A17F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514583A6">
            <w:pPr>
              <w:pStyle w:val="42"/>
              <w:spacing w:beforeLines="0" w:afterLines="0" w:line="240" w:lineRule="auto"/>
              <w:rPr>
                <w:rFonts w:ascii="Times New Roman"/>
                <w:snapToGrid w:val="0"/>
                <w:kern w:val="21"/>
                <w:szCs w:val="21"/>
              </w:rPr>
            </w:pPr>
          </w:p>
        </w:tc>
        <w:tc>
          <w:tcPr>
            <w:tcW w:w="493" w:type="pct"/>
            <w:vAlign w:val="center"/>
          </w:tcPr>
          <w:p w14:paraId="302F93BC">
            <w:pPr>
              <w:pStyle w:val="69"/>
              <w:autoSpaceDE/>
              <w:autoSpaceDN/>
              <w:adjustRightInd/>
              <w:snapToGrid/>
              <w:spacing w:line="260" w:lineRule="exact"/>
              <w:rPr>
                <w:rFonts w:ascii="Times New Roman" w:hAnsi="Times New Roman"/>
              </w:rPr>
            </w:pPr>
            <w:r>
              <w:rPr>
                <w:rFonts w:ascii="Times New Roman" w:hAnsi="Times New Roman"/>
              </w:rPr>
              <w:t>废边角料</w:t>
            </w:r>
          </w:p>
        </w:tc>
        <w:tc>
          <w:tcPr>
            <w:tcW w:w="627" w:type="pct"/>
            <w:vAlign w:val="center"/>
          </w:tcPr>
          <w:p w14:paraId="6F0CDCA0">
            <w:pPr>
              <w:ind w:left="-63" w:leftChars="-30" w:right="-63" w:rightChars="-30"/>
              <w:jc w:val="center"/>
              <w:rPr>
                <w:bCs/>
                <w:szCs w:val="21"/>
              </w:rPr>
            </w:pPr>
            <w:r>
              <w:rPr>
                <w:bCs/>
                <w:szCs w:val="21"/>
              </w:rPr>
              <w:t>35</w:t>
            </w:r>
          </w:p>
        </w:tc>
        <w:tc>
          <w:tcPr>
            <w:tcW w:w="428" w:type="pct"/>
            <w:vAlign w:val="center"/>
          </w:tcPr>
          <w:p w14:paraId="7CB6B806">
            <w:pPr>
              <w:pStyle w:val="42"/>
              <w:spacing w:beforeLines="0" w:afterLines="0" w:line="240" w:lineRule="auto"/>
              <w:rPr>
                <w:rFonts w:ascii="Times New Roman"/>
                <w:snapToGrid w:val="0"/>
                <w:kern w:val="21"/>
                <w:szCs w:val="21"/>
              </w:rPr>
            </w:pPr>
          </w:p>
        </w:tc>
        <w:tc>
          <w:tcPr>
            <w:tcW w:w="718" w:type="pct"/>
            <w:vAlign w:val="center"/>
          </w:tcPr>
          <w:p w14:paraId="76E9CBA7">
            <w:pPr>
              <w:pStyle w:val="42"/>
              <w:spacing w:beforeLines="0" w:afterLines="0" w:line="240" w:lineRule="auto"/>
              <w:rPr>
                <w:rFonts w:ascii="Times New Roman"/>
                <w:snapToGrid w:val="0"/>
                <w:kern w:val="21"/>
                <w:szCs w:val="21"/>
              </w:rPr>
            </w:pPr>
          </w:p>
        </w:tc>
        <w:tc>
          <w:tcPr>
            <w:tcW w:w="758" w:type="pct"/>
            <w:vAlign w:val="center"/>
          </w:tcPr>
          <w:p w14:paraId="4404E8BA">
            <w:pPr>
              <w:pStyle w:val="69"/>
              <w:autoSpaceDE/>
              <w:autoSpaceDN/>
              <w:adjustRightInd/>
              <w:snapToGrid/>
              <w:spacing w:line="260" w:lineRule="exact"/>
              <w:rPr>
                <w:rFonts w:ascii="Times New Roman" w:hAnsi="Times New Roman"/>
              </w:rPr>
            </w:pPr>
            <w:r>
              <w:rPr>
                <w:rFonts w:ascii="Times New Roman" w:hAnsi="Times New Roman"/>
              </w:rPr>
              <w:t>80</w:t>
            </w:r>
          </w:p>
        </w:tc>
        <w:tc>
          <w:tcPr>
            <w:tcW w:w="515" w:type="pct"/>
            <w:vAlign w:val="center"/>
          </w:tcPr>
          <w:p w14:paraId="609C9DC3">
            <w:pPr>
              <w:ind w:left="-63" w:leftChars="-30" w:right="-63" w:rightChars="-30"/>
              <w:jc w:val="center"/>
              <w:rPr>
                <w:bCs/>
                <w:szCs w:val="21"/>
              </w:rPr>
            </w:pPr>
            <w:r>
              <w:rPr>
                <w:bCs/>
                <w:szCs w:val="21"/>
              </w:rPr>
              <w:t>35</w:t>
            </w:r>
          </w:p>
        </w:tc>
        <w:tc>
          <w:tcPr>
            <w:tcW w:w="788" w:type="pct"/>
            <w:vAlign w:val="center"/>
          </w:tcPr>
          <w:p w14:paraId="7E49CA9F">
            <w:pPr>
              <w:pStyle w:val="69"/>
              <w:autoSpaceDE/>
              <w:autoSpaceDN/>
              <w:adjustRightInd/>
              <w:snapToGrid/>
              <w:spacing w:line="260" w:lineRule="exact"/>
              <w:rPr>
                <w:rFonts w:ascii="Times New Roman" w:hAnsi="Times New Roman"/>
              </w:rPr>
            </w:pPr>
            <w:r>
              <w:rPr>
                <w:rFonts w:ascii="Times New Roman" w:hAnsi="Times New Roman"/>
              </w:rPr>
              <w:t>80</w:t>
            </w:r>
          </w:p>
        </w:tc>
        <w:tc>
          <w:tcPr>
            <w:tcW w:w="363" w:type="pct"/>
            <w:vAlign w:val="center"/>
          </w:tcPr>
          <w:p w14:paraId="06FA54C5">
            <w:pPr>
              <w:jc w:val="center"/>
              <w:rPr>
                <w:rFonts w:eastAsia="等线"/>
                <w:szCs w:val="22"/>
              </w:rPr>
            </w:pPr>
            <w:r>
              <w:rPr>
                <w:rFonts w:eastAsia="等线"/>
                <w:szCs w:val="22"/>
              </w:rPr>
              <w:t>+45</w:t>
            </w:r>
          </w:p>
        </w:tc>
      </w:tr>
      <w:tr w14:paraId="2E86E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0CCDCBB5">
            <w:pPr>
              <w:pStyle w:val="42"/>
              <w:spacing w:beforeLines="0" w:afterLines="0" w:line="240" w:lineRule="auto"/>
              <w:rPr>
                <w:rFonts w:ascii="Times New Roman"/>
                <w:snapToGrid w:val="0"/>
                <w:kern w:val="21"/>
                <w:szCs w:val="21"/>
              </w:rPr>
            </w:pPr>
          </w:p>
        </w:tc>
        <w:tc>
          <w:tcPr>
            <w:tcW w:w="493" w:type="pct"/>
            <w:vAlign w:val="center"/>
          </w:tcPr>
          <w:p w14:paraId="7119F391">
            <w:pPr>
              <w:pStyle w:val="69"/>
              <w:autoSpaceDE/>
              <w:autoSpaceDN/>
              <w:adjustRightInd/>
              <w:snapToGrid/>
              <w:spacing w:line="260" w:lineRule="exact"/>
              <w:rPr>
                <w:rFonts w:ascii="Times New Roman" w:hAnsi="Times New Roman"/>
              </w:rPr>
            </w:pPr>
            <w:r>
              <w:rPr>
                <w:rFonts w:ascii="Times New Roman" w:hAnsi="Times New Roman"/>
              </w:rPr>
              <w:t>废钢丸</w:t>
            </w:r>
          </w:p>
        </w:tc>
        <w:tc>
          <w:tcPr>
            <w:tcW w:w="627" w:type="pct"/>
            <w:vAlign w:val="center"/>
          </w:tcPr>
          <w:p w14:paraId="00144A87">
            <w:pPr>
              <w:ind w:left="-63" w:leftChars="-30" w:right="-63" w:rightChars="-30"/>
              <w:jc w:val="center"/>
              <w:rPr>
                <w:bCs/>
                <w:szCs w:val="21"/>
              </w:rPr>
            </w:pPr>
            <w:r>
              <w:rPr>
                <w:bCs/>
                <w:szCs w:val="21"/>
              </w:rPr>
              <w:t>9.0</w:t>
            </w:r>
          </w:p>
        </w:tc>
        <w:tc>
          <w:tcPr>
            <w:tcW w:w="428" w:type="pct"/>
            <w:vAlign w:val="center"/>
          </w:tcPr>
          <w:p w14:paraId="6F7D8AAB">
            <w:pPr>
              <w:pStyle w:val="42"/>
              <w:spacing w:beforeLines="0" w:afterLines="0" w:line="240" w:lineRule="auto"/>
              <w:rPr>
                <w:rFonts w:ascii="Times New Roman"/>
                <w:snapToGrid w:val="0"/>
                <w:kern w:val="21"/>
                <w:szCs w:val="21"/>
              </w:rPr>
            </w:pPr>
          </w:p>
        </w:tc>
        <w:tc>
          <w:tcPr>
            <w:tcW w:w="718" w:type="pct"/>
            <w:vAlign w:val="center"/>
          </w:tcPr>
          <w:p w14:paraId="75742932">
            <w:pPr>
              <w:pStyle w:val="42"/>
              <w:spacing w:beforeLines="0" w:afterLines="0" w:line="240" w:lineRule="auto"/>
              <w:rPr>
                <w:rFonts w:ascii="Times New Roman"/>
                <w:snapToGrid w:val="0"/>
                <w:kern w:val="21"/>
                <w:szCs w:val="21"/>
              </w:rPr>
            </w:pPr>
          </w:p>
        </w:tc>
        <w:tc>
          <w:tcPr>
            <w:tcW w:w="758" w:type="pct"/>
            <w:vAlign w:val="center"/>
          </w:tcPr>
          <w:p w14:paraId="08F212A6">
            <w:pPr>
              <w:pStyle w:val="69"/>
              <w:autoSpaceDE/>
              <w:autoSpaceDN/>
              <w:adjustRightInd/>
              <w:snapToGrid/>
              <w:spacing w:line="260" w:lineRule="exact"/>
              <w:rPr>
                <w:rFonts w:ascii="Times New Roman" w:hAnsi="Times New Roman"/>
              </w:rPr>
            </w:pPr>
            <w:r>
              <w:rPr>
                <w:rFonts w:ascii="Times New Roman" w:hAnsi="Times New Roman" w:eastAsia="等线"/>
              </w:rPr>
              <w:t>20.8</w:t>
            </w:r>
          </w:p>
        </w:tc>
        <w:tc>
          <w:tcPr>
            <w:tcW w:w="515" w:type="pct"/>
            <w:vAlign w:val="center"/>
          </w:tcPr>
          <w:p w14:paraId="4B799393">
            <w:pPr>
              <w:ind w:left="-63" w:leftChars="-30" w:right="-63" w:rightChars="-30"/>
              <w:jc w:val="center"/>
              <w:rPr>
                <w:bCs/>
                <w:szCs w:val="21"/>
              </w:rPr>
            </w:pPr>
            <w:r>
              <w:rPr>
                <w:bCs/>
                <w:szCs w:val="21"/>
              </w:rPr>
              <w:t>9.0</w:t>
            </w:r>
          </w:p>
        </w:tc>
        <w:tc>
          <w:tcPr>
            <w:tcW w:w="788" w:type="pct"/>
            <w:vAlign w:val="center"/>
          </w:tcPr>
          <w:p w14:paraId="77771280">
            <w:pPr>
              <w:pStyle w:val="69"/>
              <w:autoSpaceDE/>
              <w:autoSpaceDN/>
              <w:adjustRightInd/>
              <w:snapToGrid/>
              <w:spacing w:line="260" w:lineRule="exact"/>
              <w:rPr>
                <w:rFonts w:ascii="Times New Roman" w:hAnsi="Times New Roman"/>
              </w:rPr>
            </w:pPr>
            <w:r>
              <w:rPr>
                <w:rFonts w:ascii="Times New Roman" w:hAnsi="Times New Roman" w:eastAsia="等线"/>
              </w:rPr>
              <w:t>20.8</w:t>
            </w:r>
          </w:p>
        </w:tc>
        <w:tc>
          <w:tcPr>
            <w:tcW w:w="363" w:type="pct"/>
            <w:vAlign w:val="center"/>
          </w:tcPr>
          <w:p w14:paraId="774CF2E1">
            <w:pPr>
              <w:jc w:val="center"/>
              <w:rPr>
                <w:rFonts w:eastAsia="等线"/>
                <w:szCs w:val="22"/>
              </w:rPr>
            </w:pPr>
            <w:r>
              <w:rPr>
                <w:rFonts w:eastAsia="等线"/>
                <w:szCs w:val="22"/>
              </w:rPr>
              <w:t>+11.8</w:t>
            </w:r>
          </w:p>
        </w:tc>
      </w:tr>
      <w:tr w14:paraId="010E4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3FA685BE">
            <w:pPr>
              <w:pStyle w:val="42"/>
              <w:spacing w:beforeLines="0" w:afterLines="0" w:line="240" w:lineRule="auto"/>
              <w:rPr>
                <w:rFonts w:ascii="Times New Roman"/>
                <w:snapToGrid w:val="0"/>
                <w:kern w:val="21"/>
                <w:szCs w:val="21"/>
              </w:rPr>
            </w:pPr>
          </w:p>
        </w:tc>
        <w:tc>
          <w:tcPr>
            <w:tcW w:w="493" w:type="pct"/>
            <w:vAlign w:val="center"/>
          </w:tcPr>
          <w:p w14:paraId="2CFBFDEA">
            <w:pPr>
              <w:pStyle w:val="69"/>
              <w:autoSpaceDE/>
              <w:autoSpaceDN/>
              <w:adjustRightInd/>
              <w:snapToGrid/>
              <w:spacing w:line="260" w:lineRule="exact"/>
              <w:rPr>
                <w:rFonts w:ascii="Times New Roman" w:hAnsi="Times New Roman"/>
              </w:rPr>
            </w:pPr>
            <w:r>
              <w:rPr>
                <w:rFonts w:ascii="Times New Roman" w:hAnsi="Times New Roman"/>
              </w:rPr>
              <w:t>废包装材料</w:t>
            </w:r>
          </w:p>
        </w:tc>
        <w:tc>
          <w:tcPr>
            <w:tcW w:w="627" w:type="pct"/>
            <w:vAlign w:val="center"/>
          </w:tcPr>
          <w:p w14:paraId="772BB8A8">
            <w:pPr>
              <w:ind w:left="-63" w:leftChars="-30" w:right="-63" w:rightChars="-30"/>
              <w:jc w:val="center"/>
              <w:rPr>
                <w:bCs/>
                <w:szCs w:val="21"/>
              </w:rPr>
            </w:pPr>
            <w:r>
              <w:rPr>
                <w:bCs/>
                <w:szCs w:val="21"/>
              </w:rPr>
              <w:t>2.9</w:t>
            </w:r>
          </w:p>
        </w:tc>
        <w:tc>
          <w:tcPr>
            <w:tcW w:w="428" w:type="pct"/>
            <w:vAlign w:val="center"/>
          </w:tcPr>
          <w:p w14:paraId="4BE58664">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6827765B">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7653C592">
            <w:pPr>
              <w:pStyle w:val="69"/>
              <w:autoSpaceDE/>
              <w:autoSpaceDN/>
              <w:adjustRightInd/>
              <w:snapToGrid/>
              <w:spacing w:line="260" w:lineRule="exact"/>
              <w:rPr>
                <w:rFonts w:ascii="Times New Roman" w:hAnsi="Times New Roman"/>
              </w:rPr>
            </w:pPr>
            <w:r>
              <w:rPr>
                <w:rFonts w:ascii="Times New Roman" w:hAnsi="Times New Roman"/>
              </w:rPr>
              <w:t>6</w:t>
            </w:r>
          </w:p>
        </w:tc>
        <w:tc>
          <w:tcPr>
            <w:tcW w:w="515" w:type="pct"/>
            <w:vAlign w:val="center"/>
          </w:tcPr>
          <w:p w14:paraId="682955D1">
            <w:pPr>
              <w:ind w:left="-63" w:leftChars="-30" w:right="-63" w:rightChars="-30"/>
              <w:jc w:val="center"/>
              <w:rPr>
                <w:bCs/>
                <w:szCs w:val="21"/>
              </w:rPr>
            </w:pPr>
            <w:r>
              <w:rPr>
                <w:bCs/>
                <w:szCs w:val="21"/>
              </w:rPr>
              <w:t>0</w:t>
            </w:r>
          </w:p>
        </w:tc>
        <w:tc>
          <w:tcPr>
            <w:tcW w:w="788" w:type="pct"/>
            <w:vAlign w:val="center"/>
          </w:tcPr>
          <w:p w14:paraId="13EE9032">
            <w:pPr>
              <w:pStyle w:val="69"/>
              <w:autoSpaceDE/>
              <w:autoSpaceDN/>
              <w:adjustRightInd/>
              <w:snapToGrid/>
              <w:spacing w:line="260" w:lineRule="exact"/>
              <w:rPr>
                <w:rFonts w:ascii="Times New Roman" w:hAnsi="Times New Roman"/>
              </w:rPr>
            </w:pPr>
            <w:r>
              <w:rPr>
                <w:rFonts w:ascii="Times New Roman" w:hAnsi="Times New Roman"/>
              </w:rPr>
              <w:t>6</w:t>
            </w:r>
          </w:p>
        </w:tc>
        <w:tc>
          <w:tcPr>
            <w:tcW w:w="363" w:type="pct"/>
            <w:vAlign w:val="center"/>
          </w:tcPr>
          <w:p w14:paraId="3767BC22">
            <w:pPr>
              <w:jc w:val="center"/>
              <w:rPr>
                <w:rFonts w:eastAsia="等线"/>
                <w:szCs w:val="22"/>
              </w:rPr>
            </w:pPr>
            <w:r>
              <w:rPr>
                <w:rFonts w:eastAsia="等线"/>
                <w:szCs w:val="22"/>
              </w:rPr>
              <w:t>+6</w:t>
            </w:r>
          </w:p>
        </w:tc>
      </w:tr>
      <w:tr w14:paraId="6C0B4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79F13963">
            <w:pPr>
              <w:pStyle w:val="42"/>
              <w:spacing w:beforeLines="0" w:afterLines="0" w:line="240" w:lineRule="auto"/>
              <w:rPr>
                <w:rFonts w:ascii="Times New Roman"/>
                <w:snapToGrid w:val="0"/>
                <w:kern w:val="21"/>
                <w:szCs w:val="21"/>
              </w:rPr>
            </w:pPr>
          </w:p>
        </w:tc>
        <w:tc>
          <w:tcPr>
            <w:tcW w:w="493" w:type="pct"/>
            <w:vAlign w:val="center"/>
          </w:tcPr>
          <w:p w14:paraId="61DA7F28">
            <w:pPr>
              <w:pStyle w:val="69"/>
              <w:autoSpaceDE/>
              <w:autoSpaceDN/>
              <w:adjustRightInd/>
              <w:snapToGrid/>
              <w:spacing w:line="260" w:lineRule="exact"/>
              <w:rPr>
                <w:rFonts w:ascii="Times New Roman" w:hAnsi="Times New Roman"/>
              </w:rPr>
            </w:pPr>
            <w:r>
              <w:rPr>
                <w:rFonts w:ascii="Times New Roman" w:hAnsi="Times New Roman"/>
              </w:rPr>
              <w:t>清理及抛丸废气处理系统除尘灰</w:t>
            </w:r>
          </w:p>
        </w:tc>
        <w:tc>
          <w:tcPr>
            <w:tcW w:w="627" w:type="pct"/>
            <w:vAlign w:val="center"/>
          </w:tcPr>
          <w:p w14:paraId="28999AA0">
            <w:pPr>
              <w:ind w:left="-63" w:leftChars="-30" w:right="-63" w:rightChars="-30"/>
              <w:jc w:val="center"/>
              <w:rPr>
                <w:bCs/>
                <w:szCs w:val="21"/>
              </w:rPr>
            </w:pPr>
            <w:r>
              <w:rPr>
                <w:bCs/>
                <w:szCs w:val="21"/>
              </w:rPr>
              <w:t>0</w:t>
            </w:r>
          </w:p>
        </w:tc>
        <w:tc>
          <w:tcPr>
            <w:tcW w:w="428" w:type="pct"/>
            <w:vAlign w:val="center"/>
          </w:tcPr>
          <w:p w14:paraId="7549BB84">
            <w:pPr>
              <w:pStyle w:val="42"/>
              <w:spacing w:beforeLines="0" w:afterLines="0" w:line="240" w:lineRule="auto"/>
              <w:rPr>
                <w:rFonts w:ascii="Times New Roman"/>
                <w:snapToGrid w:val="0"/>
                <w:kern w:val="21"/>
                <w:szCs w:val="21"/>
              </w:rPr>
            </w:pPr>
          </w:p>
        </w:tc>
        <w:tc>
          <w:tcPr>
            <w:tcW w:w="718" w:type="pct"/>
            <w:vAlign w:val="center"/>
          </w:tcPr>
          <w:p w14:paraId="5A037AC3">
            <w:pPr>
              <w:pStyle w:val="42"/>
              <w:spacing w:beforeLines="0" w:afterLines="0" w:line="240" w:lineRule="auto"/>
              <w:rPr>
                <w:rFonts w:ascii="Times New Roman"/>
                <w:snapToGrid w:val="0"/>
                <w:kern w:val="21"/>
                <w:szCs w:val="21"/>
              </w:rPr>
            </w:pPr>
          </w:p>
        </w:tc>
        <w:tc>
          <w:tcPr>
            <w:tcW w:w="758" w:type="pct"/>
            <w:vAlign w:val="center"/>
          </w:tcPr>
          <w:p w14:paraId="070B07DD">
            <w:pPr>
              <w:pStyle w:val="69"/>
              <w:autoSpaceDE/>
              <w:autoSpaceDN/>
              <w:adjustRightInd/>
              <w:snapToGrid/>
              <w:spacing w:line="260" w:lineRule="exact"/>
              <w:rPr>
                <w:rFonts w:ascii="Times New Roman" w:hAnsi="Times New Roman"/>
              </w:rPr>
            </w:pPr>
            <w:r>
              <w:rPr>
                <w:rFonts w:ascii="Times New Roman" w:hAnsi="Times New Roman"/>
              </w:rPr>
              <w:t>19.404</w:t>
            </w:r>
          </w:p>
        </w:tc>
        <w:tc>
          <w:tcPr>
            <w:tcW w:w="515" w:type="pct"/>
            <w:vAlign w:val="center"/>
          </w:tcPr>
          <w:p w14:paraId="539CC719">
            <w:pPr>
              <w:ind w:left="-63" w:leftChars="-30" w:right="-63" w:rightChars="-30"/>
              <w:jc w:val="center"/>
              <w:rPr>
                <w:bCs/>
                <w:szCs w:val="21"/>
              </w:rPr>
            </w:pPr>
            <w:r>
              <w:rPr>
                <w:bCs/>
                <w:szCs w:val="21"/>
              </w:rPr>
              <w:t>2.9</w:t>
            </w:r>
          </w:p>
        </w:tc>
        <w:tc>
          <w:tcPr>
            <w:tcW w:w="788" w:type="pct"/>
            <w:vAlign w:val="center"/>
          </w:tcPr>
          <w:p w14:paraId="7B4C02DA">
            <w:pPr>
              <w:pStyle w:val="69"/>
              <w:autoSpaceDE/>
              <w:autoSpaceDN/>
              <w:adjustRightInd/>
              <w:snapToGrid/>
              <w:spacing w:line="260" w:lineRule="exact"/>
              <w:rPr>
                <w:rFonts w:ascii="Times New Roman" w:hAnsi="Times New Roman"/>
              </w:rPr>
            </w:pPr>
            <w:r>
              <w:rPr>
                <w:rFonts w:ascii="Times New Roman" w:hAnsi="Times New Roman"/>
              </w:rPr>
              <w:t>19.404</w:t>
            </w:r>
          </w:p>
        </w:tc>
        <w:tc>
          <w:tcPr>
            <w:tcW w:w="363" w:type="pct"/>
            <w:vAlign w:val="center"/>
          </w:tcPr>
          <w:p w14:paraId="2F403BF9">
            <w:pPr>
              <w:jc w:val="center"/>
              <w:rPr>
                <w:rFonts w:eastAsia="等线"/>
                <w:szCs w:val="22"/>
              </w:rPr>
            </w:pPr>
            <w:r>
              <w:rPr>
                <w:rFonts w:eastAsia="等线"/>
                <w:szCs w:val="22"/>
              </w:rPr>
              <w:t>+16.504</w:t>
            </w:r>
          </w:p>
        </w:tc>
      </w:tr>
      <w:tr w14:paraId="1DC23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restart"/>
            <w:vAlign w:val="center"/>
          </w:tcPr>
          <w:p w14:paraId="2C8C9F94">
            <w:pPr>
              <w:pStyle w:val="42"/>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493" w:type="pct"/>
            <w:vAlign w:val="center"/>
          </w:tcPr>
          <w:p w14:paraId="7596CCF4">
            <w:pPr>
              <w:pStyle w:val="69"/>
              <w:autoSpaceDE/>
              <w:autoSpaceDN/>
              <w:adjustRightInd/>
              <w:snapToGrid/>
              <w:spacing w:line="260" w:lineRule="exact"/>
              <w:rPr>
                <w:rFonts w:ascii="Times New Roman" w:hAnsi="Times New Roman"/>
              </w:rPr>
            </w:pPr>
            <w:r>
              <w:rPr>
                <w:rFonts w:ascii="Times New Roman" w:hAnsi="Times New Roman"/>
              </w:rPr>
              <w:t>废液压油</w:t>
            </w:r>
          </w:p>
        </w:tc>
        <w:tc>
          <w:tcPr>
            <w:tcW w:w="627" w:type="pct"/>
            <w:vAlign w:val="center"/>
          </w:tcPr>
          <w:p w14:paraId="2780CE68">
            <w:pPr>
              <w:ind w:left="-63" w:leftChars="-30" w:right="-63" w:rightChars="-30"/>
              <w:jc w:val="center"/>
              <w:rPr>
                <w:bCs/>
                <w:szCs w:val="21"/>
              </w:rPr>
            </w:pPr>
            <w:r>
              <w:rPr>
                <w:bCs/>
                <w:szCs w:val="21"/>
              </w:rPr>
              <w:t>1.8</w:t>
            </w:r>
          </w:p>
        </w:tc>
        <w:tc>
          <w:tcPr>
            <w:tcW w:w="428" w:type="pct"/>
            <w:vAlign w:val="center"/>
          </w:tcPr>
          <w:p w14:paraId="088EEBF9">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771F947B">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70C5BDF8">
            <w:pPr>
              <w:pStyle w:val="69"/>
              <w:autoSpaceDE/>
              <w:autoSpaceDN/>
              <w:adjustRightInd/>
              <w:snapToGrid/>
              <w:spacing w:line="260" w:lineRule="exact"/>
              <w:rPr>
                <w:rFonts w:ascii="Times New Roman" w:hAnsi="Times New Roman"/>
              </w:rPr>
            </w:pPr>
            <w:r>
              <w:rPr>
                <w:rFonts w:ascii="Times New Roman" w:hAnsi="Times New Roman" w:eastAsia="等线"/>
              </w:rPr>
              <w:t>12.5</w:t>
            </w:r>
          </w:p>
        </w:tc>
        <w:tc>
          <w:tcPr>
            <w:tcW w:w="515" w:type="pct"/>
            <w:vAlign w:val="center"/>
          </w:tcPr>
          <w:p w14:paraId="30B8F951">
            <w:pPr>
              <w:ind w:left="-63" w:leftChars="-30" w:right="-63" w:rightChars="-30"/>
              <w:jc w:val="center"/>
              <w:rPr>
                <w:bCs/>
                <w:szCs w:val="21"/>
              </w:rPr>
            </w:pPr>
            <w:r>
              <w:rPr>
                <w:bCs/>
                <w:szCs w:val="21"/>
              </w:rPr>
              <w:t>1.8</w:t>
            </w:r>
          </w:p>
        </w:tc>
        <w:tc>
          <w:tcPr>
            <w:tcW w:w="788" w:type="pct"/>
            <w:vAlign w:val="center"/>
          </w:tcPr>
          <w:p w14:paraId="6F477686">
            <w:pPr>
              <w:pStyle w:val="69"/>
              <w:autoSpaceDE/>
              <w:autoSpaceDN/>
              <w:adjustRightInd/>
              <w:snapToGrid/>
              <w:spacing w:line="260" w:lineRule="exact"/>
              <w:rPr>
                <w:rFonts w:ascii="Times New Roman" w:hAnsi="Times New Roman"/>
              </w:rPr>
            </w:pPr>
            <w:r>
              <w:rPr>
                <w:rFonts w:ascii="Times New Roman" w:hAnsi="Times New Roman" w:eastAsia="等线"/>
              </w:rPr>
              <w:t>12.5</w:t>
            </w:r>
          </w:p>
        </w:tc>
        <w:tc>
          <w:tcPr>
            <w:tcW w:w="363" w:type="pct"/>
            <w:vAlign w:val="center"/>
          </w:tcPr>
          <w:p w14:paraId="3C80D34E">
            <w:pPr>
              <w:jc w:val="center"/>
              <w:rPr>
                <w:rFonts w:eastAsia="等线"/>
                <w:szCs w:val="22"/>
              </w:rPr>
            </w:pPr>
            <w:r>
              <w:rPr>
                <w:rFonts w:eastAsia="等线"/>
                <w:szCs w:val="22"/>
              </w:rPr>
              <w:t>+10.7</w:t>
            </w:r>
          </w:p>
        </w:tc>
      </w:tr>
      <w:tr w14:paraId="2FAD3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76B9EB09">
            <w:pPr>
              <w:pStyle w:val="42"/>
              <w:spacing w:beforeLines="0" w:afterLines="0" w:line="240" w:lineRule="auto"/>
              <w:rPr>
                <w:rFonts w:ascii="Times New Roman"/>
                <w:snapToGrid w:val="0"/>
                <w:kern w:val="21"/>
                <w:szCs w:val="21"/>
              </w:rPr>
            </w:pPr>
          </w:p>
        </w:tc>
        <w:tc>
          <w:tcPr>
            <w:tcW w:w="493" w:type="pct"/>
            <w:vAlign w:val="center"/>
          </w:tcPr>
          <w:p w14:paraId="1F35B3DD">
            <w:pPr>
              <w:pStyle w:val="69"/>
              <w:autoSpaceDE/>
              <w:autoSpaceDN/>
              <w:adjustRightInd/>
              <w:snapToGrid/>
              <w:spacing w:line="260" w:lineRule="exact"/>
              <w:rPr>
                <w:rFonts w:ascii="Times New Roman" w:hAnsi="Times New Roman"/>
              </w:rPr>
            </w:pPr>
            <w:r>
              <w:rPr>
                <w:rFonts w:ascii="Times New Roman" w:hAnsi="Times New Roman"/>
              </w:rPr>
              <w:t>废润滑油</w:t>
            </w:r>
          </w:p>
        </w:tc>
        <w:tc>
          <w:tcPr>
            <w:tcW w:w="627" w:type="pct"/>
            <w:vAlign w:val="center"/>
          </w:tcPr>
          <w:p w14:paraId="19B318AA">
            <w:pPr>
              <w:ind w:left="-63" w:leftChars="-30" w:right="-63" w:rightChars="-30"/>
              <w:jc w:val="center"/>
              <w:rPr>
                <w:bCs/>
                <w:szCs w:val="21"/>
              </w:rPr>
            </w:pPr>
            <w:r>
              <w:rPr>
                <w:bCs/>
                <w:szCs w:val="21"/>
              </w:rPr>
              <w:t>0.50</w:t>
            </w:r>
          </w:p>
        </w:tc>
        <w:tc>
          <w:tcPr>
            <w:tcW w:w="428" w:type="pct"/>
            <w:vAlign w:val="center"/>
          </w:tcPr>
          <w:p w14:paraId="04366523">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43E79F07">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4A6929DD">
            <w:pPr>
              <w:pStyle w:val="69"/>
              <w:autoSpaceDE/>
              <w:autoSpaceDN/>
              <w:adjustRightInd/>
              <w:snapToGrid/>
              <w:spacing w:line="260" w:lineRule="exact"/>
              <w:rPr>
                <w:rFonts w:ascii="Times New Roman" w:hAnsi="Times New Roman"/>
              </w:rPr>
            </w:pPr>
            <w:r>
              <w:rPr>
                <w:rFonts w:ascii="Times New Roman" w:hAnsi="Times New Roman" w:eastAsia="等线"/>
              </w:rPr>
              <w:t>67</w:t>
            </w:r>
          </w:p>
        </w:tc>
        <w:tc>
          <w:tcPr>
            <w:tcW w:w="515" w:type="pct"/>
            <w:vAlign w:val="center"/>
          </w:tcPr>
          <w:p w14:paraId="1A0E8F64">
            <w:pPr>
              <w:ind w:left="-63" w:leftChars="-30" w:right="-63" w:rightChars="-30"/>
              <w:jc w:val="center"/>
              <w:rPr>
                <w:bCs/>
                <w:szCs w:val="21"/>
              </w:rPr>
            </w:pPr>
            <w:r>
              <w:rPr>
                <w:bCs/>
                <w:szCs w:val="21"/>
              </w:rPr>
              <w:t>0.50</w:t>
            </w:r>
          </w:p>
        </w:tc>
        <w:tc>
          <w:tcPr>
            <w:tcW w:w="788" w:type="pct"/>
            <w:vAlign w:val="center"/>
          </w:tcPr>
          <w:p w14:paraId="53B279B0">
            <w:pPr>
              <w:pStyle w:val="69"/>
              <w:autoSpaceDE/>
              <w:autoSpaceDN/>
              <w:adjustRightInd/>
              <w:snapToGrid/>
              <w:spacing w:line="260" w:lineRule="exact"/>
              <w:rPr>
                <w:rFonts w:ascii="Times New Roman" w:hAnsi="Times New Roman"/>
              </w:rPr>
            </w:pPr>
            <w:r>
              <w:rPr>
                <w:rFonts w:ascii="Times New Roman" w:hAnsi="Times New Roman" w:eastAsia="等线"/>
              </w:rPr>
              <w:t>67</w:t>
            </w:r>
          </w:p>
        </w:tc>
        <w:tc>
          <w:tcPr>
            <w:tcW w:w="363" w:type="pct"/>
            <w:vAlign w:val="center"/>
          </w:tcPr>
          <w:p w14:paraId="1BF6F87A">
            <w:pPr>
              <w:jc w:val="center"/>
              <w:rPr>
                <w:rFonts w:eastAsia="等线"/>
                <w:szCs w:val="22"/>
              </w:rPr>
            </w:pPr>
            <w:r>
              <w:rPr>
                <w:rFonts w:eastAsia="等线"/>
                <w:szCs w:val="22"/>
              </w:rPr>
              <w:t>+66.5</w:t>
            </w:r>
          </w:p>
        </w:tc>
      </w:tr>
      <w:tr w14:paraId="45685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160FD13D">
            <w:pPr>
              <w:pStyle w:val="42"/>
              <w:spacing w:beforeLines="0" w:afterLines="0" w:line="240" w:lineRule="auto"/>
              <w:rPr>
                <w:rFonts w:ascii="Times New Roman"/>
                <w:snapToGrid w:val="0"/>
                <w:kern w:val="21"/>
                <w:szCs w:val="21"/>
              </w:rPr>
            </w:pPr>
          </w:p>
        </w:tc>
        <w:tc>
          <w:tcPr>
            <w:tcW w:w="493" w:type="pct"/>
            <w:vAlign w:val="center"/>
          </w:tcPr>
          <w:p w14:paraId="7502EDA2">
            <w:pPr>
              <w:pStyle w:val="69"/>
              <w:autoSpaceDE/>
              <w:autoSpaceDN/>
              <w:adjustRightInd/>
              <w:snapToGrid/>
              <w:spacing w:line="260" w:lineRule="exact"/>
              <w:rPr>
                <w:rFonts w:ascii="Times New Roman" w:hAnsi="Times New Roman"/>
              </w:rPr>
            </w:pPr>
            <w:r>
              <w:rPr>
                <w:rFonts w:ascii="Times New Roman" w:hAnsi="Times New Roman"/>
              </w:rPr>
              <w:t>废包装桶</w:t>
            </w:r>
          </w:p>
        </w:tc>
        <w:tc>
          <w:tcPr>
            <w:tcW w:w="627" w:type="pct"/>
            <w:vAlign w:val="center"/>
          </w:tcPr>
          <w:p w14:paraId="0F91B3DD">
            <w:pPr>
              <w:ind w:left="-63" w:leftChars="-30" w:right="-63" w:rightChars="-30"/>
              <w:jc w:val="center"/>
              <w:rPr>
                <w:bCs/>
                <w:szCs w:val="21"/>
              </w:rPr>
            </w:pPr>
            <w:r>
              <w:rPr>
                <w:bCs/>
                <w:szCs w:val="21"/>
              </w:rPr>
              <w:t>1.1</w:t>
            </w:r>
          </w:p>
        </w:tc>
        <w:tc>
          <w:tcPr>
            <w:tcW w:w="428" w:type="pct"/>
            <w:vAlign w:val="center"/>
          </w:tcPr>
          <w:p w14:paraId="756F20F3">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4426264C">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13F402FF">
            <w:pPr>
              <w:pStyle w:val="69"/>
              <w:autoSpaceDE/>
              <w:autoSpaceDN/>
              <w:adjustRightInd/>
              <w:snapToGrid/>
              <w:spacing w:line="260" w:lineRule="exact"/>
              <w:rPr>
                <w:rFonts w:ascii="Times New Roman" w:hAnsi="Times New Roman"/>
              </w:rPr>
            </w:pPr>
            <w:r>
              <w:rPr>
                <w:rFonts w:ascii="Times New Roman" w:hAnsi="Times New Roman"/>
              </w:rPr>
              <w:t>8.0</w:t>
            </w:r>
          </w:p>
        </w:tc>
        <w:tc>
          <w:tcPr>
            <w:tcW w:w="515" w:type="pct"/>
            <w:vAlign w:val="center"/>
          </w:tcPr>
          <w:p w14:paraId="498764FC">
            <w:pPr>
              <w:ind w:left="-63" w:leftChars="-30" w:right="-63" w:rightChars="-30"/>
              <w:jc w:val="center"/>
              <w:rPr>
                <w:bCs/>
                <w:szCs w:val="21"/>
              </w:rPr>
            </w:pPr>
            <w:r>
              <w:rPr>
                <w:bCs/>
                <w:szCs w:val="21"/>
              </w:rPr>
              <w:t>1.1</w:t>
            </w:r>
          </w:p>
        </w:tc>
        <w:tc>
          <w:tcPr>
            <w:tcW w:w="788" w:type="pct"/>
            <w:vAlign w:val="center"/>
          </w:tcPr>
          <w:p w14:paraId="72764667">
            <w:pPr>
              <w:pStyle w:val="69"/>
              <w:autoSpaceDE/>
              <w:autoSpaceDN/>
              <w:adjustRightInd/>
              <w:snapToGrid/>
              <w:spacing w:line="260" w:lineRule="exact"/>
              <w:rPr>
                <w:rFonts w:ascii="Times New Roman" w:hAnsi="Times New Roman"/>
              </w:rPr>
            </w:pPr>
            <w:r>
              <w:rPr>
                <w:rFonts w:ascii="Times New Roman" w:hAnsi="Times New Roman"/>
              </w:rPr>
              <w:t>8.0</w:t>
            </w:r>
          </w:p>
        </w:tc>
        <w:tc>
          <w:tcPr>
            <w:tcW w:w="363" w:type="pct"/>
            <w:vAlign w:val="center"/>
          </w:tcPr>
          <w:p w14:paraId="5AF343C3">
            <w:pPr>
              <w:jc w:val="center"/>
              <w:rPr>
                <w:rFonts w:eastAsia="等线"/>
                <w:szCs w:val="22"/>
              </w:rPr>
            </w:pPr>
            <w:r>
              <w:rPr>
                <w:rFonts w:eastAsia="等线"/>
                <w:szCs w:val="22"/>
              </w:rPr>
              <w:t>+6.9</w:t>
            </w:r>
          </w:p>
        </w:tc>
      </w:tr>
      <w:tr w14:paraId="0282E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63084D7F">
            <w:pPr>
              <w:pStyle w:val="42"/>
              <w:spacing w:beforeLines="0" w:afterLines="0" w:line="240" w:lineRule="auto"/>
              <w:rPr>
                <w:rFonts w:ascii="Times New Roman"/>
                <w:snapToGrid w:val="0"/>
                <w:kern w:val="21"/>
                <w:szCs w:val="21"/>
              </w:rPr>
            </w:pPr>
          </w:p>
        </w:tc>
        <w:tc>
          <w:tcPr>
            <w:tcW w:w="493" w:type="pct"/>
            <w:vAlign w:val="center"/>
          </w:tcPr>
          <w:p w14:paraId="0381EF13">
            <w:pPr>
              <w:pStyle w:val="69"/>
              <w:autoSpaceDE/>
              <w:autoSpaceDN/>
              <w:adjustRightInd/>
              <w:snapToGrid/>
              <w:spacing w:line="260" w:lineRule="exact"/>
              <w:rPr>
                <w:rFonts w:ascii="Times New Roman" w:hAnsi="Times New Roman"/>
              </w:rPr>
            </w:pPr>
            <w:r>
              <w:rPr>
                <w:rFonts w:ascii="Times New Roman" w:hAnsi="Times New Roman"/>
              </w:rPr>
              <w:t>铝灰渣</w:t>
            </w:r>
          </w:p>
        </w:tc>
        <w:tc>
          <w:tcPr>
            <w:tcW w:w="627" w:type="pct"/>
            <w:vAlign w:val="center"/>
          </w:tcPr>
          <w:p w14:paraId="316AA8F5">
            <w:pPr>
              <w:ind w:left="-63" w:leftChars="-30" w:right="-63" w:rightChars="-30"/>
              <w:jc w:val="center"/>
              <w:rPr>
                <w:bCs/>
                <w:szCs w:val="21"/>
              </w:rPr>
            </w:pPr>
            <w:r>
              <w:rPr>
                <w:bCs/>
                <w:szCs w:val="21"/>
              </w:rPr>
              <w:t>58.3</w:t>
            </w:r>
          </w:p>
        </w:tc>
        <w:tc>
          <w:tcPr>
            <w:tcW w:w="428" w:type="pct"/>
            <w:vAlign w:val="center"/>
          </w:tcPr>
          <w:p w14:paraId="28CA7ECA">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32B7B743">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4D9D1E8D">
            <w:pPr>
              <w:pStyle w:val="69"/>
              <w:autoSpaceDE/>
              <w:autoSpaceDN/>
              <w:adjustRightInd/>
              <w:snapToGrid/>
              <w:spacing w:line="260" w:lineRule="exact"/>
              <w:rPr>
                <w:rFonts w:ascii="Times New Roman" w:hAnsi="Times New Roman"/>
              </w:rPr>
            </w:pPr>
            <w:r>
              <w:rPr>
                <w:rFonts w:ascii="Times New Roman" w:hAnsi="Times New Roman"/>
              </w:rPr>
              <w:t>120</w:t>
            </w:r>
          </w:p>
        </w:tc>
        <w:tc>
          <w:tcPr>
            <w:tcW w:w="515" w:type="pct"/>
            <w:vAlign w:val="center"/>
          </w:tcPr>
          <w:p w14:paraId="37CDDD2E">
            <w:pPr>
              <w:ind w:left="-63" w:leftChars="-30" w:right="-63" w:rightChars="-30"/>
              <w:jc w:val="center"/>
              <w:rPr>
                <w:bCs/>
                <w:szCs w:val="21"/>
              </w:rPr>
            </w:pPr>
            <w:r>
              <w:rPr>
                <w:bCs/>
                <w:szCs w:val="21"/>
              </w:rPr>
              <w:t>58.3</w:t>
            </w:r>
          </w:p>
        </w:tc>
        <w:tc>
          <w:tcPr>
            <w:tcW w:w="788" w:type="pct"/>
            <w:vAlign w:val="center"/>
          </w:tcPr>
          <w:p w14:paraId="146F2736">
            <w:pPr>
              <w:pStyle w:val="69"/>
              <w:autoSpaceDE/>
              <w:autoSpaceDN/>
              <w:adjustRightInd/>
              <w:snapToGrid/>
              <w:spacing w:line="260" w:lineRule="exact"/>
              <w:rPr>
                <w:rFonts w:ascii="Times New Roman" w:hAnsi="Times New Roman"/>
              </w:rPr>
            </w:pPr>
            <w:r>
              <w:rPr>
                <w:rFonts w:ascii="Times New Roman" w:hAnsi="Times New Roman"/>
              </w:rPr>
              <w:t>120</w:t>
            </w:r>
          </w:p>
        </w:tc>
        <w:tc>
          <w:tcPr>
            <w:tcW w:w="363" w:type="pct"/>
            <w:vAlign w:val="center"/>
          </w:tcPr>
          <w:p w14:paraId="43B5C01E">
            <w:pPr>
              <w:jc w:val="center"/>
              <w:rPr>
                <w:rFonts w:eastAsia="等线"/>
                <w:szCs w:val="22"/>
              </w:rPr>
            </w:pPr>
            <w:r>
              <w:rPr>
                <w:rFonts w:eastAsia="等线"/>
                <w:szCs w:val="22"/>
              </w:rPr>
              <w:t>+61.7</w:t>
            </w:r>
          </w:p>
        </w:tc>
      </w:tr>
      <w:tr w14:paraId="4DFA2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22D07EDB">
            <w:pPr>
              <w:pStyle w:val="42"/>
              <w:spacing w:beforeLines="0" w:afterLines="0" w:line="240" w:lineRule="auto"/>
              <w:rPr>
                <w:rFonts w:ascii="Times New Roman"/>
                <w:snapToGrid w:val="0"/>
                <w:kern w:val="21"/>
                <w:szCs w:val="21"/>
              </w:rPr>
            </w:pPr>
          </w:p>
        </w:tc>
        <w:tc>
          <w:tcPr>
            <w:tcW w:w="493" w:type="pct"/>
            <w:vAlign w:val="center"/>
          </w:tcPr>
          <w:p w14:paraId="59DF81D8">
            <w:pPr>
              <w:pStyle w:val="69"/>
              <w:autoSpaceDE/>
              <w:autoSpaceDN/>
              <w:adjustRightInd/>
              <w:snapToGrid/>
              <w:spacing w:line="260" w:lineRule="exact"/>
              <w:rPr>
                <w:rFonts w:ascii="Times New Roman" w:hAnsi="Times New Roman"/>
              </w:rPr>
            </w:pPr>
            <w:r>
              <w:rPr>
                <w:rFonts w:ascii="Times New Roman" w:hAnsi="Times New Roman"/>
              </w:rPr>
              <w:t>废切削液</w:t>
            </w:r>
          </w:p>
        </w:tc>
        <w:tc>
          <w:tcPr>
            <w:tcW w:w="627" w:type="pct"/>
            <w:vAlign w:val="center"/>
          </w:tcPr>
          <w:p w14:paraId="796CD3D1">
            <w:pPr>
              <w:ind w:left="-63" w:leftChars="-30" w:right="-63" w:rightChars="-30"/>
              <w:jc w:val="center"/>
              <w:rPr>
                <w:bCs/>
                <w:szCs w:val="21"/>
              </w:rPr>
            </w:pPr>
            <w:r>
              <w:rPr>
                <w:bCs/>
                <w:szCs w:val="21"/>
              </w:rPr>
              <w:t>1.3</w:t>
            </w:r>
          </w:p>
        </w:tc>
        <w:tc>
          <w:tcPr>
            <w:tcW w:w="428" w:type="pct"/>
            <w:vAlign w:val="center"/>
          </w:tcPr>
          <w:p w14:paraId="48F1713B">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1831E521">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09FB1D9F">
            <w:pPr>
              <w:pStyle w:val="69"/>
              <w:autoSpaceDE/>
              <w:autoSpaceDN/>
              <w:adjustRightInd/>
              <w:snapToGrid/>
              <w:spacing w:line="260" w:lineRule="exact"/>
              <w:rPr>
                <w:rFonts w:ascii="Times New Roman" w:hAnsi="Times New Roman"/>
              </w:rPr>
            </w:pPr>
            <w:r>
              <w:rPr>
                <w:rFonts w:ascii="Times New Roman" w:hAnsi="Times New Roman"/>
              </w:rPr>
              <w:t>100</w:t>
            </w:r>
          </w:p>
        </w:tc>
        <w:tc>
          <w:tcPr>
            <w:tcW w:w="515" w:type="pct"/>
            <w:vAlign w:val="center"/>
          </w:tcPr>
          <w:p w14:paraId="5373B7F3">
            <w:pPr>
              <w:ind w:left="-63" w:leftChars="-30" w:right="-63" w:rightChars="-30"/>
              <w:jc w:val="center"/>
              <w:rPr>
                <w:bCs/>
                <w:szCs w:val="21"/>
              </w:rPr>
            </w:pPr>
            <w:r>
              <w:rPr>
                <w:bCs/>
                <w:szCs w:val="21"/>
              </w:rPr>
              <w:t>1.3</w:t>
            </w:r>
          </w:p>
        </w:tc>
        <w:tc>
          <w:tcPr>
            <w:tcW w:w="788" w:type="pct"/>
            <w:vAlign w:val="center"/>
          </w:tcPr>
          <w:p w14:paraId="73E6296E">
            <w:pPr>
              <w:pStyle w:val="69"/>
              <w:autoSpaceDE/>
              <w:autoSpaceDN/>
              <w:adjustRightInd/>
              <w:snapToGrid/>
              <w:spacing w:line="260" w:lineRule="exact"/>
              <w:rPr>
                <w:rFonts w:ascii="Times New Roman" w:hAnsi="Times New Roman"/>
              </w:rPr>
            </w:pPr>
            <w:r>
              <w:rPr>
                <w:rFonts w:ascii="Times New Roman" w:hAnsi="Times New Roman"/>
              </w:rPr>
              <w:t>100</w:t>
            </w:r>
          </w:p>
        </w:tc>
        <w:tc>
          <w:tcPr>
            <w:tcW w:w="363" w:type="pct"/>
            <w:vAlign w:val="center"/>
          </w:tcPr>
          <w:p w14:paraId="0D331527">
            <w:pPr>
              <w:jc w:val="center"/>
              <w:rPr>
                <w:rFonts w:eastAsia="等线"/>
                <w:szCs w:val="22"/>
              </w:rPr>
            </w:pPr>
            <w:r>
              <w:rPr>
                <w:rFonts w:eastAsia="等线"/>
                <w:szCs w:val="22"/>
              </w:rPr>
              <w:t>+98.7</w:t>
            </w:r>
          </w:p>
        </w:tc>
      </w:tr>
      <w:tr w14:paraId="61D8F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62FA2380">
            <w:pPr>
              <w:pStyle w:val="42"/>
              <w:spacing w:beforeLines="0" w:afterLines="0" w:line="240" w:lineRule="auto"/>
              <w:rPr>
                <w:rFonts w:ascii="Times New Roman"/>
                <w:snapToGrid w:val="0"/>
                <w:kern w:val="21"/>
                <w:szCs w:val="21"/>
              </w:rPr>
            </w:pPr>
          </w:p>
        </w:tc>
        <w:tc>
          <w:tcPr>
            <w:tcW w:w="493" w:type="pct"/>
            <w:vAlign w:val="center"/>
          </w:tcPr>
          <w:p w14:paraId="3C18DCAF">
            <w:pPr>
              <w:pStyle w:val="69"/>
              <w:autoSpaceDE/>
              <w:autoSpaceDN/>
              <w:adjustRightInd/>
              <w:snapToGrid/>
              <w:spacing w:line="260" w:lineRule="exact"/>
              <w:rPr>
                <w:rFonts w:ascii="Times New Roman" w:hAnsi="Times New Roman"/>
              </w:rPr>
            </w:pPr>
            <w:r>
              <w:rPr>
                <w:rFonts w:ascii="Times New Roman" w:hAnsi="Times New Roman"/>
              </w:rPr>
              <w:t>废脱模剂</w:t>
            </w:r>
          </w:p>
        </w:tc>
        <w:tc>
          <w:tcPr>
            <w:tcW w:w="627" w:type="pct"/>
            <w:vAlign w:val="center"/>
          </w:tcPr>
          <w:p w14:paraId="4741265B">
            <w:pPr>
              <w:ind w:left="-63" w:leftChars="-30" w:right="-63" w:rightChars="-30"/>
              <w:jc w:val="center"/>
              <w:rPr>
                <w:bCs/>
                <w:szCs w:val="21"/>
              </w:rPr>
            </w:pPr>
            <w:r>
              <w:rPr>
                <w:rFonts w:hint="eastAsia"/>
                <w:bCs/>
                <w:szCs w:val="21"/>
              </w:rPr>
              <w:t>/</w:t>
            </w:r>
          </w:p>
        </w:tc>
        <w:tc>
          <w:tcPr>
            <w:tcW w:w="428" w:type="pct"/>
            <w:vAlign w:val="center"/>
          </w:tcPr>
          <w:p w14:paraId="4D7AE99E">
            <w:pPr>
              <w:pStyle w:val="42"/>
              <w:spacing w:beforeLines="0" w:afterLines="0" w:line="240" w:lineRule="auto"/>
              <w:rPr>
                <w:rFonts w:ascii="Times New Roman"/>
                <w:snapToGrid w:val="0"/>
                <w:kern w:val="21"/>
                <w:szCs w:val="21"/>
              </w:rPr>
            </w:pPr>
            <w:r>
              <w:rPr>
                <w:rFonts w:hint="eastAsia" w:ascii="Times New Roman"/>
                <w:snapToGrid w:val="0"/>
                <w:kern w:val="21"/>
                <w:szCs w:val="21"/>
              </w:rPr>
              <w:t>/</w:t>
            </w:r>
          </w:p>
        </w:tc>
        <w:tc>
          <w:tcPr>
            <w:tcW w:w="718" w:type="pct"/>
            <w:vAlign w:val="center"/>
          </w:tcPr>
          <w:p w14:paraId="0706E7CA">
            <w:pPr>
              <w:pStyle w:val="42"/>
              <w:spacing w:beforeLines="0" w:afterLines="0" w:line="240" w:lineRule="auto"/>
              <w:rPr>
                <w:rFonts w:ascii="Times New Roman"/>
                <w:snapToGrid w:val="0"/>
                <w:kern w:val="21"/>
                <w:szCs w:val="21"/>
              </w:rPr>
            </w:pPr>
            <w:r>
              <w:rPr>
                <w:rFonts w:hint="eastAsia" w:ascii="Times New Roman"/>
                <w:snapToGrid w:val="0"/>
                <w:kern w:val="21"/>
                <w:szCs w:val="21"/>
              </w:rPr>
              <w:t>/</w:t>
            </w:r>
          </w:p>
        </w:tc>
        <w:tc>
          <w:tcPr>
            <w:tcW w:w="758" w:type="pct"/>
            <w:vAlign w:val="center"/>
          </w:tcPr>
          <w:p w14:paraId="27EFC527">
            <w:pPr>
              <w:pStyle w:val="69"/>
              <w:autoSpaceDE/>
              <w:autoSpaceDN/>
              <w:adjustRightInd/>
              <w:snapToGrid/>
              <w:spacing w:line="260" w:lineRule="exact"/>
              <w:rPr>
                <w:rFonts w:ascii="Times New Roman" w:hAnsi="Times New Roman"/>
              </w:rPr>
            </w:pPr>
            <w:r>
              <w:rPr>
                <w:rFonts w:hint="eastAsia" w:ascii="Times New Roman" w:hAnsi="Times New Roman"/>
              </w:rPr>
              <w:t>1</w:t>
            </w:r>
            <w:r>
              <w:rPr>
                <w:rFonts w:ascii="Times New Roman" w:hAnsi="Times New Roman"/>
              </w:rPr>
              <w:t>2</w:t>
            </w:r>
          </w:p>
        </w:tc>
        <w:tc>
          <w:tcPr>
            <w:tcW w:w="515" w:type="pct"/>
            <w:vAlign w:val="center"/>
          </w:tcPr>
          <w:p w14:paraId="4952B5EB">
            <w:pPr>
              <w:ind w:left="-63" w:leftChars="-30" w:right="-63" w:rightChars="-30"/>
              <w:jc w:val="center"/>
              <w:rPr>
                <w:bCs/>
                <w:szCs w:val="21"/>
              </w:rPr>
            </w:pPr>
            <w:r>
              <w:rPr>
                <w:rFonts w:hint="eastAsia"/>
                <w:snapToGrid w:val="0"/>
                <w:kern w:val="21"/>
                <w:szCs w:val="21"/>
              </w:rPr>
              <w:t>/</w:t>
            </w:r>
          </w:p>
        </w:tc>
        <w:tc>
          <w:tcPr>
            <w:tcW w:w="788" w:type="pct"/>
            <w:vAlign w:val="center"/>
          </w:tcPr>
          <w:p w14:paraId="5F66C62F">
            <w:pPr>
              <w:pStyle w:val="69"/>
              <w:autoSpaceDE/>
              <w:autoSpaceDN/>
              <w:adjustRightInd/>
              <w:snapToGrid/>
              <w:spacing w:line="260" w:lineRule="exact"/>
              <w:rPr>
                <w:rFonts w:ascii="Times New Roman" w:hAnsi="Times New Roman"/>
              </w:rPr>
            </w:pPr>
            <w:r>
              <w:rPr>
                <w:rFonts w:hint="eastAsia" w:ascii="Times New Roman" w:hAnsi="Times New Roman"/>
              </w:rPr>
              <w:t>1</w:t>
            </w:r>
            <w:r>
              <w:rPr>
                <w:rFonts w:ascii="Times New Roman" w:hAnsi="Times New Roman"/>
              </w:rPr>
              <w:t>2</w:t>
            </w:r>
          </w:p>
        </w:tc>
        <w:tc>
          <w:tcPr>
            <w:tcW w:w="363" w:type="pct"/>
            <w:vAlign w:val="center"/>
          </w:tcPr>
          <w:p w14:paraId="2B7466F9">
            <w:pPr>
              <w:jc w:val="center"/>
              <w:rPr>
                <w:rFonts w:eastAsia="等线"/>
                <w:szCs w:val="22"/>
              </w:rPr>
            </w:pPr>
            <w:r>
              <w:rPr>
                <w:rFonts w:eastAsia="等线"/>
                <w:szCs w:val="22"/>
              </w:rPr>
              <w:t>+12</w:t>
            </w:r>
          </w:p>
        </w:tc>
      </w:tr>
      <w:tr w14:paraId="6E2B0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33E03D66">
            <w:pPr>
              <w:pStyle w:val="42"/>
              <w:spacing w:beforeLines="0" w:afterLines="0" w:line="240" w:lineRule="auto"/>
              <w:rPr>
                <w:rFonts w:ascii="Times New Roman"/>
                <w:snapToGrid w:val="0"/>
                <w:kern w:val="21"/>
                <w:szCs w:val="21"/>
              </w:rPr>
            </w:pPr>
          </w:p>
        </w:tc>
        <w:tc>
          <w:tcPr>
            <w:tcW w:w="493" w:type="pct"/>
            <w:vAlign w:val="center"/>
          </w:tcPr>
          <w:p w14:paraId="5CCBBF15">
            <w:pPr>
              <w:pStyle w:val="69"/>
              <w:autoSpaceDE/>
              <w:autoSpaceDN/>
              <w:adjustRightInd/>
              <w:snapToGrid/>
              <w:spacing w:line="260" w:lineRule="exact"/>
              <w:rPr>
                <w:rFonts w:ascii="Times New Roman" w:hAnsi="Times New Roman"/>
              </w:rPr>
            </w:pPr>
            <w:r>
              <w:rPr>
                <w:rFonts w:ascii="Times New Roman" w:hAnsi="Times New Roman"/>
              </w:rPr>
              <w:t>熔化炉废气处理系统除尘灰</w:t>
            </w:r>
          </w:p>
        </w:tc>
        <w:tc>
          <w:tcPr>
            <w:tcW w:w="627" w:type="pct"/>
            <w:vAlign w:val="center"/>
          </w:tcPr>
          <w:p w14:paraId="1D93C0E8">
            <w:pPr>
              <w:ind w:left="-63" w:leftChars="-30" w:right="-63" w:rightChars="-30"/>
              <w:jc w:val="center"/>
              <w:rPr>
                <w:bCs/>
                <w:szCs w:val="21"/>
              </w:rPr>
            </w:pPr>
            <w:r>
              <w:rPr>
                <w:bCs/>
                <w:szCs w:val="21"/>
              </w:rPr>
              <w:t>0.05</w:t>
            </w:r>
          </w:p>
        </w:tc>
        <w:tc>
          <w:tcPr>
            <w:tcW w:w="428" w:type="pct"/>
            <w:vAlign w:val="center"/>
          </w:tcPr>
          <w:p w14:paraId="388DA8DB">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7CCE5AE8">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48CCE501">
            <w:pPr>
              <w:pStyle w:val="69"/>
              <w:autoSpaceDE/>
              <w:autoSpaceDN/>
              <w:adjustRightInd/>
              <w:snapToGrid/>
              <w:spacing w:line="260" w:lineRule="exact"/>
              <w:rPr>
                <w:rFonts w:ascii="Times New Roman" w:hAnsi="Times New Roman"/>
              </w:rPr>
            </w:pPr>
            <w:r>
              <w:rPr>
                <w:rFonts w:ascii="Times New Roman" w:hAnsi="Times New Roman"/>
              </w:rPr>
              <w:t>1.06</w:t>
            </w:r>
          </w:p>
        </w:tc>
        <w:tc>
          <w:tcPr>
            <w:tcW w:w="515" w:type="pct"/>
            <w:vAlign w:val="center"/>
          </w:tcPr>
          <w:p w14:paraId="3FA95EFE">
            <w:pPr>
              <w:ind w:left="-63" w:leftChars="-30" w:right="-63" w:rightChars="-30"/>
              <w:jc w:val="center"/>
              <w:rPr>
                <w:bCs/>
                <w:szCs w:val="21"/>
              </w:rPr>
            </w:pPr>
            <w:r>
              <w:rPr>
                <w:bCs/>
                <w:szCs w:val="21"/>
              </w:rPr>
              <w:t>0.05</w:t>
            </w:r>
          </w:p>
        </w:tc>
        <w:tc>
          <w:tcPr>
            <w:tcW w:w="788" w:type="pct"/>
            <w:vAlign w:val="center"/>
          </w:tcPr>
          <w:p w14:paraId="7D2F2DE1">
            <w:pPr>
              <w:pStyle w:val="69"/>
              <w:autoSpaceDE/>
              <w:autoSpaceDN/>
              <w:adjustRightInd/>
              <w:snapToGrid/>
              <w:spacing w:line="260" w:lineRule="exact"/>
              <w:rPr>
                <w:rFonts w:ascii="Times New Roman" w:hAnsi="Times New Roman"/>
              </w:rPr>
            </w:pPr>
            <w:r>
              <w:rPr>
                <w:rFonts w:ascii="Times New Roman" w:hAnsi="Times New Roman"/>
              </w:rPr>
              <w:t>1.06</w:t>
            </w:r>
          </w:p>
        </w:tc>
        <w:tc>
          <w:tcPr>
            <w:tcW w:w="363" w:type="pct"/>
            <w:vAlign w:val="center"/>
          </w:tcPr>
          <w:p w14:paraId="73C44AB8">
            <w:pPr>
              <w:jc w:val="center"/>
              <w:rPr>
                <w:rFonts w:eastAsia="等线"/>
                <w:szCs w:val="22"/>
              </w:rPr>
            </w:pPr>
            <w:r>
              <w:rPr>
                <w:rFonts w:eastAsia="等线"/>
                <w:szCs w:val="22"/>
              </w:rPr>
              <w:t>+1.01</w:t>
            </w:r>
          </w:p>
        </w:tc>
      </w:tr>
      <w:tr w14:paraId="1ECEE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691D115A">
            <w:pPr>
              <w:pStyle w:val="42"/>
              <w:spacing w:beforeLines="0" w:afterLines="0" w:line="240" w:lineRule="auto"/>
              <w:rPr>
                <w:rFonts w:ascii="Times New Roman"/>
                <w:snapToGrid w:val="0"/>
                <w:kern w:val="21"/>
                <w:szCs w:val="21"/>
              </w:rPr>
            </w:pPr>
          </w:p>
        </w:tc>
        <w:tc>
          <w:tcPr>
            <w:tcW w:w="493" w:type="pct"/>
            <w:vAlign w:val="center"/>
          </w:tcPr>
          <w:p w14:paraId="0E08E27E">
            <w:pPr>
              <w:pStyle w:val="69"/>
              <w:autoSpaceDE/>
              <w:autoSpaceDN/>
              <w:adjustRightInd/>
              <w:snapToGrid/>
              <w:spacing w:line="260" w:lineRule="exact"/>
              <w:rPr>
                <w:rFonts w:ascii="Times New Roman" w:hAnsi="Times New Roman"/>
              </w:rPr>
            </w:pPr>
            <w:r>
              <w:rPr>
                <w:rFonts w:ascii="Times New Roman" w:hAnsi="Times New Roman"/>
              </w:rPr>
              <w:t>废铝屑</w:t>
            </w:r>
          </w:p>
        </w:tc>
        <w:tc>
          <w:tcPr>
            <w:tcW w:w="627" w:type="pct"/>
            <w:vAlign w:val="center"/>
          </w:tcPr>
          <w:p w14:paraId="694BBCA9">
            <w:pPr>
              <w:ind w:left="-63" w:leftChars="-30" w:right="-63" w:rightChars="-30"/>
              <w:jc w:val="center"/>
              <w:rPr>
                <w:bCs/>
                <w:szCs w:val="21"/>
              </w:rPr>
            </w:pPr>
            <w:r>
              <w:rPr>
                <w:bCs/>
                <w:szCs w:val="21"/>
              </w:rPr>
              <w:t>70.0</w:t>
            </w:r>
          </w:p>
        </w:tc>
        <w:tc>
          <w:tcPr>
            <w:tcW w:w="428" w:type="pct"/>
            <w:vAlign w:val="center"/>
          </w:tcPr>
          <w:p w14:paraId="08C7ABD8">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666CB2C1">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5B0B31F1">
            <w:pPr>
              <w:pStyle w:val="69"/>
              <w:autoSpaceDE/>
              <w:autoSpaceDN/>
              <w:adjustRightInd/>
              <w:snapToGrid/>
              <w:spacing w:line="260" w:lineRule="exact"/>
              <w:rPr>
                <w:rFonts w:ascii="Times New Roman" w:hAnsi="Times New Roman"/>
              </w:rPr>
            </w:pPr>
            <w:r>
              <w:rPr>
                <w:rFonts w:ascii="Times New Roman" w:hAnsi="Times New Roman"/>
              </w:rPr>
              <w:t>150.4</w:t>
            </w:r>
          </w:p>
        </w:tc>
        <w:tc>
          <w:tcPr>
            <w:tcW w:w="515" w:type="pct"/>
            <w:vAlign w:val="center"/>
          </w:tcPr>
          <w:p w14:paraId="1784B062">
            <w:pPr>
              <w:ind w:left="-63" w:leftChars="-30" w:right="-63" w:rightChars="-30"/>
              <w:jc w:val="center"/>
              <w:rPr>
                <w:bCs/>
                <w:szCs w:val="21"/>
              </w:rPr>
            </w:pPr>
            <w:r>
              <w:rPr>
                <w:bCs/>
                <w:szCs w:val="21"/>
              </w:rPr>
              <w:t>70.0</w:t>
            </w:r>
          </w:p>
        </w:tc>
        <w:tc>
          <w:tcPr>
            <w:tcW w:w="788" w:type="pct"/>
            <w:vAlign w:val="center"/>
          </w:tcPr>
          <w:p w14:paraId="6336BEE1">
            <w:pPr>
              <w:pStyle w:val="69"/>
              <w:autoSpaceDE/>
              <w:autoSpaceDN/>
              <w:adjustRightInd/>
              <w:snapToGrid/>
              <w:spacing w:line="260" w:lineRule="exact"/>
              <w:rPr>
                <w:rFonts w:ascii="Times New Roman" w:hAnsi="Times New Roman"/>
              </w:rPr>
            </w:pPr>
            <w:r>
              <w:rPr>
                <w:rFonts w:ascii="Times New Roman" w:hAnsi="Times New Roman"/>
              </w:rPr>
              <w:t>150.4</w:t>
            </w:r>
          </w:p>
        </w:tc>
        <w:tc>
          <w:tcPr>
            <w:tcW w:w="363" w:type="pct"/>
            <w:vAlign w:val="center"/>
          </w:tcPr>
          <w:p w14:paraId="2578BB0E">
            <w:pPr>
              <w:jc w:val="center"/>
              <w:rPr>
                <w:rFonts w:eastAsia="等线"/>
                <w:szCs w:val="22"/>
              </w:rPr>
            </w:pPr>
            <w:r>
              <w:rPr>
                <w:rFonts w:eastAsia="等线"/>
                <w:szCs w:val="22"/>
              </w:rPr>
              <w:t>+80.4</w:t>
            </w:r>
          </w:p>
        </w:tc>
      </w:tr>
      <w:tr w14:paraId="7BFEB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794F6759">
            <w:pPr>
              <w:pStyle w:val="42"/>
              <w:spacing w:beforeLines="0" w:afterLines="0" w:line="240" w:lineRule="auto"/>
              <w:rPr>
                <w:rFonts w:ascii="Times New Roman"/>
                <w:snapToGrid w:val="0"/>
                <w:kern w:val="21"/>
                <w:szCs w:val="21"/>
              </w:rPr>
            </w:pPr>
          </w:p>
        </w:tc>
        <w:tc>
          <w:tcPr>
            <w:tcW w:w="493" w:type="pct"/>
            <w:vAlign w:val="center"/>
          </w:tcPr>
          <w:p w14:paraId="0744ABDF">
            <w:pPr>
              <w:pStyle w:val="69"/>
              <w:autoSpaceDE/>
              <w:autoSpaceDN/>
              <w:adjustRightInd/>
              <w:snapToGrid/>
              <w:spacing w:line="260" w:lineRule="exact"/>
              <w:rPr>
                <w:rFonts w:ascii="Times New Roman" w:hAnsi="Times New Roman"/>
              </w:rPr>
            </w:pPr>
            <w:r>
              <w:rPr>
                <w:rFonts w:ascii="Times New Roman" w:hAnsi="Times New Roman"/>
              </w:rPr>
              <w:t>生产废水预处理废油和污泥</w:t>
            </w:r>
          </w:p>
        </w:tc>
        <w:tc>
          <w:tcPr>
            <w:tcW w:w="627" w:type="pct"/>
            <w:vAlign w:val="center"/>
          </w:tcPr>
          <w:p w14:paraId="6C43E0A3">
            <w:pPr>
              <w:ind w:left="-63" w:leftChars="-30" w:right="-63" w:rightChars="-30"/>
              <w:jc w:val="center"/>
              <w:rPr>
                <w:bCs/>
                <w:szCs w:val="21"/>
              </w:rPr>
            </w:pPr>
            <w:r>
              <w:rPr>
                <w:bCs/>
                <w:szCs w:val="21"/>
              </w:rPr>
              <w:t>1.25</w:t>
            </w:r>
          </w:p>
        </w:tc>
        <w:tc>
          <w:tcPr>
            <w:tcW w:w="428" w:type="pct"/>
            <w:vAlign w:val="center"/>
          </w:tcPr>
          <w:p w14:paraId="36ECBD06">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18" w:type="pct"/>
            <w:vAlign w:val="center"/>
          </w:tcPr>
          <w:p w14:paraId="7D9DF5B5">
            <w:pPr>
              <w:pStyle w:val="42"/>
              <w:spacing w:beforeLines="0" w:afterLines="0" w:line="240" w:lineRule="auto"/>
              <w:rPr>
                <w:rFonts w:ascii="Times New Roman"/>
                <w:snapToGrid w:val="0"/>
                <w:kern w:val="21"/>
                <w:szCs w:val="21"/>
              </w:rPr>
            </w:pPr>
            <w:r>
              <w:rPr>
                <w:rFonts w:ascii="Times New Roman"/>
                <w:snapToGrid w:val="0"/>
                <w:kern w:val="21"/>
                <w:szCs w:val="21"/>
              </w:rPr>
              <w:t>/</w:t>
            </w:r>
          </w:p>
        </w:tc>
        <w:tc>
          <w:tcPr>
            <w:tcW w:w="758" w:type="pct"/>
            <w:vAlign w:val="center"/>
          </w:tcPr>
          <w:p w14:paraId="49632D00">
            <w:pPr>
              <w:pStyle w:val="69"/>
              <w:autoSpaceDE/>
              <w:autoSpaceDN/>
              <w:adjustRightInd/>
              <w:snapToGrid/>
              <w:spacing w:line="260" w:lineRule="exact"/>
              <w:rPr>
                <w:rFonts w:ascii="Times New Roman" w:hAnsi="Times New Roman"/>
              </w:rPr>
            </w:pPr>
            <w:r>
              <w:rPr>
                <w:rFonts w:ascii="Times New Roman" w:hAnsi="Times New Roman"/>
              </w:rPr>
              <w:t>2.23</w:t>
            </w:r>
          </w:p>
        </w:tc>
        <w:tc>
          <w:tcPr>
            <w:tcW w:w="515" w:type="pct"/>
            <w:vAlign w:val="center"/>
          </w:tcPr>
          <w:p w14:paraId="6CE85A5B">
            <w:pPr>
              <w:ind w:left="-63" w:leftChars="-30" w:right="-63" w:rightChars="-30"/>
              <w:jc w:val="center"/>
              <w:rPr>
                <w:bCs/>
                <w:szCs w:val="21"/>
              </w:rPr>
            </w:pPr>
            <w:r>
              <w:rPr>
                <w:bCs/>
                <w:szCs w:val="21"/>
              </w:rPr>
              <w:t>1.25</w:t>
            </w:r>
          </w:p>
        </w:tc>
        <w:tc>
          <w:tcPr>
            <w:tcW w:w="788" w:type="pct"/>
            <w:vAlign w:val="center"/>
          </w:tcPr>
          <w:p w14:paraId="105B2FA1">
            <w:pPr>
              <w:pStyle w:val="69"/>
              <w:autoSpaceDE/>
              <w:autoSpaceDN/>
              <w:adjustRightInd/>
              <w:snapToGrid/>
              <w:spacing w:line="260" w:lineRule="exact"/>
              <w:rPr>
                <w:rFonts w:ascii="Times New Roman" w:hAnsi="Times New Roman"/>
              </w:rPr>
            </w:pPr>
            <w:r>
              <w:rPr>
                <w:rFonts w:ascii="Times New Roman" w:hAnsi="Times New Roman"/>
              </w:rPr>
              <w:t>2.23</w:t>
            </w:r>
          </w:p>
        </w:tc>
        <w:tc>
          <w:tcPr>
            <w:tcW w:w="363" w:type="pct"/>
            <w:vAlign w:val="center"/>
          </w:tcPr>
          <w:p w14:paraId="73D96711">
            <w:pPr>
              <w:jc w:val="center"/>
              <w:rPr>
                <w:rFonts w:eastAsia="等线"/>
                <w:szCs w:val="22"/>
              </w:rPr>
            </w:pPr>
            <w:r>
              <w:rPr>
                <w:rFonts w:eastAsia="等线"/>
                <w:szCs w:val="22"/>
              </w:rPr>
              <w:t>+0.98</w:t>
            </w:r>
          </w:p>
        </w:tc>
      </w:tr>
      <w:tr w14:paraId="2E772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065002FC">
            <w:pPr>
              <w:pStyle w:val="42"/>
              <w:spacing w:beforeLines="0" w:afterLines="0" w:line="240" w:lineRule="auto"/>
              <w:rPr>
                <w:rFonts w:ascii="Times New Roman"/>
                <w:snapToGrid w:val="0"/>
                <w:kern w:val="21"/>
                <w:szCs w:val="21"/>
              </w:rPr>
            </w:pPr>
          </w:p>
        </w:tc>
        <w:tc>
          <w:tcPr>
            <w:tcW w:w="493" w:type="pct"/>
            <w:vAlign w:val="center"/>
          </w:tcPr>
          <w:p w14:paraId="79BF2986">
            <w:pPr>
              <w:pStyle w:val="69"/>
              <w:autoSpaceDE/>
              <w:autoSpaceDN/>
              <w:adjustRightInd/>
              <w:snapToGrid/>
              <w:spacing w:line="260" w:lineRule="exact"/>
              <w:rPr>
                <w:rFonts w:ascii="Times New Roman" w:hAnsi="Times New Roman"/>
              </w:rPr>
            </w:pPr>
            <w:r>
              <w:rPr>
                <w:rFonts w:ascii="Times New Roman" w:hAnsi="Times New Roman"/>
              </w:rPr>
              <w:t>废活性炭</w:t>
            </w:r>
          </w:p>
        </w:tc>
        <w:tc>
          <w:tcPr>
            <w:tcW w:w="627" w:type="pct"/>
            <w:vAlign w:val="center"/>
          </w:tcPr>
          <w:p w14:paraId="228EEA47">
            <w:pPr>
              <w:ind w:left="-63" w:leftChars="-30" w:right="-63" w:rightChars="-30"/>
              <w:jc w:val="center"/>
              <w:rPr>
                <w:bCs/>
                <w:szCs w:val="21"/>
              </w:rPr>
            </w:pPr>
            <w:r>
              <w:rPr>
                <w:bCs/>
                <w:szCs w:val="21"/>
              </w:rPr>
              <w:t>0</w:t>
            </w:r>
          </w:p>
        </w:tc>
        <w:tc>
          <w:tcPr>
            <w:tcW w:w="428" w:type="pct"/>
            <w:vAlign w:val="center"/>
          </w:tcPr>
          <w:p w14:paraId="7F5AFF5D">
            <w:pPr>
              <w:pStyle w:val="42"/>
              <w:spacing w:beforeLines="0" w:afterLines="0" w:line="240" w:lineRule="auto"/>
              <w:rPr>
                <w:rFonts w:ascii="Times New Roman"/>
                <w:snapToGrid w:val="0"/>
                <w:kern w:val="21"/>
                <w:szCs w:val="21"/>
              </w:rPr>
            </w:pPr>
          </w:p>
        </w:tc>
        <w:tc>
          <w:tcPr>
            <w:tcW w:w="718" w:type="pct"/>
            <w:vAlign w:val="center"/>
          </w:tcPr>
          <w:p w14:paraId="430841B4">
            <w:pPr>
              <w:pStyle w:val="42"/>
              <w:spacing w:beforeLines="0" w:afterLines="0" w:line="240" w:lineRule="auto"/>
              <w:rPr>
                <w:rFonts w:ascii="Times New Roman"/>
                <w:snapToGrid w:val="0"/>
                <w:kern w:val="21"/>
                <w:szCs w:val="21"/>
              </w:rPr>
            </w:pPr>
          </w:p>
        </w:tc>
        <w:tc>
          <w:tcPr>
            <w:tcW w:w="758" w:type="pct"/>
            <w:vAlign w:val="center"/>
          </w:tcPr>
          <w:p w14:paraId="7D28EF15">
            <w:pPr>
              <w:pStyle w:val="69"/>
              <w:autoSpaceDE/>
              <w:autoSpaceDN/>
              <w:adjustRightInd/>
              <w:snapToGrid/>
              <w:spacing w:line="260" w:lineRule="exact"/>
              <w:rPr>
                <w:rFonts w:ascii="Times New Roman" w:hAnsi="Times New Roman"/>
              </w:rPr>
            </w:pPr>
            <w:r>
              <w:rPr>
                <w:rFonts w:ascii="Times New Roman" w:hAnsi="Times New Roman"/>
              </w:rPr>
              <w:t>1.86</w:t>
            </w:r>
          </w:p>
        </w:tc>
        <w:tc>
          <w:tcPr>
            <w:tcW w:w="515" w:type="pct"/>
            <w:vAlign w:val="center"/>
          </w:tcPr>
          <w:p w14:paraId="5559D8EA">
            <w:pPr>
              <w:ind w:left="-63" w:leftChars="-30" w:right="-63" w:rightChars="-30"/>
              <w:jc w:val="center"/>
              <w:rPr>
                <w:bCs/>
                <w:szCs w:val="21"/>
              </w:rPr>
            </w:pPr>
            <w:r>
              <w:rPr>
                <w:bCs/>
                <w:szCs w:val="21"/>
              </w:rPr>
              <w:t>0</w:t>
            </w:r>
          </w:p>
        </w:tc>
        <w:tc>
          <w:tcPr>
            <w:tcW w:w="788" w:type="pct"/>
            <w:vAlign w:val="center"/>
          </w:tcPr>
          <w:p w14:paraId="5FDCC490">
            <w:pPr>
              <w:pStyle w:val="69"/>
              <w:autoSpaceDE/>
              <w:autoSpaceDN/>
              <w:adjustRightInd/>
              <w:snapToGrid/>
              <w:spacing w:line="260" w:lineRule="exact"/>
              <w:rPr>
                <w:rFonts w:ascii="Times New Roman" w:hAnsi="Times New Roman"/>
              </w:rPr>
            </w:pPr>
            <w:r>
              <w:rPr>
                <w:rFonts w:ascii="Times New Roman" w:hAnsi="Times New Roman"/>
              </w:rPr>
              <w:t>1.86</w:t>
            </w:r>
          </w:p>
        </w:tc>
        <w:tc>
          <w:tcPr>
            <w:tcW w:w="363" w:type="pct"/>
            <w:vAlign w:val="center"/>
          </w:tcPr>
          <w:p w14:paraId="45C8A109">
            <w:pPr>
              <w:jc w:val="center"/>
              <w:rPr>
                <w:rFonts w:eastAsia="等线"/>
                <w:szCs w:val="22"/>
              </w:rPr>
            </w:pPr>
            <w:r>
              <w:rPr>
                <w:rFonts w:eastAsia="等线"/>
                <w:szCs w:val="22"/>
              </w:rPr>
              <w:t>+1.86</w:t>
            </w:r>
          </w:p>
        </w:tc>
      </w:tr>
      <w:tr w14:paraId="5FFDA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311" w:type="pct"/>
            <w:vMerge w:val="continue"/>
            <w:vAlign w:val="center"/>
          </w:tcPr>
          <w:p w14:paraId="5754E118">
            <w:pPr>
              <w:pStyle w:val="42"/>
              <w:spacing w:beforeLines="0" w:afterLines="0" w:line="240" w:lineRule="auto"/>
              <w:rPr>
                <w:rFonts w:ascii="Times New Roman"/>
                <w:snapToGrid w:val="0"/>
                <w:kern w:val="21"/>
                <w:szCs w:val="21"/>
              </w:rPr>
            </w:pPr>
          </w:p>
        </w:tc>
        <w:tc>
          <w:tcPr>
            <w:tcW w:w="493" w:type="pct"/>
            <w:vAlign w:val="center"/>
          </w:tcPr>
          <w:p w14:paraId="40B083E6">
            <w:pPr>
              <w:pStyle w:val="69"/>
              <w:autoSpaceDE/>
              <w:autoSpaceDN/>
              <w:adjustRightInd/>
              <w:snapToGrid/>
              <w:spacing w:line="260" w:lineRule="exact"/>
              <w:rPr>
                <w:rFonts w:ascii="Times New Roman" w:hAnsi="Times New Roman"/>
              </w:rPr>
            </w:pPr>
            <w:r>
              <w:rPr>
                <w:rFonts w:ascii="Times New Roman" w:hAnsi="Times New Roman"/>
              </w:rPr>
              <w:t>废紫外灯管</w:t>
            </w:r>
          </w:p>
        </w:tc>
        <w:tc>
          <w:tcPr>
            <w:tcW w:w="627" w:type="pct"/>
            <w:vAlign w:val="center"/>
          </w:tcPr>
          <w:p w14:paraId="783628FD">
            <w:pPr>
              <w:ind w:left="-63" w:leftChars="-30" w:right="-63" w:rightChars="-30"/>
              <w:jc w:val="center"/>
              <w:rPr>
                <w:bCs/>
                <w:szCs w:val="21"/>
              </w:rPr>
            </w:pPr>
            <w:r>
              <w:rPr>
                <w:bCs/>
                <w:szCs w:val="21"/>
              </w:rPr>
              <w:t>0</w:t>
            </w:r>
          </w:p>
        </w:tc>
        <w:tc>
          <w:tcPr>
            <w:tcW w:w="428" w:type="pct"/>
            <w:vAlign w:val="center"/>
          </w:tcPr>
          <w:p w14:paraId="51287E5F">
            <w:pPr>
              <w:pStyle w:val="42"/>
              <w:spacing w:beforeLines="0" w:afterLines="0" w:line="240" w:lineRule="auto"/>
              <w:rPr>
                <w:rFonts w:ascii="Times New Roman"/>
                <w:snapToGrid w:val="0"/>
                <w:kern w:val="21"/>
                <w:szCs w:val="21"/>
              </w:rPr>
            </w:pPr>
          </w:p>
        </w:tc>
        <w:tc>
          <w:tcPr>
            <w:tcW w:w="718" w:type="pct"/>
            <w:vAlign w:val="center"/>
          </w:tcPr>
          <w:p w14:paraId="0092B71C">
            <w:pPr>
              <w:pStyle w:val="42"/>
              <w:spacing w:beforeLines="0" w:afterLines="0" w:line="240" w:lineRule="auto"/>
              <w:rPr>
                <w:rFonts w:ascii="Times New Roman"/>
                <w:snapToGrid w:val="0"/>
                <w:kern w:val="21"/>
                <w:szCs w:val="21"/>
              </w:rPr>
            </w:pPr>
          </w:p>
        </w:tc>
        <w:tc>
          <w:tcPr>
            <w:tcW w:w="758" w:type="pct"/>
            <w:vAlign w:val="center"/>
          </w:tcPr>
          <w:p w14:paraId="58FAF969">
            <w:pPr>
              <w:pStyle w:val="69"/>
              <w:autoSpaceDE/>
              <w:autoSpaceDN/>
              <w:adjustRightInd/>
              <w:snapToGrid/>
              <w:spacing w:line="260" w:lineRule="exact"/>
              <w:rPr>
                <w:rFonts w:ascii="Times New Roman" w:hAnsi="Times New Roman"/>
              </w:rPr>
            </w:pPr>
            <w:r>
              <w:rPr>
                <w:rFonts w:ascii="Times New Roman" w:hAnsi="Times New Roman"/>
              </w:rPr>
              <w:t>0.02</w:t>
            </w:r>
          </w:p>
        </w:tc>
        <w:tc>
          <w:tcPr>
            <w:tcW w:w="515" w:type="pct"/>
            <w:vAlign w:val="center"/>
          </w:tcPr>
          <w:p w14:paraId="50EC90E3">
            <w:pPr>
              <w:ind w:left="-63" w:leftChars="-30" w:right="-63" w:rightChars="-30"/>
              <w:jc w:val="center"/>
              <w:rPr>
                <w:bCs/>
                <w:szCs w:val="21"/>
              </w:rPr>
            </w:pPr>
            <w:r>
              <w:rPr>
                <w:bCs/>
                <w:szCs w:val="21"/>
              </w:rPr>
              <w:t>0</w:t>
            </w:r>
          </w:p>
        </w:tc>
        <w:tc>
          <w:tcPr>
            <w:tcW w:w="788" w:type="pct"/>
            <w:vAlign w:val="center"/>
          </w:tcPr>
          <w:p w14:paraId="23BDC9F5">
            <w:pPr>
              <w:pStyle w:val="69"/>
              <w:autoSpaceDE/>
              <w:autoSpaceDN/>
              <w:adjustRightInd/>
              <w:snapToGrid/>
              <w:spacing w:line="260" w:lineRule="exact"/>
              <w:rPr>
                <w:rFonts w:ascii="Times New Roman" w:hAnsi="Times New Roman"/>
              </w:rPr>
            </w:pPr>
            <w:r>
              <w:rPr>
                <w:rFonts w:ascii="Times New Roman" w:hAnsi="Times New Roman"/>
              </w:rPr>
              <w:t>0.02</w:t>
            </w:r>
          </w:p>
        </w:tc>
        <w:tc>
          <w:tcPr>
            <w:tcW w:w="363" w:type="pct"/>
            <w:vAlign w:val="center"/>
          </w:tcPr>
          <w:p w14:paraId="19D2A55B">
            <w:pPr>
              <w:jc w:val="center"/>
              <w:rPr>
                <w:rFonts w:eastAsia="等线"/>
                <w:szCs w:val="22"/>
              </w:rPr>
            </w:pPr>
            <w:r>
              <w:rPr>
                <w:rFonts w:eastAsia="等线"/>
                <w:szCs w:val="22"/>
              </w:rPr>
              <w:t>+0.02</w:t>
            </w:r>
          </w:p>
        </w:tc>
      </w:tr>
      <w:tr w14:paraId="0C913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1" w:type="pct"/>
            <w:vMerge w:val="continue"/>
            <w:vAlign w:val="center"/>
          </w:tcPr>
          <w:p w14:paraId="32865D31">
            <w:pPr>
              <w:pStyle w:val="42"/>
              <w:spacing w:beforeLines="0" w:afterLines="0" w:line="240" w:lineRule="auto"/>
              <w:rPr>
                <w:rFonts w:ascii="Times New Roman"/>
                <w:snapToGrid w:val="0"/>
                <w:kern w:val="21"/>
                <w:szCs w:val="21"/>
              </w:rPr>
            </w:pPr>
          </w:p>
        </w:tc>
        <w:tc>
          <w:tcPr>
            <w:tcW w:w="493" w:type="pct"/>
            <w:vAlign w:val="center"/>
          </w:tcPr>
          <w:p w14:paraId="765F61F2">
            <w:pPr>
              <w:pStyle w:val="69"/>
              <w:autoSpaceDE/>
              <w:autoSpaceDN/>
              <w:adjustRightInd/>
              <w:snapToGrid/>
              <w:spacing w:line="260" w:lineRule="exact"/>
              <w:rPr>
                <w:rFonts w:ascii="Times New Roman" w:hAnsi="Times New Roman"/>
              </w:rPr>
            </w:pPr>
            <w:r>
              <w:rPr>
                <w:rFonts w:ascii="Times New Roman" w:hAnsi="Times New Roman"/>
              </w:rPr>
              <w:t>含油废棉纱及手套</w:t>
            </w:r>
          </w:p>
        </w:tc>
        <w:tc>
          <w:tcPr>
            <w:tcW w:w="627" w:type="pct"/>
            <w:vAlign w:val="center"/>
          </w:tcPr>
          <w:p w14:paraId="42C79C88">
            <w:pPr>
              <w:ind w:left="-63" w:leftChars="-30" w:right="-63" w:rightChars="-30"/>
              <w:jc w:val="center"/>
              <w:rPr>
                <w:bCs/>
                <w:szCs w:val="21"/>
              </w:rPr>
            </w:pPr>
            <w:r>
              <w:rPr>
                <w:bCs/>
                <w:szCs w:val="21"/>
              </w:rPr>
              <w:t>3</w:t>
            </w:r>
          </w:p>
        </w:tc>
        <w:tc>
          <w:tcPr>
            <w:tcW w:w="428" w:type="pct"/>
            <w:vAlign w:val="center"/>
          </w:tcPr>
          <w:p w14:paraId="088BEADC">
            <w:pPr>
              <w:pStyle w:val="42"/>
              <w:spacing w:beforeLines="0" w:afterLines="0" w:line="240" w:lineRule="auto"/>
              <w:rPr>
                <w:rFonts w:ascii="Times New Roman"/>
                <w:snapToGrid w:val="0"/>
                <w:kern w:val="21"/>
                <w:szCs w:val="21"/>
              </w:rPr>
            </w:pPr>
          </w:p>
        </w:tc>
        <w:tc>
          <w:tcPr>
            <w:tcW w:w="718" w:type="pct"/>
            <w:vAlign w:val="center"/>
          </w:tcPr>
          <w:p w14:paraId="7955B5B7">
            <w:pPr>
              <w:pStyle w:val="42"/>
              <w:spacing w:beforeLines="0" w:afterLines="0" w:line="240" w:lineRule="auto"/>
              <w:rPr>
                <w:rFonts w:ascii="Times New Roman"/>
                <w:snapToGrid w:val="0"/>
                <w:kern w:val="21"/>
                <w:szCs w:val="21"/>
              </w:rPr>
            </w:pPr>
          </w:p>
        </w:tc>
        <w:tc>
          <w:tcPr>
            <w:tcW w:w="758" w:type="pct"/>
            <w:vAlign w:val="center"/>
          </w:tcPr>
          <w:p w14:paraId="28F590A6">
            <w:pPr>
              <w:pStyle w:val="69"/>
              <w:autoSpaceDE/>
              <w:autoSpaceDN/>
              <w:adjustRightInd/>
              <w:snapToGrid/>
              <w:spacing w:line="260" w:lineRule="exact"/>
              <w:rPr>
                <w:rFonts w:ascii="Times New Roman" w:hAnsi="Times New Roman"/>
              </w:rPr>
            </w:pPr>
            <w:r>
              <w:rPr>
                <w:rFonts w:ascii="Times New Roman" w:hAnsi="Times New Roman"/>
              </w:rPr>
              <w:t>5</w:t>
            </w:r>
          </w:p>
        </w:tc>
        <w:tc>
          <w:tcPr>
            <w:tcW w:w="515" w:type="pct"/>
            <w:vAlign w:val="center"/>
          </w:tcPr>
          <w:p w14:paraId="440DA448">
            <w:pPr>
              <w:ind w:left="-63" w:leftChars="-30" w:right="-63" w:rightChars="-30"/>
              <w:jc w:val="center"/>
              <w:rPr>
                <w:bCs/>
                <w:szCs w:val="21"/>
              </w:rPr>
            </w:pPr>
            <w:r>
              <w:rPr>
                <w:bCs/>
                <w:szCs w:val="21"/>
              </w:rPr>
              <w:t>3</w:t>
            </w:r>
          </w:p>
        </w:tc>
        <w:tc>
          <w:tcPr>
            <w:tcW w:w="788" w:type="pct"/>
            <w:vAlign w:val="center"/>
          </w:tcPr>
          <w:p w14:paraId="6593A70C">
            <w:pPr>
              <w:pStyle w:val="69"/>
              <w:autoSpaceDE/>
              <w:autoSpaceDN/>
              <w:adjustRightInd/>
              <w:snapToGrid/>
              <w:spacing w:line="260" w:lineRule="exact"/>
              <w:rPr>
                <w:rFonts w:ascii="Times New Roman" w:hAnsi="Times New Roman"/>
              </w:rPr>
            </w:pPr>
            <w:r>
              <w:rPr>
                <w:rFonts w:ascii="Times New Roman" w:hAnsi="Times New Roman"/>
              </w:rPr>
              <w:t>5</w:t>
            </w:r>
          </w:p>
        </w:tc>
        <w:tc>
          <w:tcPr>
            <w:tcW w:w="363" w:type="pct"/>
            <w:vAlign w:val="center"/>
          </w:tcPr>
          <w:p w14:paraId="07DD909F">
            <w:pPr>
              <w:jc w:val="center"/>
              <w:rPr>
                <w:rFonts w:eastAsia="等线"/>
                <w:szCs w:val="22"/>
              </w:rPr>
            </w:pPr>
            <w:r>
              <w:rPr>
                <w:rFonts w:eastAsia="等线"/>
                <w:szCs w:val="22"/>
              </w:rPr>
              <w:t>+2</w:t>
            </w:r>
          </w:p>
        </w:tc>
      </w:tr>
    </w:tbl>
    <w:p w14:paraId="24B81B9B">
      <w:pPr>
        <w:pStyle w:val="42"/>
        <w:spacing w:before="192" w:beforeLines="80" w:after="24"/>
        <w:jc w:val="left"/>
        <w:rPr>
          <w:rFonts w:ascii="Times New Roman"/>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；单位：t/a</w:t>
      </w:r>
    </w:p>
    <w:sectPr>
      <w:footerReference r:id="rId4"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FangSong_GB2312">
    <w:altName w:val="仿宋_GB2312"/>
    <w:panose1 w:val="0201060903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Garamond">
    <w:altName w:val="PMingLiU-ExtB"/>
    <w:panose1 w:val="020204040303010108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PMingLiU">
    <w:panose1 w:val="02020500000000000000"/>
    <w:charset w:val="88"/>
    <w:family w:val="auto"/>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F8F4">
    <w:pPr>
      <w:pStyle w:val="18"/>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62E15">
    <w:pPr>
      <w:pStyle w:val="18"/>
      <w:jc w:val="center"/>
    </w:pPr>
    <w:r>
      <w:fldChar w:fldCharType="begin"/>
    </w:r>
    <w:r>
      <w:instrText xml:space="preserve">PAGE   \* MERGEFORMAT</w:instrText>
    </w:r>
    <w:r>
      <w:fldChar w:fldCharType="separate"/>
    </w:r>
    <w:r>
      <w:rPr>
        <w:lang w:val="zh-CN"/>
      </w:rPr>
      <w:t>96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084C2"/>
    <w:multiLevelType w:val="singleLevel"/>
    <w:tmpl w:val="5DF084C2"/>
    <w:lvl w:ilvl="0" w:tentative="0">
      <w:start w:val="3"/>
      <w:numFmt w:val="decimal"/>
      <w:suff w:val="nothing"/>
      <w:lvlText w:val="（%1）"/>
      <w:lvlJc w:val="left"/>
    </w:lvl>
  </w:abstractNum>
  <w:abstractNum w:abstractNumId="1">
    <w:nsid w:val="6CEA2025"/>
    <w:multiLevelType w:val="multilevel"/>
    <w:tmpl w:val="6CEA2025"/>
    <w:lvl w:ilvl="0" w:tentative="0">
      <w:start w:val="1"/>
      <w:numFmt w:val="none"/>
      <w:pStyle w:val="116"/>
      <w:suff w:val="nothing"/>
      <w:lvlText w:val="%1"/>
      <w:lvlJc w:val="left"/>
      <w:rPr>
        <w:rFonts w:hint="default" w:ascii="Times New Roman" w:hAnsi="Times New Roman" w:cs="Times New Roman"/>
        <w:b/>
        <w:i w:val="0"/>
        <w:sz w:val="21"/>
      </w:rPr>
    </w:lvl>
    <w:lvl w:ilvl="1" w:tentative="0">
      <w:start w:val="1"/>
      <w:numFmt w:val="decimal"/>
      <w:pStyle w:val="120"/>
      <w:suff w:val="nothing"/>
      <w:lvlText w:val="%1%2　"/>
      <w:lvlJc w:val="left"/>
      <w:rPr>
        <w:rFonts w:hint="eastAsia" w:ascii="黑体" w:hAnsi="Times New Roman" w:eastAsia="黑体" w:cs="Times New Roman"/>
        <w:b w:val="0"/>
        <w:i w:val="0"/>
        <w:sz w:val="21"/>
      </w:rPr>
    </w:lvl>
    <w:lvl w:ilvl="2" w:tentative="0">
      <w:start w:val="1"/>
      <w:numFmt w:val="decimal"/>
      <w:pStyle w:val="119"/>
      <w:suff w:val="nothing"/>
      <w:lvlText w:val="%1%2.%3　"/>
      <w:lvlJc w:val="left"/>
      <w:rPr>
        <w:rFonts w:hint="eastAsia" w:ascii="黑体" w:hAnsi="Times New Roman" w:eastAsia="黑体" w:cs="Times New Roman"/>
        <w:b w:val="0"/>
        <w:i w:val="0"/>
        <w:sz w:val="21"/>
      </w:rPr>
    </w:lvl>
    <w:lvl w:ilvl="3" w:tentative="0">
      <w:start w:val="1"/>
      <w:numFmt w:val="decimal"/>
      <w:pStyle w:val="125"/>
      <w:suff w:val="nothing"/>
      <w:lvlText w:val="%1%2.%3.%4　"/>
      <w:lvlJc w:val="left"/>
      <w:rPr>
        <w:rFonts w:hint="eastAsia" w:ascii="黑体" w:hAnsi="Times New Roman" w:eastAsia="黑体" w:cs="Times New Roman"/>
        <w:b w:val="0"/>
        <w:i w:val="0"/>
        <w:sz w:val="21"/>
      </w:rPr>
    </w:lvl>
    <w:lvl w:ilvl="4" w:tentative="0">
      <w:start w:val="1"/>
      <w:numFmt w:val="decimal"/>
      <w:pStyle w:val="129"/>
      <w:suff w:val="nothing"/>
      <w:lvlText w:val="%1%2.%3.%4.%5　"/>
      <w:lvlJc w:val="left"/>
      <w:rPr>
        <w:rFonts w:hint="eastAsia" w:ascii="黑体" w:hAnsi="Times New Roman" w:eastAsia="黑体" w:cs="Times New Roman"/>
        <w:b w:val="0"/>
        <w:i w:val="0"/>
        <w:sz w:val="21"/>
      </w:rPr>
    </w:lvl>
    <w:lvl w:ilvl="5" w:tentative="0">
      <w:start w:val="1"/>
      <w:numFmt w:val="decimal"/>
      <w:pStyle w:val="142"/>
      <w:suff w:val="nothing"/>
      <w:lvlText w:val="%1%2.%3.%4.%5.%6　"/>
      <w:lvlJc w:val="left"/>
      <w:rPr>
        <w:rFonts w:hint="eastAsia" w:ascii="黑体" w:hAnsi="Times New Roman" w:eastAsia="黑体" w:cs="Times New Roman"/>
        <w:b w:val="0"/>
        <w:i w:val="0"/>
        <w:sz w:val="21"/>
      </w:rPr>
    </w:lvl>
    <w:lvl w:ilvl="6" w:tentative="0">
      <w:start w:val="1"/>
      <w:numFmt w:val="decimal"/>
      <w:pStyle w:val="151"/>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066D"/>
    <w:rsid w:val="00001E48"/>
    <w:rsid w:val="00001F7D"/>
    <w:rsid w:val="000022BC"/>
    <w:rsid w:val="00002D6F"/>
    <w:rsid w:val="0000345A"/>
    <w:rsid w:val="00003E25"/>
    <w:rsid w:val="00004240"/>
    <w:rsid w:val="0000464F"/>
    <w:rsid w:val="00005496"/>
    <w:rsid w:val="000060B3"/>
    <w:rsid w:val="00006168"/>
    <w:rsid w:val="000067C4"/>
    <w:rsid w:val="00006AE2"/>
    <w:rsid w:val="00007467"/>
    <w:rsid w:val="00007E22"/>
    <w:rsid w:val="000108ED"/>
    <w:rsid w:val="000109A5"/>
    <w:rsid w:val="000112A2"/>
    <w:rsid w:val="000117D3"/>
    <w:rsid w:val="00011E5A"/>
    <w:rsid w:val="00012843"/>
    <w:rsid w:val="00012AB5"/>
    <w:rsid w:val="00013254"/>
    <w:rsid w:val="000138AB"/>
    <w:rsid w:val="00014F6C"/>
    <w:rsid w:val="000153FC"/>
    <w:rsid w:val="00015AFB"/>
    <w:rsid w:val="00015E9F"/>
    <w:rsid w:val="00016726"/>
    <w:rsid w:val="00016A18"/>
    <w:rsid w:val="0001751C"/>
    <w:rsid w:val="0002052F"/>
    <w:rsid w:val="00020ACC"/>
    <w:rsid w:val="0002162B"/>
    <w:rsid w:val="00021CE9"/>
    <w:rsid w:val="000231F0"/>
    <w:rsid w:val="00023707"/>
    <w:rsid w:val="0002493D"/>
    <w:rsid w:val="000256B1"/>
    <w:rsid w:val="000260CA"/>
    <w:rsid w:val="000260CD"/>
    <w:rsid w:val="000269C7"/>
    <w:rsid w:val="00027B5F"/>
    <w:rsid w:val="00031019"/>
    <w:rsid w:val="00031275"/>
    <w:rsid w:val="00032196"/>
    <w:rsid w:val="0003322B"/>
    <w:rsid w:val="0003513A"/>
    <w:rsid w:val="000373F4"/>
    <w:rsid w:val="00037E02"/>
    <w:rsid w:val="0004364B"/>
    <w:rsid w:val="00045C69"/>
    <w:rsid w:val="00045D85"/>
    <w:rsid w:val="00046404"/>
    <w:rsid w:val="00047224"/>
    <w:rsid w:val="00047271"/>
    <w:rsid w:val="00051C6B"/>
    <w:rsid w:val="00051D7E"/>
    <w:rsid w:val="00052151"/>
    <w:rsid w:val="00052456"/>
    <w:rsid w:val="00052DF0"/>
    <w:rsid w:val="00053113"/>
    <w:rsid w:val="00053AEA"/>
    <w:rsid w:val="00054525"/>
    <w:rsid w:val="00054DEC"/>
    <w:rsid w:val="00055009"/>
    <w:rsid w:val="000553BE"/>
    <w:rsid w:val="00056161"/>
    <w:rsid w:val="00056603"/>
    <w:rsid w:val="0005671D"/>
    <w:rsid w:val="0005761F"/>
    <w:rsid w:val="000578C5"/>
    <w:rsid w:val="000607C1"/>
    <w:rsid w:val="000616F4"/>
    <w:rsid w:val="00061B1F"/>
    <w:rsid w:val="00061CDD"/>
    <w:rsid w:val="000632FE"/>
    <w:rsid w:val="00064340"/>
    <w:rsid w:val="0006467B"/>
    <w:rsid w:val="00064D78"/>
    <w:rsid w:val="00065493"/>
    <w:rsid w:val="000657B9"/>
    <w:rsid w:val="00065D86"/>
    <w:rsid w:val="00065DF3"/>
    <w:rsid w:val="00066376"/>
    <w:rsid w:val="000667E6"/>
    <w:rsid w:val="000675D9"/>
    <w:rsid w:val="00067774"/>
    <w:rsid w:val="00067E00"/>
    <w:rsid w:val="00071C88"/>
    <w:rsid w:val="00072696"/>
    <w:rsid w:val="00072D5B"/>
    <w:rsid w:val="000733C4"/>
    <w:rsid w:val="0007391C"/>
    <w:rsid w:val="00073D1E"/>
    <w:rsid w:val="00073E48"/>
    <w:rsid w:val="00074783"/>
    <w:rsid w:val="00074B20"/>
    <w:rsid w:val="00074CB0"/>
    <w:rsid w:val="00075DB8"/>
    <w:rsid w:val="00076BBB"/>
    <w:rsid w:val="00076CB7"/>
    <w:rsid w:val="0007753B"/>
    <w:rsid w:val="00077C6D"/>
    <w:rsid w:val="00080318"/>
    <w:rsid w:val="0008070B"/>
    <w:rsid w:val="00080F74"/>
    <w:rsid w:val="000810AC"/>
    <w:rsid w:val="00081A02"/>
    <w:rsid w:val="00082231"/>
    <w:rsid w:val="00084B92"/>
    <w:rsid w:val="00084F73"/>
    <w:rsid w:val="00085CC7"/>
    <w:rsid w:val="0008609B"/>
    <w:rsid w:val="00086D51"/>
    <w:rsid w:val="0008721E"/>
    <w:rsid w:val="00087478"/>
    <w:rsid w:val="00090F39"/>
    <w:rsid w:val="00090F41"/>
    <w:rsid w:val="00091325"/>
    <w:rsid w:val="0009140A"/>
    <w:rsid w:val="00091699"/>
    <w:rsid w:val="0009174E"/>
    <w:rsid w:val="00092C42"/>
    <w:rsid w:val="00092D38"/>
    <w:rsid w:val="0009364E"/>
    <w:rsid w:val="0009377B"/>
    <w:rsid w:val="00094B2A"/>
    <w:rsid w:val="00094F93"/>
    <w:rsid w:val="0009535E"/>
    <w:rsid w:val="00095490"/>
    <w:rsid w:val="00095AE6"/>
    <w:rsid w:val="00095D72"/>
    <w:rsid w:val="00095F56"/>
    <w:rsid w:val="000965D7"/>
    <w:rsid w:val="000967D3"/>
    <w:rsid w:val="000968DD"/>
    <w:rsid w:val="00097A0C"/>
    <w:rsid w:val="000A20C9"/>
    <w:rsid w:val="000A2C1E"/>
    <w:rsid w:val="000A2D6B"/>
    <w:rsid w:val="000A52DC"/>
    <w:rsid w:val="000A74BC"/>
    <w:rsid w:val="000A7ECE"/>
    <w:rsid w:val="000B007A"/>
    <w:rsid w:val="000B058F"/>
    <w:rsid w:val="000B0821"/>
    <w:rsid w:val="000B10C5"/>
    <w:rsid w:val="000B204F"/>
    <w:rsid w:val="000B2746"/>
    <w:rsid w:val="000B2817"/>
    <w:rsid w:val="000B3E14"/>
    <w:rsid w:val="000B418C"/>
    <w:rsid w:val="000B4467"/>
    <w:rsid w:val="000B4675"/>
    <w:rsid w:val="000B4D24"/>
    <w:rsid w:val="000B4DB9"/>
    <w:rsid w:val="000B4FA9"/>
    <w:rsid w:val="000B5C18"/>
    <w:rsid w:val="000B64E1"/>
    <w:rsid w:val="000C02C1"/>
    <w:rsid w:val="000C09AC"/>
    <w:rsid w:val="000C117E"/>
    <w:rsid w:val="000C1609"/>
    <w:rsid w:val="000C2118"/>
    <w:rsid w:val="000C21D2"/>
    <w:rsid w:val="000C2849"/>
    <w:rsid w:val="000C355B"/>
    <w:rsid w:val="000C3717"/>
    <w:rsid w:val="000C38DE"/>
    <w:rsid w:val="000C39B3"/>
    <w:rsid w:val="000C3B9F"/>
    <w:rsid w:val="000C471B"/>
    <w:rsid w:val="000C4C63"/>
    <w:rsid w:val="000C598C"/>
    <w:rsid w:val="000C6809"/>
    <w:rsid w:val="000C7290"/>
    <w:rsid w:val="000C767F"/>
    <w:rsid w:val="000C7F77"/>
    <w:rsid w:val="000D02B4"/>
    <w:rsid w:val="000D0468"/>
    <w:rsid w:val="000D1DA4"/>
    <w:rsid w:val="000D1FD9"/>
    <w:rsid w:val="000D2158"/>
    <w:rsid w:val="000D2ACD"/>
    <w:rsid w:val="000D3153"/>
    <w:rsid w:val="000D32FB"/>
    <w:rsid w:val="000D342A"/>
    <w:rsid w:val="000D3636"/>
    <w:rsid w:val="000D3B90"/>
    <w:rsid w:val="000D4734"/>
    <w:rsid w:val="000D4A04"/>
    <w:rsid w:val="000D4EBB"/>
    <w:rsid w:val="000D52F0"/>
    <w:rsid w:val="000D5A44"/>
    <w:rsid w:val="000D6200"/>
    <w:rsid w:val="000D649F"/>
    <w:rsid w:val="000D68A9"/>
    <w:rsid w:val="000D6CF7"/>
    <w:rsid w:val="000D7D51"/>
    <w:rsid w:val="000E08BC"/>
    <w:rsid w:val="000E0E35"/>
    <w:rsid w:val="000E1129"/>
    <w:rsid w:val="000E14A9"/>
    <w:rsid w:val="000E163E"/>
    <w:rsid w:val="000E2698"/>
    <w:rsid w:val="000E28D8"/>
    <w:rsid w:val="000E32D9"/>
    <w:rsid w:val="000E3ED2"/>
    <w:rsid w:val="000E51AB"/>
    <w:rsid w:val="000E532B"/>
    <w:rsid w:val="000E5645"/>
    <w:rsid w:val="000E65DE"/>
    <w:rsid w:val="000E680F"/>
    <w:rsid w:val="000E6D29"/>
    <w:rsid w:val="000E7E9B"/>
    <w:rsid w:val="000E7FFD"/>
    <w:rsid w:val="000F068C"/>
    <w:rsid w:val="000F0D2C"/>
    <w:rsid w:val="000F0DBF"/>
    <w:rsid w:val="000F1370"/>
    <w:rsid w:val="000F1396"/>
    <w:rsid w:val="000F15A8"/>
    <w:rsid w:val="000F167E"/>
    <w:rsid w:val="000F1E27"/>
    <w:rsid w:val="000F26FE"/>
    <w:rsid w:val="000F373B"/>
    <w:rsid w:val="000F3A73"/>
    <w:rsid w:val="000F41C4"/>
    <w:rsid w:val="000F4327"/>
    <w:rsid w:val="000F4B82"/>
    <w:rsid w:val="000F53FF"/>
    <w:rsid w:val="000F58A8"/>
    <w:rsid w:val="000F5E71"/>
    <w:rsid w:val="0010060A"/>
    <w:rsid w:val="00101122"/>
    <w:rsid w:val="00101261"/>
    <w:rsid w:val="0010198C"/>
    <w:rsid w:val="00102415"/>
    <w:rsid w:val="00102735"/>
    <w:rsid w:val="00102B0D"/>
    <w:rsid w:val="00103C24"/>
    <w:rsid w:val="0010444D"/>
    <w:rsid w:val="001047CE"/>
    <w:rsid w:val="00104DB7"/>
    <w:rsid w:val="0010567B"/>
    <w:rsid w:val="00105CFE"/>
    <w:rsid w:val="001062FD"/>
    <w:rsid w:val="00107614"/>
    <w:rsid w:val="00107F55"/>
    <w:rsid w:val="00110F96"/>
    <w:rsid w:val="00111EBC"/>
    <w:rsid w:val="00112C2E"/>
    <w:rsid w:val="00112FE5"/>
    <w:rsid w:val="00113BBA"/>
    <w:rsid w:val="00113BE1"/>
    <w:rsid w:val="0011499A"/>
    <w:rsid w:val="00114A9B"/>
    <w:rsid w:val="00115297"/>
    <w:rsid w:val="00115832"/>
    <w:rsid w:val="00115A51"/>
    <w:rsid w:val="001161EF"/>
    <w:rsid w:val="001166AE"/>
    <w:rsid w:val="0011791A"/>
    <w:rsid w:val="0012145E"/>
    <w:rsid w:val="00121C03"/>
    <w:rsid w:val="00121F84"/>
    <w:rsid w:val="0012241A"/>
    <w:rsid w:val="00122B8B"/>
    <w:rsid w:val="001239FE"/>
    <w:rsid w:val="00124238"/>
    <w:rsid w:val="0012451E"/>
    <w:rsid w:val="00124599"/>
    <w:rsid w:val="00124DBE"/>
    <w:rsid w:val="00124DFA"/>
    <w:rsid w:val="001257AD"/>
    <w:rsid w:val="00125ED6"/>
    <w:rsid w:val="00126C63"/>
    <w:rsid w:val="001302C7"/>
    <w:rsid w:val="00131F42"/>
    <w:rsid w:val="001330FD"/>
    <w:rsid w:val="00133974"/>
    <w:rsid w:val="00134FEC"/>
    <w:rsid w:val="001357F1"/>
    <w:rsid w:val="00135CDE"/>
    <w:rsid w:val="001365EC"/>
    <w:rsid w:val="0013689A"/>
    <w:rsid w:val="001373FD"/>
    <w:rsid w:val="00137BE9"/>
    <w:rsid w:val="00140F45"/>
    <w:rsid w:val="00140FA8"/>
    <w:rsid w:val="00141642"/>
    <w:rsid w:val="00141745"/>
    <w:rsid w:val="00141AE7"/>
    <w:rsid w:val="00142876"/>
    <w:rsid w:val="00142FEB"/>
    <w:rsid w:val="001438C3"/>
    <w:rsid w:val="00143A2D"/>
    <w:rsid w:val="001451AC"/>
    <w:rsid w:val="00145A41"/>
    <w:rsid w:val="00147351"/>
    <w:rsid w:val="00147F2D"/>
    <w:rsid w:val="00151675"/>
    <w:rsid w:val="00152478"/>
    <w:rsid w:val="00152597"/>
    <w:rsid w:val="0015386A"/>
    <w:rsid w:val="001545A9"/>
    <w:rsid w:val="00154A19"/>
    <w:rsid w:val="00154FC4"/>
    <w:rsid w:val="00155978"/>
    <w:rsid w:val="00157435"/>
    <w:rsid w:val="001578DF"/>
    <w:rsid w:val="0016029B"/>
    <w:rsid w:val="00160BCB"/>
    <w:rsid w:val="001617CD"/>
    <w:rsid w:val="001618D2"/>
    <w:rsid w:val="001619BF"/>
    <w:rsid w:val="001619E0"/>
    <w:rsid w:val="00161DCB"/>
    <w:rsid w:val="00164478"/>
    <w:rsid w:val="00164B78"/>
    <w:rsid w:val="001652BE"/>
    <w:rsid w:val="0016555B"/>
    <w:rsid w:val="001666C2"/>
    <w:rsid w:val="00166945"/>
    <w:rsid w:val="00166A5B"/>
    <w:rsid w:val="00166E5E"/>
    <w:rsid w:val="00167319"/>
    <w:rsid w:val="0016758A"/>
    <w:rsid w:val="00167E2F"/>
    <w:rsid w:val="00167EFF"/>
    <w:rsid w:val="00170323"/>
    <w:rsid w:val="00172357"/>
    <w:rsid w:val="00172440"/>
    <w:rsid w:val="001727C7"/>
    <w:rsid w:val="001734F6"/>
    <w:rsid w:val="001737AF"/>
    <w:rsid w:val="00173FB7"/>
    <w:rsid w:val="0017418F"/>
    <w:rsid w:val="0017504D"/>
    <w:rsid w:val="0017653E"/>
    <w:rsid w:val="0017671A"/>
    <w:rsid w:val="00177422"/>
    <w:rsid w:val="00177718"/>
    <w:rsid w:val="00177B82"/>
    <w:rsid w:val="0018058A"/>
    <w:rsid w:val="0018305E"/>
    <w:rsid w:val="001830BB"/>
    <w:rsid w:val="00184590"/>
    <w:rsid w:val="001846BB"/>
    <w:rsid w:val="00184DD5"/>
    <w:rsid w:val="00186648"/>
    <w:rsid w:val="00186D41"/>
    <w:rsid w:val="0018701D"/>
    <w:rsid w:val="001870D1"/>
    <w:rsid w:val="0018711B"/>
    <w:rsid w:val="0018781E"/>
    <w:rsid w:val="00187FE7"/>
    <w:rsid w:val="0019033D"/>
    <w:rsid w:val="0019040A"/>
    <w:rsid w:val="001908B6"/>
    <w:rsid w:val="00190D4D"/>
    <w:rsid w:val="00190D56"/>
    <w:rsid w:val="00190E40"/>
    <w:rsid w:val="00191063"/>
    <w:rsid w:val="00191C59"/>
    <w:rsid w:val="001922C2"/>
    <w:rsid w:val="001922C9"/>
    <w:rsid w:val="0019262D"/>
    <w:rsid w:val="00192642"/>
    <w:rsid w:val="00192C5D"/>
    <w:rsid w:val="001933D7"/>
    <w:rsid w:val="001936F5"/>
    <w:rsid w:val="001937BC"/>
    <w:rsid w:val="00193A3A"/>
    <w:rsid w:val="00193FE8"/>
    <w:rsid w:val="00193FED"/>
    <w:rsid w:val="00194E10"/>
    <w:rsid w:val="001955FC"/>
    <w:rsid w:val="00196A59"/>
    <w:rsid w:val="00196FF1"/>
    <w:rsid w:val="0019792F"/>
    <w:rsid w:val="00197A01"/>
    <w:rsid w:val="001A04CB"/>
    <w:rsid w:val="001A12D3"/>
    <w:rsid w:val="001A1B35"/>
    <w:rsid w:val="001A1D48"/>
    <w:rsid w:val="001A261B"/>
    <w:rsid w:val="001A2D17"/>
    <w:rsid w:val="001A326B"/>
    <w:rsid w:val="001A3511"/>
    <w:rsid w:val="001A382D"/>
    <w:rsid w:val="001A3D5A"/>
    <w:rsid w:val="001A4464"/>
    <w:rsid w:val="001A48A2"/>
    <w:rsid w:val="001A55CA"/>
    <w:rsid w:val="001A5668"/>
    <w:rsid w:val="001A6DB3"/>
    <w:rsid w:val="001A6F61"/>
    <w:rsid w:val="001A716D"/>
    <w:rsid w:val="001A7332"/>
    <w:rsid w:val="001A7AD6"/>
    <w:rsid w:val="001A7BD4"/>
    <w:rsid w:val="001B1D15"/>
    <w:rsid w:val="001B233E"/>
    <w:rsid w:val="001B421D"/>
    <w:rsid w:val="001B5864"/>
    <w:rsid w:val="001B6217"/>
    <w:rsid w:val="001B6EE2"/>
    <w:rsid w:val="001B72B8"/>
    <w:rsid w:val="001C08A4"/>
    <w:rsid w:val="001C0B66"/>
    <w:rsid w:val="001C1B81"/>
    <w:rsid w:val="001C20FE"/>
    <w:rsid w:val="001C2E60"/>
    <w:rsid w:val="001C4934"/>
    <w:rsid w:val="001C5209"/>
    <w:rsid w:val="001C52BC"/>
    <w:rsid w:val="001C5322"/>
    <w:rsid w:val="001C5C9A"/>
    <w:rsid w:val="001C6243"/>
    <w:rsid w:val="001C69B3"/>
    <w:rsid w:val="001C7949"/>
    <w:rsid w:val="001D0451"/>
    <w:rsid w:val="001D1084"/>
    <w:rsid w:val="001D16F0"/>
    <w:rsid w:val="001D1CE7"/>
    <w:rsid w:val="001D1DE5"/>
    <w:rsid w:val="001D220B"/>
    <w:rsid w:val="001D27ED"/>
    <w:rsid w:val="001D30D9"/>
    <w:rsid w:val="001D3725"/>
    <w:rsid w:val="001D37D3"/>
    <w:rsid w:val="001D3C52"/>
    <w:rsid w:val="001D3DAF"/>
    <w:rsid w:val="001D45FB"/>
    <w:rsid w:val="001D4A10"/>
    <w:rsid w:val="001D5254"/>
    <w:rsid w:val="001D5372"/>
    <w:rsid w:val="001D5595"/>
    <w:rsid w:val="001D5C78"/>
    <w:rsid w:val="001D5F91"/>
    <w:rsid w:val="001D6392"/>
    <w:rsid w:val="001D779F"/>
    <w:rsid w:val="001D7874"/>
    <w:rsid w:val="001D7F22"/>
    <w:rsid w:val="001D7F58"/>
    <w:rsid w:val="001E015F"/>
    <w:rsid w:val="001E1301"/>
    <w:rsid w:val="001E3361"/>
    <w:rsid w:val="001E435A"/>
    <w:rsid w:val="001E46B2"/>
    <w:rsid w:val="001E4E9E"/>
    <w:rsid w:val="001E5299"/>
    <w:rsid w:val="001E5855"/>
    <w:rsid w:val="001E66A5"/>
    <w:rsid w:val="001E688C"/>
    <w:rsid w:val="001E71B8"/>
    <w:rsid w:val="001E74B0"/>
    <w:rsid w:val="001F0361"/>
    <w:rsid w:val="001F0F17"/>
    <w:rsid w:val="001F11A8"/>
    <w:rsid w:val="001F15E0"/>
    <w:rsid w:val="001F2856"/>
    <w:rsid w:val="001F2D16"/>
    <w:rsid w:val="001F3347"/>
    <w:rsid w:val="001F50DC"/>
    <w:rsid w:val="001F5EFE"/>
    <w:rsid w:val="001F69E4"/>
    <w:rsid w:val="001F749B"/>
    <w:rsid w:val="001F75E6"/>
    <w:rsid w:val="001F7E39"/>
    <w:rsid w:val="002006A6"/>
    <w:rsid w:val="0020382E"/>
    <w:rsid w:val="00203AE8"/>
    <w:rsid w:val="00204493"/>
    <w:rsid w:val="00204AAD"/>
    <w:rsid w:val="00205061"/>
    <w:rsid w:val="00205D53"/>
    <w:rsid w:val="00206018"/>
    <w:rsid w:val="00206CC5"/>
    <w:rsid w:val="00207A89"/>
    <w:rsid w:val="00207E6B"/>
    <w:rsid w:val="002101C1"/>
    <w:rsid w:val="00211705"/>
    <w:rsid w:val="002125B4"/>
    <w:rsid w:val="00212B9C"/>
    <w:rsid w:val="00215155"/>
    <w:rsid w:val="002155B8"/>
    <w:rsid w:val="00215FA7"/>
    <w:rsid w:val="00216886"/>
    <w:rsid w:val="00220CCF"/>
    <w:rsid w:val="0022108D"/>
    <w:rsid w:val="00221B3B"/>
    <w:rsid w:val="00222A65"/>
    <w:rsid w:val="00222D61"/>
    <w:rsid w:val="00223184"/>
    <w:rsid w:val="00223B17"/>
    <w:rsid w:val="00223C98"/>
    <w:rsid w:val="00224064"/>
    <w:rsid w:val="00224839"/>
    <w:rsid w:val="00224914"/>
    <w:rsid w:val="002249B2"/>
    <w:rsid w:val="00224F96"/>
    <w:rsid w:val="0022528F"/>
    <w:rsid w:val="00225F9C"/>
    <w:rsid w:val="002261A7"/>
    <w:rsid w:val="002263A3"/>
    <w:rsid w:val="00226574"/>
    <w:rsid w:val="00226681"/>
    <w:rsid w:val="00226C63"/>
    <w:rsid w:val="00226D38"/>
    <w:rsid w:val="00227013"/>
    <w:rsid w:val="002278EC"/>
    <w:rsid w:val="0023006F"/>
    <w:rsid w:val="002300D0"/>
    <w:rsid w:val="00230BA5"/>
    <w:rsid w:val="00230E52"/>
    <w:rsid w:val="00231B84"/>
    <w:rsid w:val="00232385"/>
    <w:rsid w:val="0023280E"/>
    <w:rsid w:val="00232CD0"/>
    <w:rsid w:val="0023361E"/>
    <w:rsid w:val="00233D8B"/>
    <w:rsid w:val="00233EE5"/>
    <w:rsid w:val="00234860"/>
    <w:rsid w:val="00234BAD"/>
    <w:rsid w:val="00235277"/>
    <w:rsid w:val="00236D12"/>
    <w:rsid w:val="002370D3"/>
    <w:rsid w:val="0023729B"/>
    <w:rsid w:val="002377D1"/>
    <w:rsid w:val="002416E8"/>
    <w:rsid w:val="00241924"/>
    <w:rsid w:val="00241EBF"/>
    <w:rsid w:val="00242CAE"/>
    <w:rsid w:val="00242EFC"/>
    <w:rsid w:val="0024392F"/>
    <w:rsid w:val="002448FB"/>
    <w:rsid w:val="00244B3B"/>
    <w:rsid w:val="002453DE"/>
    <w:rsid w:val="002475EE"/>
    <w:rsid w:val="002506BC"/>
    <w:rsid w:val="00250C17"/>
    <w:rsid w:val="0025133F"/>
    <w:rsid w:val="00251363"/>
    <w:rsid w:val="002519CE"/>
    <w:rsid w:val="00251FAD"/>
    <w:rsid w:val="00252439"/>
    <w:rsid w:val="002526F3"/>
    <w:rsid w:val="002528C4"/>
    <w:rsid w:val="0025290F"/>
    <w:rsid w:val="00252FC2"/>
    <w:rsid w:val="00253D46"/>
    <w:rsid w:val="00254345"/>
    <w:rsid w:val="00254FCB"/>
    <w:rsid w:val="00255182"/>
    <w:rsid w:val="0025583F"/>
    <w:rsid w:val="00256A04"/>
    <w:rsid w:val="00256CAB"/>
    <w:rsid w:val="002576E9"/>
    <w:rsid w:val="00260EC6"/>
    <w:rsid w:val="00261027"/>
    <w:rsid w:val="00261F15"/>
    <w:rsid w:val="0026275F"/>
    <w:rsid w:val="00262C31"/>
    <w:rsid w:val="0026390C"/>
    <w:rsid w:val="00264231"/>
    <w:rsid w:val="00264557"/>
    <w:rsid w:val="00264560"/>
    <w:rsid w:val="00265932"/>
    <w:rsid w:val="0026643B"/>
    <w:rsid w:val="002668E5"/>
    <w:rsid w:val="002679F2"/>
    <w:rsid w:val="00267C1A"/>
    <w:rsid w:val="0027220A"/>
    <w:rsid w:val="002727C3"/>
    <w:rsid w:val="00274E56"/>
    <w:rsid w:val="00275561"/>
    <w:rsid w:val="00275669"/>
    <w:rsid w:val="00275CD1"/>
    <w:rsid w:val="00277AE1"/>
    <w:rsid w:val="00280403"/>
    <w:rsid w:val="002805AB"/>
    <w:rsid w:val="00281B20"/>
    <w:rsid w:val="00282BCA"/>
    <w:rsid w:val="00282E9B"/>
    <w:rsid w:val="00282F8B"/>
    <w:rsid w:val="0028338E"/>
    <w:rsid w:val="00283596"/>
    <w:rsid w:val="002838E3"/>
    <w:rsid w:val="0028412F"/>
    <w:rsid w:val="002841A0"/>
    <w:rsid w:val="00284204"/>
    <w:rsid w:val="00284273"/>
    <w:rsid w:val="0028495A"/>
    <w:rsid w:val="00285908"/>
    <w:rsid w:val="002868BB"/>
    <w:rsid w:val="00286FA6"/>
    <w:rsid w:val="002872AE"/>
    <w:rsid w:val="00291773"/>
    <w:rsid w:val="00291881"/>
    <w:rsid w:val="002919C7"/>
    <w:rsid w:val="00292CF1"/>
    <w:rsid w:val="00292DAA"/>
    <w:rsid w:val="00293007"/>
    <w:rsid w:val="00293373"/>
    <w:rsid w:val="00293844"/>
    <w:rsid w:val="00293D1D"/>
    <w:rsid w:val="00294CA4"/>
    <w:rsid w:val="00294FEF"/>
    <w:rsid w:val="002954BC"/>
    <w:rsid w:val="00295B31"/>
    <w:rsid w:val="00296377"/>
    <w:rsid w:val="002963CC"/>
    <w:rsid w:val="00296ACF"/>
    <w:rsid w:val="00297D7F"/>
    <w:rsid w:val="002A0095"/>
    <w:rsid w:val="002A0246"/>
    <w:rsid w:val="002A0266"/>
    <w:rsid w:val="002A04A2"/>
    <w:rsid w:val="002A05BA"/>
    <w:rsid w:val="002A067E"/>
    <w:rsid w:val="002A08CF"/>
    <w:rsid w:val="002A168C"/>
    <w:rsid w:val="002A173B"/>
    <w:rsid w:val="002A1989"/>
    <w:rsid w:val="002A2168"/>
    <w:rsid w:val="002A39CA"/>
    <w:rsid w:val="002A39DE"/>
    <w:rsid w:val="002A3DC7"/>
    <w:rsid w:val="002A4085"/>
    <w:rsid w:val="002A4581"/>
    <w:rsid w:val="002A5432"/>
    <w:rsid w:val="002A5B08"/>
    <w:rsid w:val="002A607A"/>
    <w:rsid w:val="002A7BF3"/>
    <w:rsid w:val="002B0190"/>
    <w:rsid w:val="002B0C13"/>
    <w:rsid w:val="002B0D8C"/>
    <w:rsid w:val="002B13CE"/>
    <w:rsid w:val="002B1B56"/>
    <w:rsid w:val="002B1E0B"/>
    <w:rsid w:val="002B21B6"/>
    <w:rsid w:val="002B22A9"/>
    <w:rsid w:val="002B261A"/>
    <w:rsid w:val="002B31F8"/>
    <w:rsid w:val="002B49E2"/>
    <w:rsid w:val="002B6370"/>
    <w:rsid w:val="002B796F"/>
    <w:rsid w:val="002B7B00"/>
    <w:rsid w:val="002B7C44"/>
    <w:rsid w:val="002C044E"/>
    <w:rsid w:val="002C0CA8"/>
    <w:rsid w:val="002C1A57"/>
    <w:rsid w:val="002C2B17"/>
    <w:rsid w:val="002C5142"/>
    <w:rsid w:val="002C530E"/>
    <w:rsid w:val="002C5581"/>
    <w:rsid w:val="002C5B5B"/>
    <w:rsid w:val="002C5DE1"/>
    <w:rsid w:val="002C5F59"/>
    <w:rsid w:val="002C5F6A"/>
    <w:rsid w:val="002C65F7"/>
    <w:rsid w:val="002C7304"/>
    <w:rsid w:val="002D0D9A"/>
    <w:rsid w:val="002D0F79"/>
    <w:rsid w:val="002D1763"/>
    <w:rsid w:val="002D20EE"/>
    <w:rsid w:val="002D2559"/>
    <w:rsid w:val="002D2DF5"/>
    <w:rsid w:val="002D3B47"/>
    <w:rsid w:val="002D3DD0"/>
    <w:rsid w:val="002D4C47"/>
    <w:rsid w:val="002D5B63"/>
    <w:rsid w:val="002D5C39"/>
    <w:rsid w:val="002D63B8"/>
    <w:rsid w:val="002D6C39"/>
    <w:rsid w:val="002D705E"/>
    <w:rsid w:val="002D7B40"/>
    <w:rsid w:val="002D7FA9"/>
    <w:rsid w:val="002E093E"/>
    <w:rsid w:val="002E1F3A"/>
    <w:rsid w:val="002E298A"/>
    <w:rsid w:val="002E2A40"/>
    <w:rsid w:val="002E2DAB"/>
    <w:rsid w:val="002E367E"/>
    <w:rsid w:val="002E4192"/>
    <w:rsid w:val="002E4EE8"/>
    <w:rsid w:val="002E4F2A"/>
    <w:rsid w:val="002E5554"/>
    <w:rsid w:val="002E6C57"/>
    <w:rsid w:val="002E73CC"/>
    <w:rsid w:val="002E7F76"/>
    <w:rsid w:val="002F20AB"/>
    <w:rsid w:val="002F23EF"/>
    <w:rsid w:val="002F2564"/>
    <w:rsid w:val="002F3A25"/>
    <w:rsid w:val="002F40AD"/>
    <w:rsid w:val="002F46A6"/>
    <w:rsid w:val="002F54B6"/>
    <w:rsid w:val="002F6593"/>
    <w:rsid w:val="002F66B2"/>
    <w:rsid w:val="00301269"/>
    <w:rsid w:val="00301978"/>
    <w:rsid w:val="0030255D"/>
    <w:rsid w:val="00302B78"/>
    <w:rsid w:val="0030332C"/>
    <w:rsid w:val="00303356"/>
    <w:rsid w:val="003038D0"/>
    <w:rsid w:val="00303A11"/>
    <w:rsid w:val="00303D52"/>
    <w:rsid w:val="003051A3"/>
    <w:rsid w:val="003051C2"/>
    <w:rsid w:val="003055D0"/>
    <w:rsid w:val="00305E6C"/>
    <w:rsid w:val="003103DC"/>
    <w:rsid w:val="00310990"/>
    <w:rsid w:val="00311329"/>
    <w:rsid w:val="00312296"/>
    <w:rsid w:val="003126ED"/>
    <w:rsid w:val="00312C3D"/>
    <w:rsid w:val="00313343"/>
    <w:rsid w:val="00313533"/>
    <w:rsid w:val="00313C44"/>
    <w:rsid w:val="003140E3"/>
    <w:rsid w:val="003145A7"/>
    <w:rsid w:val="00314BE4"/>
    <w:rsid w:val="00314C92"/>
    <w:rsid w:val="00314F0E"/>
    <w:rsid w:val="00315408"/>
    <w:rsid w:val="00315EE9"/>
    <w:rsid w:val="00316F4E"/>
    <w:rsid w:val="00317A7D"/>
    <w:rsid w:val="003202C3"/>
    <w:rsid w:val="00320DA8"/>
    <w:rsid w:val="003212C4"/>
    <w:rsid w:val="00321D8E"/>
    <w:rsid w:val="0032228E"/>
    <w:rsid w:val="003225F1"/>
    <w:rsid w:val="00322681"/>
    <w:rsid w:val="00323102"/>
    <w:rsid w:val="003235B7"/>
    <w:rsid w:val="00323F8D"/>
    <w:rsid w:val="00324B42"/>
    <w:rsid w:val="00324B77"/>
    <w:rsid w:val="003254CC"/>
    <w:rsid w:val="00325767"/>
    <w:rsid w:val="003257F8"/>
    <w:rsid w:val="00325928"/>
    <w:rsid w:val="00325BB0"/>
    <w:rsid w:val="003279B7"/>
    <w:rsid w:val="00330967"/>
    <w:rsid w:val="00330B9B"/>
    <w:rsid w:val="00331169"/>
    <w:rsid w:val="00331386"/>
    <w:rsid w:val="00331A26"/>
    <w:rsid w:val="00331A93"/>
    <w:rsid w:val="0033246D"/>
    <w:rsid w:val="00332863"/>
    <w:rsid w:val="00332CB4"/>
    <w:rsid w:val="00332D6D"/>
    <w:rsid w:val="00333824"/>
    <w:rsid w:val="0033485C"/>
    <w:rsid w:val="0033661C"/>
    <w:rsid w:val="003367F2"/>
    <w:rsid w:val="0033684D"/>
    <w:rsid w:val="00336FAF"/>
    <w:rsid w:val="003371FF"/>
    <w:rsid w:val="00337B42"/>
    <w:rsid w:val="0034065D"/>
    <w:rsid w:val="00340FB0"/>
    <w:rsid w:val="00341B42"/>
    <w:rsid w:val="00342042"/>
    <w:rsid w:val="0034224C"/>
    <w:rsid w:val="00342D61"/>
    <w:rsid w:val="00342F01"/>
    <w:rsid w:val="00342F66"/>
    <w:rsid w:val="0034304C"/>
    <w:rsid w:val="00343262"/>
    <w:rsid w:val="0034348F"/>
    <w:rsid w:val="00344890"/>
    <w:rsid w:val="00345EC4"/>
    <w:rsid w:val="00345FC4"/>
    <w:rsid w:val="003473EA"/>
    <w:rsid w:val="0035178D"/>
    <w:rsid w:val="00352054"/>
    <w:rsid w:val="003520B7"/>
    <w:rsid w:val="00352FE0"/>
    <w:rsid w:val="0035340F"/>
    <w:rsid w:val="003539FA"/>
    <w:rsid w:val="00353BF7"/>
    <w:rsid w:val="00353C73"/>
    <w:rsid w:val="00353F08"/>
    <w:rsid w:val="00356102"/>
    <w:rsid w:val="00356653"/>
    <w:rsid w:val="00356B2D"/>
    <w:rsid w:val="00356B81"/>
    <w:rsid w:val="0035743F"/>
    <w:rsid w:val="00357BE2"/>
    <w:rsid w:val="003605A5"/>
    <w:rsid w:val="0036060A"/>
    <w:rsid w:val="00360F2B"/>
    <w:rsid w:val="0036170C"/>
    <w:rsid w:val="00361732"/>
    <w:rsid w:val="003617A3"/>
    <w:rsid w:val="00363224"/>
    <w:rsid w:val="00364129"/>
    <w:rsid w:val="003641A1"/>
    <w:rsid w:val="003643E5"/>
    <w:rsid w:val="0036486F"/>
    <w:rsid w:val="00365363"/>
    <w:rsid w:val="003669D4"/>
    <w:rsid w:val="00366A34"/>
    <w:rsid w:val="00366E0F"/>
    <w:rsid w:val="0037041F"/>
    <w:rsid w:val="0037268C"/>
    <w:rsid w:val="0037327E"/>
    <w:rsid w:val="003737A8"/>
    <w:rsid w:val="003738E0"/>
    <w:rsid w:val="00373C2A"/>
    <w:rsid w:val="003741C4"/>
    <w:rsid w:val="0037557C"/>
    <w:rsid w:val="003772CF"/>
    <w:rsid w:val="003772F2"/>
    <w:rsid w:val="00377458"/>
    <w:rsid w:val="003778D3"/>
    <w:rsid w:val="00377D3F"/>
    <w:rsid w:val="00380614"/>
    <w:rsid w:val="003807F7"/>
    <w:rsid w:val="00380919"/>
    <w:rsid w:val="00380CF5"/>
    <w:rsid w:val="00381A72"/>
    <w:rsid w:val="0038247A"/>
    <w:rsid w:val="003827BF"/>
    <w:rsid w:val="00384676"/>
    <w:rsid w:val="0038552F"/>
    <w:rsid w:val="00385814"/>
    <w:rsid w:val="003861ED"/>
    <w:rsid w:val="003879A1"/>
    <w:rsid w:val="00390368"/>
    <w:rsid w:val="00390857"/>
    <w:rsid w:val="003915B0"/>
    <w:rsid w:val="0039185B"/>
    <w:rsid w:val="00391AED"/>
    <w:rsid w:val="00391B12"/>
    <w:rsid w:val="00391D6D"/>
    <w:rsid w:val="00393BB5"/>
    <w:rsid w:val="0039498C"/>
    <w:rsid w:val="00394A5B"/>
    <w:rsid w:val="00395DF8"/>
    <w:rsid w:val="00396555"/>
    <w:rsid w:val="003A0198"/>
    <w:rsid w:val="003A0991"/>
    <w:rsid w:val="003A13A9"/>
    <w:rsid w:val="003A16F3"/>
    <w:rsid w:val="003A1D00"/>
    <w:rsid w:val="003A1F21"/>
    <w:rsid w:val="003A44AF"/>
    <w:rsid w:val="003A4B87"/>
    <w:rsid w:val="003A4BF3"/>
    <w:rsid w:val="003A4C04"/>
    <w:rsid w:val="003A5FF7"/>
    <w:rsid w:val="003A67BE"/>
    <w:rsid w:val="003A79EC"/>
    <w:rsid w:val="003A7C74"/>
    <w:rsid w:val="003B3253"/>
    <w:rsid w:val="003B344E"/>
    <w:rsid w:val="003B420D"/>
    <w:rsid w:val="003B44B8"/>
    <w:rsid w:val="003B467F"/>
    <w:rsid w:val="003B4750"/>
    <w:rsid w:val="003B496C"/>
    <w:rsid w:val="003B50F3"/>
    <w:rsid w:val="003B56F9"/>
    <w:rsid w:val="003B6349"/>
    <w:rsid w:val="003B6C4C"/>
    <w:rsid w:val="003C0CA0"/>
    <w:rsid w:val="003C0D5B"/>
    <w:rsid w:val="003C114C"/>
    <w:rsid w:val="003C1D33"/>
    <w:rsid w:val="003C2711"/>
    <w:rsid w:val="003C2F70"/>
    <w:rsid w:val="003C2FA6"/>
    <w:rsid w:val="003C345E"/>
    <w:rsid w:val="003C3AD4"/>
    <w:rsid w:val="003C466E"/>
    <w:rsid w:val="003C46B1"/>
    <w:rsid w:val="003C482F"/>
    <w:rsid w:val="003C4935"/>
    <w:rsid w:val="003C523E"/>
    <w:rsid w:val="003C53CC"/>
    <w:rsid w:val="003C58CA"/>
    <w:rsid w:val="003C6995"/>
    <w:rsid w:val="003C6C16"/>
    <w:rsid w:val="003C6CEA"/>
    <w:rsid w:val="003C6D7A"/>
    <w:rsid w:val="003C7D5D"/>
    <w:rsid w:val="003D0B30"/>
    <w:rsid w:val="003D0B69"/>
    <w:rsid w:val="003D158C"/>
    <w:rsid w:val="003D1752"/>
    <w:rsid w:val="003D2257"/>
    <w:rsid w:val="003D37AB"/>
    <w:rsid w:val="003D47E5"/>
    <w:rsid w:val="003D4D4E"/>
    <w:rsid w:val="003D70A2"/>
    <w:rsid w:val="003D72F1"/>
    <w:rsid w:val="003D794D"/>
    <w:rsid w:val="003E0522"/>
    <w:rsid w:val="003E0C3B"/>
    <w:rsid w:val="003E17D9"/>
    <w:rsid w:val="003E2757"/>
    <w:rsid w:val="003E3058"/>
    <w:rsid w:val="003E3A77"/>
    <w:rsid w:val="003E446F"/>
    <w:rsid w:val="003E4721"/>
    <w:rsid w:val="003E47E2"/>
    <w:rsid w:val="003E4B40"/>
    <w:rsid w:val="003E51A0"/>
    <w:rsid w:val="003E57E9"/>
    <w:rsid w:val="003E5B90"/>
    <w:rsid w:val="003E5D48"/>
    <w:rsid w:val="003E69CD"/>
    <w:rsid w:val="003E6B18"/>
    <w:rsid w:val="003E76A9"/>
    <w:rsid w:val="003F00E7"/>
    <w:rsid w:val="003F0809"/>
    <w:rsid w:val="003F178C"/>
    <w:rsid w:val="003F1E42"/>
    <w:rsid w:val="003F1F5B"/>
    <w:rsid w:val="003F30C7"/>
    <w:rsid w:val="003F5A61"/>
    <w:rsid w:val="003F66A0"/>
    <w:rsid w:val="003F6A8C"/>
    <w:rsid w:val="003F755C"/>
    <w:rsid w:val="00400795"/>
    <w:rsid w:val="004007B6"/>
    <w:rsid w:val="00400898"/>
    <w:rsid w:val="0040107A"/>
    <w:rsid w:val="00403086"/>
    <w:rsid w:val="00403788"/>
    <w:rsid w:val="0040400B"/>
    <w:rsid w:val="0040429C"/>
    <w:rsid w:val="00404F84"/>
    <w:rsid w:val="0040508E"/>
    <w:rsid w:val="00406806"/>
    <w:rsid w:val="00406F01"/>
    <w:rsid w:val="0040705E"/>
    <w:rsid w:val="0040753D"/>
    <w:rsid w:val="00411DEA"/>
    <w:rsid w:val="00411F09"/>
    <w:rsid w:val="00414325"/>
    <w:rsid w:val="004144F3"/>
    <w:rsid w:val="00415930"/>
    <w:rsid w:val="0041622B"/>
    <w:rsid w:val="00416D50"/>
    <w:rsid w:val="00416FD5"/>
    <w:rsid w:val="0041733A"/>
    <w:rsid w:val="00417772"/>
    <w:rsid w:val="004177F9"/>
    <w:rsid w:val="004202E9"/>
    <w:rsid w:val="00420D24"/>
    <w:rsid w:val="00420E6A"/>
    <w:rsid w:val="00422105"/>
    <w:rsid w:val="00422CD7"/>
    <w:rsid w:val="00423F22"/>
    <w:rsid w:val="004252F0"/>
    <w:rsid w:val="00425A9E"/>
    <w:rsid w:val="004264FA"/>
    <w:rsid w:val="0042658E"/>
    <w:rsid w:val="0042698E"/>
    <w:rsid w:val="00426D6B"/>
    <w:rsid w:val="00427251"/>
    <w:rsid w:val="00430691"/>
    <w:rsid w:val="004306E9"/>
    <w:rsid w:val="00431A2E"/>
    <w:rsid w:val="00431ADB"/>
    <w:rsid w:val="00431DCD"/>
    <w:rsid w:val="00431E6C"/>
    <w:rsid w:val="00432213"/>
    <w:rsid w:val="004322FF"/>
    <w:rsid w:val="00433926"/>
    <w:rsid w:val="00433944"/>
    <w:rsid w:val="00433CE7"/>
    <w:rsid w:val="00434726"/>
    <w:rsid w:val="00434BA8"/>
    <w:rsid w:val="00434F98"/>
    <w:rsid w:val="004355B0"/>
    <w:rsid w:val="00435BD9"/>
    <w:rsid w:val="00436C70"/>
    <w:rsid w:val="00437072"/>
    <w:rsid w:val="00437164"/>
    <w:rsid w:val="0044030C"/>
    <w:rsid w:val="00440D63"/>
    <w:rsid w:val="004412DC"/>
    <w:rsid w:val="00441E79"/>
    <w:rsid w:val="004433F9"/>
    <w:rsid w:val="00445165"/>
    <w:rsid w:val="00445966"/>
    <w:rsid w:val="004459BD"/>
    <w:rsid w:val="004467AB"/>
    <w:rsid w:val="004473FC"/>
    <w:rsid w:val="004502B6"/>
    <w:rsid w:val="00451322"/>
    <w:rsid w:val="004513F0"/>
    <w:rsid w:val="0045235A"/>
    <w:rsid w:val="004525A9"/>
    <w:rsid w:val="00452698"/>
    <w:rsid w:val="00452738"/>
    <w:rsid w:val="00454C4C"/>
    <w:rsid w:val="004557A9"/>
    <w:rsid w:val="00456091"/>
    <w:rsid w:val="00457B82"/>
    <w:rsid w:val="004605C0"/>
    <w:rsid w:val="004608D9"/>
    <w:rsid w:val="0046123D"/>
    <w:rsid w:val="004619CA"/>
    <w:rsid w:val="004621CF"/>
    <w:rsid w:val="00463688"/>
    <w:rsid w:val="00463BE5"/>
    <w:rsid w:val="00463CD8"/>
    <w:rsid w:val="004646EC"/>
    <w:rsid w:val="004651C1"/>
    <w:rsid w:val="0046533D"/>
    <w:rsid w:val="00465BE7"/>
    <w:rsid w:val="00466321"/>
    <w:rsid w:val="0046647D"/>
    <w:rsid w:val="00466DB0"/>
    <w:rsid w:val="00467836"/>
    <w:rsid w:val="0046789C"/>
    <w:rsid w:val="00470221"/>
    <w:rsid w:val="00470782"/>
    <w:rsid w:val="004709D7"/>
    <w:rsid w:val="0047137A"/>
    <w:rsid w:val="00471749"/>
    <w:rsid w:val="004717E5"/>
    <w:rsid w:val="00471B4D"/>
    <w:rsid w:val="004722BD"/>
    <w:rsid w:val="00472A46"/>
    <w:rsid w:val="00472F2D"/>
    <w:rsid w:val="00473069"/>
    <w:rsid w:val="00473BAC"/>
    <w:rsid w:val="004748C3"/>
    <w:rsid w:val="00474FE4"/>
    <w:rsid w:val="004751A2"/>
    <w:rsid w:val="00475B23"/>
    <w:rsid w:val="00477512"/>
    <w:rsid w:val="00477544"/>
    <w:rsid w:val="004777CE"/>
    <w:rsid w:val="00481833"/>
    <w:rsid w:val="00482140"/>
    <w:rsid w:val="0048226F"/>
    <w:rsid w:val="00482E1D"/>
    <w:rsid w:val="0048330B"/>
    <w:rsid w:val="00483AF3"/>
    <w:rsid w:val="00483C67"/>
    <w:rsid w:val="00484B6D"/>
    <w:rsid w:val="00484B9B"/>
    <w:rsid w:val="004855F6"/>
    <w:rsid w:val="00485758"/>
    <w:rsid w:val="0048584A"/>
    <w:rsid w:val="004860AB"/>
    <w:rsid w:val="0048661E"/>
    <w:rsid w:val="00487659"/>
    <w:rsid w:val="00487CFE"/>
    <w:rsid w:val="0049054D"/>
    <w:rsid w:val="00490B1F"/>
    <w:rsid w:val="00491604"/>
    <w:rsid w:val="004919A4"/>
    <w:rsid w:val="00491C7D"/>
    <w:rsid w:val="00491D8A"/>
    <w:rsid w:val="004921B2"/>
    <w:rsid w:val="00492946"/>
    <w:rsid w:val="00492E1E"/>
    <w:rsid w:val="00492F10"/>
    <w:rsid w:val="004930C9"/>
    <w:rsid w:val="00493491"/>
    <w:rsid w:val="00493842"/>
    <w:rsid w:val="00493931"/>
    <w:rsid w:val="00494670"/>
    <w:rsid w:val="00496CAB"/>
    <w:rsid w:val="0049729A"/>
    <w:rsid w:val="00497413"/>
    <w:rsid w:val="004A0D04"/>
    <w:rsid w:val="004A1083"/>
    <w:rsid w:val="004A208F"/>
    <w:rsid w:val="004A2605"/>
    <w:rsid w:val="004A2BB5"/>
    <w:rsid w:val="004A31E4"/>
    <w:rsid w:val="004A3823"/>
    <w:rsid w:val="004A4494"/>
    <w:rsid w:val="004A4A04"/>
    <w:rsid w:val="004A5216"/>
    <w:rsid w:val="004A7170"/>
    <w:rsid w:val="004A71D1"/>
    <w:rsid w:val="004A78F9"/>
    <w:rsid w:val="004A7A32"/>
    <w:rsid w:val="004B0191"/>
    <w:rsid w:val="004B1260"/>
    <w:rsid w:val="004B185D"/>
    <w:rsid w:val="004B1B18"/>
    <w:rsid w:val="004B1E51"/>
    <w:rsid w:val="004B2949"/>
    <w:rsid w:val="004B3542"/>
    <w:rsid w:val="004B382D"/>
    <w:rsid w:val="004B4300"/>
    <w:rsid w:val="004B5B22"/>
    <w:rsid w:val="004B5EB0"/>
    <w:rsid w:val="004B692C"/>
    <w:rsid w:val="004B6DA1"/>
    <w:rsid w:val="004B6F76"/>
    <w:rsid w:val="004B72A0"/>
    <w:rsid w:val="004B74D4"/>
    <w:rsid w:val="004B7671"/>
    <w:rsid w:val="004B7912"/>
    <w:rsid w:val="004C032D"/>
    <w:rsid w:val="004C04AA"/>
    <w:rsid w:val="004C093E"/>
    <w:rsid w:val="004C1061"/>
    <w:rsid w:val="004C17DD"/>
    <w:rsid w:val="004C1A50"/>
    <w:rsid w:val="004C3568"/>
    <w:rsid w:val="004C46FE"/>
    <w:rsid w:val="004C6F3D"/>
    <w:rsid w:val="004C71F1"/>
    <w:rsid w:val="004C732C"/>
    <w:rsid w:val="004C7A5E"/>
    <w:rsid w:val="004D08A3"/>
    <w:rsid w:val="004D0B58"/>
    <w:rsid w:val="004D19B9"/>
    <w:rsid w:val="004D216D"/>
    <w:rsid w:val="004D248A"/>
    <w:rsid w:val="004D3249"/>
    <w:rsid w:val="004D4EB9"/>
    <w:rsid w:val="004D5757"/>
    <w:rsid w:val="004D579C"/>
    <w:rsid w:val="004D6140"/>
    <w:rsid w:val="004D6730"/>
    <w:rsid w:val="004D67AF"/>
    <w:rsid w:val="004D7DEF"/>
    <w:rsid w:val="004D7E44"/>
    <w:rsid w:val="004D7F4D"/>
    <w:rsid w:val="004E08CE"/>
    <w:rsid w:val="004E0CC5"/>
    <w:rsid w:val="004E1EDE"/>
    <w:rsid w:val="004E28D6"/>
    <w:rsid w:val="004E32D6"/>
    <w:rsid w:val="004E3CA2"/>
    <w:rsid w:val="004E43F5"/>
    <w:rsid w:val="004E483E"/>
    <w:rsid w:val="004E5218"/>
    <w:rsid w:val="004E65C0"/>
    <w:rsid w:val="004E6946"/>
    <w:rsid w:val="004E6D56"/>
    <w:rsid w:val="004E6E07"/>
    <w:rsid w:val="004F059A"/>
    <w:rsid w:val="004F0DC4"/>
    <w:rsid w:val="004F1AD8"/>
    <w:rsid w:val="004F27E0"/>
    <w:rsid w:val="004F3CF1"/>
    <w:rsid w:val="004F4358"/>
    <w:rsid w:val="004F46DB"/>
    <w:rsid w:val="004F5194"/>
    <w:rsid w:val="004F6152"/>
    <w:rsid w:val="004F6689"/>
    <w:rsid w:val="00500BAA"/>
    <w:rsid w:val="00500C46"/>
    <w:rsid w:val="005010F0"/>
    <w:rsid w:val="00501465"/>
    <w:rsid w:val="0050280E"/>
    <w:rsid w:val="00502E86"/>
    <w:rsid w:val="005039CB"/>
    <w:rsid w:val="005043DF"/>
    <w:rsid w:val="005046D4"/>
    <w:rsid w:val="0050558F"/>
    <w:rsid w:val="005055F9"/>
    <w:rsid w:val="005058CA"/>
    <w:rsid w:val="00506286"/>
    <w:rsid w:val="00506819"/>
    <w:rsid w:val="00506F45"/>
    <w:rsid w:val="0050708A"/>
    <w:rsid w:val="005071D5"/>
    <w:rsid w:val="005072C9"/>
    <w:rsid w:val="005101BC"/>
    <w:rsid w:val="00510260"/>
    <w:rsid w:val="0051032B"/>
    <w:rsid w:val="00510813"/>
    <w:rsid w:val="00511990"/>
    <w:rsid w:val="00511DE0"/>
    <w:rsid w:val="0051267C"/>
    <w:rsid w:val="00512747"/>
    <w:rsid w:val="005137E2"/>
    <w:rsid w:val="00514870"/>
    <w:rsid w:val="00514B9B"/>
    <w:rsid w:val="005168D8"/>
    <w:rsid w:val="00517968"/>
    <w:rsid w:val="00517F02"/>
    <w:rsid w:val="00517F6F"/>
    <w:rsid w:val="005203B3"/>
    <w:rsid w:val="005204E7"/>
    <w:rsid w:val="00521637"/>
    <w:rsid w:val="00522614"/>
    <w:rsid w:val="00522E04"/>
    <w:rsid w:val="00524303"/>
    <w:rsid w:val="00524455"/>
    <w:rsid w:val="00524630"/>
    <w:rsid w:val="0052514D"/>
    <w:rsid w:val="0052525A"/>
    <w:rsid w:val="00525353"/>
    <w:rsid w:val="0052537C"/>
    <w:rsid w:val="00525763"/>
    <w:rsid w:val="005258A2"/>
    <w:rsid w:val="00526DA2"/>
    <w:rsid w:val="0052759A"/>
    <w:rsid w:val="00530490"/>
    <w:rsid w:val="00530D76"/>
    <w:rsid w:val="0053135C"/>
    <w:rsid w:val="005326EF"/>
    <w:rsid w:val="00533B86"/>
    <w:rsid w:val="00533C3D"/>
    <w:rsid w:val="00533C80"/>
    <w:rsid w:val="00534BCA"/>
    <w:rsid w:val="00535058"/>
    <w:rsid w:val="00536799"/>
    <w:rsid w:val="00536E85"/>
    <w:rsid w:val="005374F8"/>
    <w:rsid w:val="0053754B"/>
    <w:rsid w:val="005401AE"/>
    <w:rsid w:val="00540728"/>
    <w:rsid w:val="00540FC7"/>
    <w:rsid w:val="00541C1F"/>
    <w:rsid w:val="00542D27"/>
    <w:rsid w:val="00542E07"/>
    <w:rsid w:val="00543387"/>
    <w:rsid w:val="005434EB"/>
    <w:rsid w:val="005438C3"/>
    <w:rsid w:val="00543907"/>
    <w:rsid w:val="00544191"/>
    <w:rsid w:val="00544693"/>
    <w:rsid w:val="00545424"/>
    <w:rsid w:val="0054570A"/>
    <w:rsid w:val="005458C3"/>
    <w:rsid w:val="00546195"/>
    <w:rsid w:val="005463A0"/>
    <w:rsid w:val="00550712"/>
    <w:rsid w:val="00552ABF"/>
    <w:rsid w:val="00553020"/>
    <w:rsid w:val="00553EC2"/>
    <w:rsid w:val="005541E1"/>
    <w:rsid w:val="00554521"/>
    <w:rsid w:val="00554A6C"/>
    <w:rsid w:val="00554A7B"/>
    <w:rsid w:val="00554B77"/>
    <w:rsid w:val="0055572C"/>
    <w:rsid w:val="0055574B"/>
    <w:rsid w:val="00555924"/>
    <w:rsid w:val="00556398"/>
    <w:rsid w:val="00556509"/>
    <w:rsid w:val="00557E38"/>
    <w:rsid w:val="005604B8"/>
    <w:rsid w:val="00560857"/>
    <w:rsid w:val="0056106A"/>
    <w:rsid w:val="005616B1"/>
    <w:rsid w:val="00561A72"/>
    <w:rsid w:val="00561DA5"/>
    <w:rsid w:val="00561DEB"/>
    <w:rsid w:val="00562B90"/>
    <w:rsid w:val="00563B14"/>
    <w:rsid w:val="00564881"/>
    <w:rsid w:val="00564F21"/>
    <w:rsid w:val="0056501D"/>
    <w:rsid w:val="005674C5"/>
    <w:rsid w:val="00567B2B"/>
    <w:rsid w:val="00567BBB"/>
    <w:rsid w:val="00570492"/>
    <w:rsid w:val="0057110D"/>
    <w:rsid w:val="00571AF2"/>
    <w:rsid w:val="005720AE"/>
    <w:rsid w:val="00572375"/>
    <w:rsid w:val="00572880"/>
    <w:rsid w:val="00572DB7"/>
    <w:rsid w:val="00573497"/>
    <w:rsid w:val="005734A8"/>
    <w:rsid w:val="00573F34"/>
    <w:rsid w:val="00574FB0"/>
    <w:rsid w:val="005764F9"/>
    <w:rsid w:val="005804C4"/>
    <w:rsid w:val="00580DDB"/>
    <w:rsid w:val="0058296A"/>
    <w:rsid w:val="0058405A"/>
    <w:rsid w:val="005845F9"/>
    <w:rsid w:val="00584B16"/>
    <w:rsid w:val="00585FE8"/>
    <w:rsid w:val="0058795D"/>
    <w:rsid w:val="00590CA3"/>
    <w:rsid w:val="00590E74"/>
    <w:rsid w:val="00590FA1"/>
    <w:rsid w:val="005915ED"/>
    <w:rsid w:val="00591745"/>
    <w:rsid w:val="0059326D"/>
    <w:rsid w:val="00594534"/>
    <w:rsid w:val="00594765"/>
    <w:rsid w:val="00594D77"/>
    <w:rsid w:val="00594DD3"/>
    <w:rsid w:val="00595828"/>
    <w:rsid w:val="00596058"/>
    <w:rsid w:val="0059671E"/>
    <w:rsid w:val="005969E4"/>
    <w:rsid w:val="005A0107"/>
    <w:rsid w:val="005A06B7"/>
    <w:rsid w:val="005A0DE5"/>
    <w:rsid w:val="005A14E3"/>
    <w:rsid w:val="005A1759"/>
    <w:rsid w:val="005A1E07"/>
    <w:rsid w:val="005A2137"/>
    <w:rsid w:val="005A2641"/>
    <w:rsid w:val="005A272F"/>
    <w:rsid w:val="005A27C1"/>
    <w:rsid w:val="005A2EFB"/>
    <w:rsid w:val="005A46ED"/>
    <w:rsid w:val="005A6503"/>
    <w:rsid w:val="005A68A7"/>
    <w:rsid w:val="005A6B49"/>
    <w:rsid w:val="005A6CC7"/>
    <w:rsid w:val="005B0EEC"/>
    <w:rsid w:val="005B1262"/>
    <w:rsid w:val="005B1365"/>
    <w:rsid w:val="005B173E"/>
    <w:rsid w:val="005B17B2"/>
    <w:rsid w:val="005B2320"/>
    <w:rsid w:val="005B30FA"/>
    <w:rsid w:val="005B46CA"/>
    <w:rsid w:val="005B4ED0"/>
    <w:rsid w:val="005B5A9D"/>
    <w:rsid w:val="005B5B9E"/>
    <w:rsid w:val="005B737B"/>
    <w:rsid w:val="005B75AB"/>
    <w:rsid w:val="005B7CD9"/>
    <w:rsid w:val="005C0DF6"/>
    <w:rsid w:val="005C2E41"/>
    <w:rsid w:val="005C3C42"/>
    <w:rsid w:val="005C3E6F"/>
    <w:rsid w:val="005C41F1"/>
    <w:rsid w:val="005C4BDE"/>
    <w:rsid w:val="005C5651"/>
    <w:rsid w:val="005C566E"/>
    <w:rsid w:val="005C6611"/>
    <w:rsid w:val="005C7F9E"/>
    <w:rsid w:val="005D0C13"/>
    <w:rsid w:val="005D0CF8"/>
    <w:rsid w:val="005D1A51"/>
    <w:rsid w:val="005D2880"/>
    <w:rsid w:val="005D36AB"/>
    <w:rsid w:val="005D3DA3"/>
    <w:rsid w:val="005D41AE"/>
    <w:rsid w:val="005D5472"/>
    <w:rsid w:val="005D5A5E"/>
    <w:rsid w:val="005D706D"/>
    <w:rsid w:val="005D70DA"/>
    <w:rsid w:val="005E03F2"/>
    <w:rsid w:val="005E2265"/>
    <w:rsid w:val="005E53A4"/>
    <w:rsid w:val="005E5481"/>
    <w:rsid w:val="005E5D75"/>
    <w:rsid w:val="005E61B1"/>
    <w:rsid w:val="005E6754"/>
    <w:rsid w:val="005E6F70"/>
    <w:rsid w:val="005E77DD"/>
    <w:rsid w:val="005F369A"/>
    <w:rsid w:val="005F40EC"/>
    <w:rsid w:val="005F4594"/>
    <w:rsid w:val="005F68F3"/>
    <w:rsid w:val="005F7379"/>
    <w:rsid w:val="005F7AD2"/>
    <w:rsid w:val="006015B0"/>
    <w:rsid w:val="00601AAE"/>
    <w:rsid w:val="00602831"/>
    <w:rsid w:val="00602C53"/>
    <w:rsid w:val="006044E7"/>
    <w:rsid w:val="00604998"/>
    <w:rsid w:val="00604A54"/>
    <w:rsid w:val="006060DE"/>
    <w:rsid w:val="00606D79"/>
    <w:rsid w:val="00607402"/>
    <w:rsid w:val="006077BA"/>
    <w:rsid w:val="00610617"/>
    <w:rsid w:val="0061133F"/>
    <w:rsid w:val="006117FF"/>
    <w:rsid w:val="00611984"/>
    <w:rsid w:val="006128F9"/>
    <w:rsid w:val="00613382"/>
    <w:rsid w:val="0061397F"/>
    <w:rsid w:val="006140BA"/>
    <w:rsid w:val="006144A1"/>
    <w:rsid w:val="00615344"/>
    <w:rsid w:val="00615A0F"/>
    <w:rsid w:val="00616954"/>
    <w:rsid w:val="00616E93"/>
    <w:rsid w:val="0061761C"/>
    <w:rsid w:val="00617CC3"/>
    <w:rsid w:val="00617CFD"/>
    <w:rsid w:val="0062043A"/>
    <w:rsid w:val="00620C82"/>
    <w:rsid w:val="006216EF"/>
    <w:rsid w:val="00621A77"/>
    <w:rsid w:val="00622512"/>
    <w:rsid w:val="006227A4"/>
    <w:rsid w:val="0062385F"/>
    <w:rsid w:val="00623935"/>
    <w:rsid w:val="00624C58"/>
    <w:rsid w:val="00625D44"/>
    <w:rsid w:val="00625E67"/>
    <w:rsid w:val="0062623E"/>
    <w:rsid w:val="00626B2A"/>
    <w:rsid w:val="00626CA7"/>
    <w:rsid w:val="00627075"/>
    <w:rsid w:val="006278E9"/>
    <w:rsid w:val="00627BC0"/>
    <w:rsid w:val="006309ED"/>
    <w:rsid w:val="00631CC7"/>
    <w:rsid w:val="00631FD5"/>
    <w:rsid w:val="0063202D"/>
    <w:rsid w:val="00633951"/>
    <w:rsid w:val="00633DF8"/>
    <w:rsid w:val="00633E2B"/>
    <w:rsid w:val="00634065"/>
    <w:rsid w:val="006341A7"/>
    <w:rsid w:val="0063422A"/>
    <w:rsid w:val="006344FE"/>
    <w:rsid w:val="0063486B"/>
    <w:rsid w:val="00635039"/>
    <w:rsid w:val="00635730"/>
    <w:rsid w:val="00636FE4"/>
    <w:rsid w:val="006377A6"/>
    <w:rsid w:val="00637845"/>
    <w:rsid w:val="00637A3D"/>
    <w:rsid w:val="00637A40"/>
    <w:rsid w:val="006407FD"/>
    <w:rsid w:val="006411EF"/>
    <w:rsid w:val="006427B6"/>
    <w:rsid w:val="00644A39"/>
    <w:rsid w:val="00644AF0"/>
    <w:rsid w:val="00644FB9"/>
    <w:rsid w:val="00645232"/>
    <w:rsid w:val="00645475"/>
    <w:rsid w:val="00647AD0"/>
    <w:rsid w:val="00650D87"/>
    <w:rsid w:val="0065100B"/>
    <w:rsid w:val="0065152D"/>
    <w:rsid w:val="00652010"/>
    <w:rsid w:val="00652059"/>
    <w:rsid w:val="00652C26"/>
    <w:rsid w:val="006531D7"/>
    <w:rsid w:val="00653FE4"/>
    <w:rsid w:val="00655720"/>
    <w:rsid w:val="00656431"/>
    <w:rsid w:val="006564CB"/>
    <w:rsid w:val="00656DBD"/>
    <w:rsid w:val="00657026"/>
    <w:rsid w:val="0066000F"/>
    <w:rsid w:val="00660B92"/>
    <w:rsid w:val="006617BC"/>
    <w:rsid w:val="006620EE"/>
    <w:rsid w:val="006625CE"/>
    <w:rsid w:val="00664042"/>
    <w:rsid w:val="00664D69"/>
    <w:rsid w:val="00667351"/>
    <w:rsid w:val="00667C16"/>
    <w:rsid w:val="00670CDA"/>
    <w:rsid w:val="00671310"/>
    <w:rsid w:val="006715FF"/>
    <w:rsid w:val="00671DFA"/>
    <w:rsid w:val="00672EAB"/>
    <w:rsid w:val="00673203"/>
    <w:rsid w:val="006738C9"/>
    <w:rsid w:val="00673ACD"/>
    <w:rsid w:val="00673CB4"/>
    <w:rsid w:val="00674491"/>
    <w:rsid w:val="006748B8"/>
    <w:rsid w:val="00674927"/>
    <w:rsid w:val="006775C3"/>
    <w:rsid w:val="0067799F"/>
    <w:rsid w:val="0068008E"/>
    <w:rsid w:val="006802C6"/>
    <w:rsid w:val="00681BE2"/>
    <w:rsid w:val="00682458"/>
    <w:rsid w:val="006829DD"/>
    <w:rsid w:val="00682DD9"/>
    <w:rsid w:val="00683104"/>
    <w:rsid w:val="0068326F"/>
    <w:rsid w:val="0068442E"/>
    <w:rsid w:val="00685556"/>
    <w:rsid w:val="006855F0"/>
    <w:rsid w:val="00686B2C"/>
    <w:rsid w:val="0069055A"/>
    <w:rsid w:val="00690E39"/>
    <w:rsid w:val="00692480"/>
    <w:rsid w:val="0069290A"/>
    <w:rsid w:val="0069312E"/>
    <w:rsid w:val="00693914"/>
    <w:rsid w:val="006943C2"/>
    <w:rsid w:val="00694968"/>
    <w:rsid w:val="006949EC"/>
    <w:rsid w:val="006962C5"/>
    <w:rsid w:val="00696649"/>
    <w:rsid w:val="00697333"/>
    <w:rsid w:val="0069775A"/>
    <w:rsid w:val="00697813"/>
    <w:rsid w:val="006A039B"/>
    <w:rsid w:val="006A0C2B"/>
    <w:rsid w:val="006A12F5"/>
    <w:rsid w:val="006A1F39"/>
    <w:rsid w:val="006A2076"/>
    <w:rsid w:val="006A233E"/>
    <w:rsid w:val="006A25F0"/>
    <w:rsid w:val="006A2C3F"/>
    <w:rsid w:val="006A2CBC"/>
    <w:rsid w:val="006A2DBC"/>
    <w:rsid w:val="006A332B"/>
    <w:rsid w:val="006A35A3"/>
    <w:rsid w:val="006A3D38"/>
    <w:rsid w:val="006A3EE8"/>
    <w:rsid w:val="006A4046"/>
    <w:rsid w:val="006A5401"/>
    <w:rsid w:val="006A5DC2"/>
    <w:rsid w:val="006A6053"/>
    <w:rsid w:val="006A6627"/>
    <w:rsid w:val="006A6CF2"/>
    <w:rsid w:val="006A6FB1"/>
    <w:rsid w:val="006A72BF"/>
    <w:rsid w:val="006A72EB"/>
    <w:rsid w:val="006B0078"/>
    <w:rsid w:val="006B03F2"/>
    <w:rsid w:val="006B064C"/>
    <w:rsid w:val="006B0C14"/>
    <w:rsid w:val="006B15AD"/>
    <w:rsid w:val="006B2059"/>
    <w:rsid w:val="006B212E"/>
    <w:rsid w:val="006B2306"/>
    <w:rsid w:val="006B2753"/>
    <w:rsid w:val="006B37DC"/>
    <w:rsid w:val="006B4549"/>
    <w:rsid w:val="006B4DC2"/>
    <w:rsid w:val="006B4F68"/>
    <w:rsid w:val="006B5CD5"/>
    <w:rsid w:val="006B60D1"/>
    <w:rsid w:val="006B69DF"/>
    <w:rsid w:val="006B7009"/>
    <w:rsid w:val="006B774C"/>
    <w:rsid w:val="006B7926"/>
    <w:rsid w:val="006B7C72"/>
    <w:rsid w:val="006B7E88"/>
    <w:rsid w:val="006C0592"/>
    <w:rsid w:val="006C068A"/>
    <w:rsid w:val="006C0923"/>
    <w:rsid w:val="006C0CB0"/>
    <w:rsid w:val="006C1102"/>
    <w:rsid w:val="006C15BB"/>
    <w:rsid w:val="006C1760"/>
    <w:rsid w:val="006C1A58"/>
    <w:rsid w:val="006C2271"/>
    <w:rsid w:val="006C272E"/>
    <w:rsid w:val="006C3022"/>
    <w:rsid w:val="006C4235"/>
    <w:rsid w:val="006C5404"/>
    <w:rsid w:val="006C5479"/>
    <w:rsid w:val="006C57CE"/>
    <w:rsid w:val="006C5948"/>
    <w:rsid w:val="006C5C5C"/>
    <w:rsid w:val="006C6924"/>
    <w:rsid w:val="006C6A3D"/>
    <w:rsid w:val="006C6E37"/>
    <w:rsid w:val="006C74D9"/>
    <w:rsid w:val="006D077C"/>
    <w:rsid w:val="006D13B5"/>
    <w:rsid w:val="006D25AA"/>
    <w:rsid w:val="006D2ED3"/>
    <w:rsid w:val="006D2F99"/>
    <w:rsid w:val="006D3894"/>
    <w:rsid w:val="006D46E3"/>
    <w:rsid w:val="006D55C5"/>
    <w:rsid w:val="006D575C"/>
    <w:rsid w:val="006D6756"/>
    <w:rsid w:val="006D7334"/>
    <w:rsid w:val="006D7516"/>
    <w:rsid w:val="006D7CA6"/>
    <w:rsid w:val="006D7F4D"/>
    <w:rsid w:val="006E01D7"/>
    <w:rsid w:val="006E12FF"/>
    <w:rsid w:val="006E26FD"/>
    <w:rsid w:val="006E274B"/>
    <w:rsid w:val="006E44EA"/>
    <w:rsid w:val="006E46D3"/>
    <w:rsid w:val="006E49C7"/>
    <w:rsid w:val="006E51FE"/>
    <w:rsid w:val="006E5676"/>
    <w:rsid w:val="006E607E"/>
    <w:rsid w:val="006E6673"/>
    <w:rsid w:val="006E66BD"/>
    <w:rsid w:val="006E68B9"/>
    <w:rsid w:val="006F002F"/>
    <w:rsid w:val="006F0264"/>
    <w:rsid w:val="006F1709"/>
    <w:rsid w:val="006F1ACB"/>
    <w:rsid w:val="006F212D"/>
    <w:rsid w:val="006F2261"/>
    <w:rsid w:val="006F2640"/>
    <w:rsid w:val="006F2806"/>
    <w:rsid w:val="006F3D01"/>
    <w:rsid w:val="006F4070"/>
    <w:rsid w:val="006F4077"/>
    <w:rsid w:val="006F45EF"/>
    <w:rsid w:val="006F5E56"/>
    <w:rsid w:val="006F60B9"/>
    <w:rsid w:val="006F6CFE"/>
    <w:rsid w:val="00701748"/>
    <w:rsid w:val="00701ACA"/>
    <w:rsid w:val="0070369D"/>
    <w:rsid w:val="00704592"/>
    <w:rsid w:val="007058B8"/>
    <w:rsid w:val="00705D3D"/>
    <w:rsid w:val="00705EC3"/>
    <w:rsid w:val="00706479"/>
    <w:rsid w:val="00706C5D"/>
    <w:rsid w:val="00710093"/>
    <w:rsid w:val="00710301"/>
    <w:rsid w:val="00711270"/>
    <w:rsid w:val="0071167D"/>
    <w:rsid w:val="00711681"/>
    <w:rsid w:val="007118E2"/>
    <w:rsid w:val="00712E68"/>
    <w:rsid w:val="00712E8D"/>
    <w:rsid w:val="007139F1"/>
    <w:rsid w:val="00714171"/>
    <w:rsid w:val="0071473C"/>
    <w:rsid w:val="0071517B"/>
    <w:rsid w:val="00715F4A"/>
    <w:rsid w:val="00716AD6"/>
    <w:rsid w:val="00717783"/>
    <w:rsid w:val="007178E7"/>
    <w:rsid w:val="00717AEF"/>
    <w:rsid w:val="00723BDA"/>
    <w:rsid w:val="00726068"/>
    <w:rsid w:val="007261A7"/>
    <w:rsid w:val="00726637"/>
    <w:rsid w:val="007268EA"/>
    <w:rsid w:val="00727448"/>
    <w:rsid w:val="007277F8"/>
    <w:rsid w:val="00727CED"/>
    <w:rsid w:val="00730F4C"/>
    <w:rsid w:val="00732922"/>
    <w:rsid w:val="00733C33"/>
    <w:rsid w:val="00734882"/>
    <w:rsid w:val="00734F1E"/>
    <w:rsid w:val="00735C4E"/>
    <w:rsid w:val="00736D3E"/>
    <w:rsid w:val="00737A7E"/>
    <w:rsid w:val="007407A5"/>
    <w:rsid w:val="007407D9"/>
    <w:rsid w:val="0074089B"/>
    <w:rsid w:val="00740A05"/>
    <w:rsid w:val="007417C0"/>
    <w:rsid w:val="007419E6"/>
    <w:rsid w:val="00741CEF"/>
    <w:rsid w:val="007422C3"/>
    <w:rsid w:val="0074238A"/>
    <w:rsid w:val="00742640"/>
    <w:rsid w:val="00743623"/>
    <w:rsid w:val="00743626"/>
    <w:rsid w:val="0074465F"/>
    <w:rsid w:val="00746765"/>
    <w:rsid w:val="0075041D"/>
    <w:rsid w:val="0075162E"/>
    <w:rsid w:val="00751782"/>
    <w:rsid w:val="00752643"/>
    <w:rsid w:val="00753122"/>
    <w:rsid w:val="00754034"/>
    <w:rsid w:val="00756556"/>
    <w:rsid w:val="007571B4"/>
    <w:rsid w:val="00757594"/>
    <w:rsid w:val="00760675"/>
    <w:rsid w:val="00761380"/>
    <w:rsid w:val="007618C4"/>
    <w:rsid w:val="00761AA0"/>
    <w:rsid w:val="00761ED2"/>
    <w:rsid w:val="00762409"/>
    <w:rsid w:val="007626A5"/>
    <w:rsid w:val="00762905"/>
    <w:rsid w:val="00762DE0"/>
    <w:rsid w:val="00762F1E"/>
    <w:rsid w:val="00763E48"/>
    <w:rsid w:val="0076401C"/>
    <w:rsid w:val="00764ED0"/>
    <w:rsid w:val="007668DB"/>
    <w:rsid w:val="00766D29"/>
    <w:rsid w:val="00766D58"/>
    <w:rsid w:val="00767980"/>
    <w:rsid w:val="00767C6C"/>
    <w:rsid w:val="00770165"/>
    <w:rsid w:val="00770199"/>
    <w:rsid w:val="00770251"/>
    <w:rsid w:val="00770B19"/>
    <w:rsid w:val="00770F4B"/>
    <w:rsid w:val="00771A42"/>
    <w:rsid w:val="00772734"/>
    <w:rsid w:val="00772880"/>
    <w:rsid w:val="00772B4E"/>
    <w:rsid w:val="00773D21"/>
    <w:rsid w:val="00774502"/>
    <w:rsid w:val="0077463F"/>
    <w:rsid w:val="00774F28"/>
    <w:rsid w:val="00775CE2"/>
    <w:rsid w:val="00776002"/>
    <w:rsid w:val="0077633A"/>
    <w:rsid w:val="00776D9E"/>
    <w:rsid w:val="00776E9C"/>
    <w:rsid w:val="00777EDA"/>
    <w:rsid w:val="00780A5A"/>
    <w:rsid w:val="00780FAB"/>
    <w:rsid w:val="00781E9E"/>
    <w:rsid w:val="00782CC9"/>
    <w:rsid w:val="0078309C"/>
    <w:rsid w:val="007836EA"/>
    <w:rsid w:val="00783A7C"/>
    <w:rsid w:val="00783D00"/>
    <w:rsid w:val="00784CDA"/>
    <w:rsid w:val="00784FDD"/>
    <w:rsid w:val="00785545"/>
    <w:rsid w:val="00785C9E"/>
    <w:rsid w:val="00785FAB"/>
    <w:rsid w:val="00786051"/>
    <w:rsid w:val="00786E1B"/>
    <w:rsid w:val="00787542"/>
    <w:rsid w:val="00787C06"/>
    <w:rsid w:val="00787FEC"/>
    <w:rsid w:val="0079022D"/>
    <w:rsid w:val="007906C4"/>
    <w:rsid w:val="0079095B"/>
    <w:rsid w:val="007913B6"/>
    <w:rsid w:val="00791BE5"/>
    <w:rsid w:val="00791C6D"/>
    <w:rsid w:val="007925DD"/>
    <w:rsid w:val="007940EA"/>
    <w:rsid w:val="00794415"/>
    <w:rsid w:val="00794E6C"/>
    <w:rsid w:val="007950F9"/>
    <w:rsid w:val="00795AD3"/>
    <w:rsid w:val="00795C9B"/>
    <w:rsid w:val="00795F39"/>
    <w:rsid w:val="00796150"/>
    <w:rsid w:val="007961E0"/>
    <w:rsid w:val="007967E8"/>
    <w:rsid w:val="007967F3"/>
    <w:rsid w:val="007977E4"/>
    <w:rsid w:val="007A1A8A"/>
    <w:rsid w:val="007A2170"/>
    <w:rsid w:val="007A22BF"/>
    <w:rsid w:val="007A3323"/>
    <w:rsid w:val="007A47DD"/>
    <w:rsid w:val="007A484D"/>
    <w:rsid w:val="007A4FCD"/>
    <w:rsid w:val="007A5964"/>
    <w:rsid w:val="007A6483"/>
    <w:rsid w:val="007A6C62"/>
    <w:rsid w:val="007A7D9F"/>
    <w:rsid w:val="007B0047"/>
    <w:rsid w:val="007B027F"/>
    <w:rsid w:val="007B0A3D"/>
    <w:rsid w:val="007B0BFE"/>
    <w:rsid w:val="007B1017"/>
    <w:rsid w:val="007B149C"/>
    <w:rsid w:val="007B1F99"/>
    <w:rsid w:val="007B298F"/>
    <w:rsid w:val="007B2FF3"/>
    <w:rsid w:val="007B368F"/>
    <w:rsid w:val="007B370C"/>
    <w:rsid w:val="007B48BF"/>
    <w:rsid w:val="007B5046"/>
    <w:rsid w:val="007B66D9"/>
    <w:rsid w:val="007B6A46"/>
    <w:rsid w:val="007B6C6C"/>
    <w:rsid w:val="007B70F5"/>
    <w:rsid w:val="007B72B8"/>
    <w:rsid w:val="007B78A9"/>
    <w:rsid w:val="007B7A58"/>
    <w:rsid w:val="007C0B63"/>
    <w:rsid w:val="007C1BE9"/>
    <w:rsid w:val="007C1EAC"/>
    <w:rsid w:val="007C1ECF"/>
    <w:rsid w:val="007C21B5"/>
    <w:rsid w:val="007C3375"/>
    <w:rsid w:val="007C353C"/>
    <w:rsid w:val="007C3DE9"/>
    <w:rsid w:val="007C49D9"/>
    <w:rsid w:val="007C6513"/>
    <w:rsid w:val="007C69AE"/>
    <w:rsid w:val="007D043B"/>
    <w:rsid w:val="007D190B"/>
    <w:rsid w:val="007D19FC"/>
    <w:rsid w:val="007D1C04"/>
    <w:rsid w:val="007D2154"/>
    <w:rsid w:val="007D3077"/>
    <w:rsid w:val="007D3511"/>
    <w:rsid w:val="007D466C"/>
    <w:rsid w:val="007D4FFF"/>
    <w:rsid w:val="007D5085"/>
    <w:rsid w:val="007D5093"/>
    <w:rsid w:val="007D54B3"/>
    <w:rsid w:val="007D60A7"/>
    <w:rsid w:val="007D616F"/>
    <w:rsid w:val="007D6C57"/>
    <w:rsid w:val="007D712F"/>
    <w:rsid w:val="007E07C1"/>
    <w:rsid w:val="007E0D4C"/>
    <w:rsid w:val="007E1003"/>
    <w:rsid w:val="007E14FE"/>
    <w:rsid w:val="007E1EBA"/>
    <w:rsid w:val="007E22D6"/>
    <w:rsid w:val="007E2347"/>
    <w:rsid w:val="007E26EA"/>
    <w:rsid w:val="007E31DB"/>
    <w:rsid w:val="007E42CC"/>
    <w:rsid w:val="007E4BD2"/>
    <w:rsid w:val="007E5632"/>
    <w:rsid w:val="007E65AA"/>
    <w:rsid w:val="007E6ECB"/>
    <w:rsid w:val="007E7302"/>
    <w:rsid w:val="007E7714"/>
    <w:rsid w:val="007F0E9D"/>
    <w:rsid w:val="007F112A"/>
    <w:rsid w:val="007F1FD0"/>
    <w:rsid w:val="007F296D"/>
    <w:rsid w:val="007F324B"/>
    <w:rsid w:val="007F340C"/>
    <w:rsid w:val="007F46D9"/>
    <w:rsid w:val="007F52C7"/>
    <w:rsid w:val="007F5E89"/>
    <w:rsid w:val="007F6D36"/>
    <w:rsid w:val="007F6F60"/>
    <w:rsid w:val="007F6FF8"/>
    <w:rsid w:val="007F747C"/>
    <w:rsid w:val="007F768B"/>
    <w:rsid w:val="00800C73"/>
    <w:rsid w:val="00801033"/>
    <w:rsid w:val="00801393"/>
    <w:rsid w:val="00801E6A"/>
    <w:rsid w:val="00802171"/>
    <w:rsid w:val="00802D87"/>
    <w:rsid w:val="00802F88"/>
    <w:rsid w:val="00804D52"/>
    <w:rsid w:val="00805768"/>
    <w:rsid w:val="00805A8C"/>
    <w:rsid w:val="00806E91"/>
    <w:rsid w:val="00807662"/>
    <w:rsid w:val="008079D7"/>
    <w:rsid w:val="0081068A"/>
    <w:rsid w:val="00810783"/>
    <w:rsid w:val="008112EC"/>
    <w:rsid w:val="00812026"/>
    <w:rsid w:val="0081293E"/>
    <w:rsid w:val="00812E4F"/>
    <w:rsid w:val="00812FE3"/>
    <w:rsid w:val="008139B0"/>
    <w:rsid w:val="00813BD8"/>
    <w:rsid w:val="00814114"/>
    <w:rsid w:val="0081476A"/>
    <w:rsid w:val="00814916"/>
    <w:rsid w:val="00815465"/>
    <w:rsid w:val="00816562"/>
    <w:rsid w:val="008168C6"/>
    <w:rsid w:val="008170FF"/>
    <w:rsid w:val="00817E9A"/>
    <w:rsid w:val="0082172A"/>
    <w:rsid w:val="00822071"/>
    <w:rsid w:val="008234AA"/>
    <w:rsid w:val="0082455A"/>
    <w:rsid w:val="0082472D"/>
    <w:rsid w:val="00825886"/>
    <w:rsid w:val="008302E0"/>
    <w:rsid w:val="008303BD"/>
    <w:rsid w:val="008306BD"/>
    <w:rsid w:val="00830793"/>
    <w:rsid w:val="008311E1"/>
    <w:rsid w:val="008316B1"/>
    <w:rsid w:val="00831A80"/>
    <w:rsid w:val="00831E52"/>
    <w:rsid w:val="00832593"/>
    <w:rsid w:val="00833743"/>
    <w:rsid w:val="008340A4"/>
    <w:rsid w:val="00834390"/>
    <w:rsid w:val="0083479C"/>
    <w:rsid w:val="00835F10"/>
    <w:rsid w:val="00837774"/>
    <w:rsid w:val="008379D7"/>
    <w:rsid w:val="00841545"/>
    <w:rsid w:val="0084299D"/>
    <w:rsid w:val="00842B45"/>
    <w:rsid w:val="00842CF2"/>
    <w:rsid w:val="00843AAA"/>
    <w:rsid w:val="00844524"/>
    <w:rsid w:val="0084548A"/>
    <w:rsid w:val="008458F7"/>
    <w:rsid w:val="00845F43"/>
    <w:rsid w:val="008468E5"/>
    <w:rsid w:val="00846B14"/>
    <w:rsid w:val="00847401"/>
    <w:rsid w:val="00847889"/>
    <w:rsid w:val="00847C44"/>
    <w:rsid w:val="00850F76"/>
    <w:rsid w:val="008512C2"/>
    <w:rsid w:val="00852CE3"/>
    <w:rsid w:val="00852EA4"/>
    <w:rsid w:val="008534BD"/>
    <w:rsid w:val="008540DD"/>
    <w:rsid w:val="0085487B"/>
    <w:rsid w:val="00854BFA"/>
    <w:rsid w:val="00855D28"/>
    <w:rsid w:val="00857722"/>
    <w:rsid w:val="008609AC"/>
    <w:rsid w:val="00861620"/>
    <w:rsid w:val="00861710"/>
    <w:rsid w:val="00861A49"/>
    <w:rsid w:val="00861BF9"/>
    <w:rsid w:val="00861CF0"/>
    <w:rsid w:val="00862039"/>
    <w:rsid w:val="00862170"/>
    <w:rsid w:val="00862D63"/>
    <w:rsid w:val="00863242"/>
    <w:rsid w:val="0086523F"/>
    <w:rsid w:val="00866864"/>
    <w:rsid w:val="00866E34"/>
    <w:rsid w:val="00867B15"/>
    <w:rsid w:val="00867DF3"/>
    <w:rsid w:val="0087135F"/>
    <w:rsid w:val="0087225B"/>
    <w:rsid w:val="00872C4C"/>
    <w:rsid w:val="00872D94"/>
    <w:rsid w:val="00873299"/>
    <w:rsid w:val="00874535"/>
    <w:rsid w:val="00874661"/>
    <w:rsid w:val="00874AE4"/>
    <w:rsid w:val="00877245"/>
    <w:rsid w:val="0087746D"/>
    <w:rsid w:val="00877518"/>
    <w:rsid w:val="00880364"/>
    <w:rsid w:val="0088081D"/>
    <w:rsid w:val="0088132C"/>
    <w:rsid w:val="00882278"/>
    <w:rsid w:val="008835C5"/>
    <w:rsid w:val="008835EC"/>
    <w:rsid w:val="00883897"/>
    <w:rsid w:val="00884370"/>
    <w:rsid w:val="008855B1"/>
    <w:rsid w:val="00885670"/>
    <w:rsid w:val="008865B2"/>
    <w:rsid w:val="00886A1D"/>
    <w:rsid w:val="00886B1D"/>
    <w:rsid w:val="00887343"/>
    <w:rsid w:val="00887A7F"/>
    <w:rsid w:val="00891592"/>
    <w:rsid w:val="00891681"/>
    <w:rsid w:val="008917C4"/>
    <w:rsid w:val="00891E7D"/>
    <w:rsid w:val="00891E9E"/>
    <w:rsid w:val="00892CA4"/>
    <w:rsid w:val="00893050"/>
    <w:rsid w:val="00893496"/>
    <w:rsid w:val="00893C66"/>
    <w:rsid w:val="0089425D"/>
    <w:rsid w:val="0089473B"/>
    <w:rsid w:val="00895427"/>
    <w:rsid w:val="00895C57"/>
    <w:rsid w:val="00895D52"/>
    <w:rsid w:val="0089638C"/>
    <w:rsid w:val="00896C46"/>
    <w:rsid w:val="00897637"/>
    <w:rsid w:val="008978A5"/>
    <w:rsid w:val="008A082D"/>
    <w:rsid w:val="008A0DF4"/>
    <w:rsid w:val="008A0E6A"/>
    <w:rsid w:val="008A0F21"/>
    <w:rsid w:val="008A12FE"/>
    <w:rsid w:val="008A206D"/>
    <w:rsid w:val="008A2811"/>
    <w:rsid w:val="008A2975"/>
    <w:rsid w:val="008A2F68"/>
    <w:rsid w:val="008A3062"/>
    <w:rsid w:val="008A3D71"/>
    <w:rsid w:val="008A4958"/>
    <w:rsid w:val="008A4D31"/>
    <w:rsid w:val="008A55BC"/>
    <w:rsid w:val="008A5DBB"/>
    <w:rsid w:val="008A63B5"/>
    <w:rsid w:val="008A6B38"/>
    <w:rsid w:val="008B185E"/>
    <w:rsid w:val="008B210A"/>
    <w:rsid w:val="008B21F5"/>
    <w:rsid w:val="008B2AC5"/>
    <w:rsid w:val="008B308D"/>
    <w:rsid w:val="008B3442"/>
    <w:rsid w:val="008B43BA"/>
    <w:rsid w:val="008B4FA6"/>
    <w:rsid w:val="008B5282"/>
    <w:rsid w:val="008B5BCB"/>
    <w:rsid w:val="008B6802"/>
    <w:rsid w:val="008B6ACE"/>
    <w:rsid w:val="008B6BB4"/>
    <w:rsid w:val="008B7C17"/>
    <w:rsid w:val="008C05BE"/>
    <w:rsid w:val="008C0A55"/>
    <w:rsid w:val="008C0B52"/>
    <w:rsid w:val="008C1C55"/>
    <w:rsid w:val="008C1CA0"/>
    <w:rsid w:val="008C262D"/>
    <w:rsid w:val="008C2662"/>
    <w:rsid w:val="008C2D01"/>
    <w:rsid w:val="008C3434"/>
    <w:rsid w:val="008C3459"/>
    <w:rsid w:val="008C37AD"/>
    <w:rsid w:val="008C3D7D"/>
    <w:rsid w:val="008C40E6"/>
    <w:rsid w:val="008C46D5"/>
    <w:rsid w:val="008C65D6"/>
    <w:rsid w:val="008D01E4"/>
    <w:rsid w:val="008D09CF"/>
    <w:rsid w:val="008D0A91"/>
    <w:rsid w:val="008D0F7A"/>
    <w:rsid w:val="008D1A71"/>
    <w:rsid w:val="008D2291"/>
    <w:rsid w:val="008D3FFD"/>
    <w:rsid w:val="008D49B8"/>
    <w:rsid w:val="008D5C1A"/>
    <w:rsid w:val="008D5C94"/>
    <w:rsid w:val="008D68E4"/>
    <w:rsid w:val="008D6B73"/>
    <w:rsid w:val="008D72E4"/>
    <w:rsid w:val="008E0506"/>
    <w:rsid w:val="008E0C81"/>
    <w:rsid w:val="008E0CFF"/>
    <w:rsid w:val="008E12DA"/>
    <w:rsid w:val="008E1465"/>
    <w:rsid w:val="008E15C8"/>
    <w:rsid w:val="008E3161"/>
    <w:rsid w:val="008E4236"/>
    <w:rsid w:val="008E4783"/>
    <w:rsid w:val="008E5D6B"/>
    <w:rsid w:val="008E5EEF"/>
    <w:rsid w:val="008E677B"/>
    <w:rsid w:val="008E750E"/>
    <w:rsid w:val="008E76F0"/>
    <w:rsid w:val="008E79A2"/>
    <w:rsid w:val="008F09B7"/>
    <w:rsid w:val="008F0F08"/>
    <w:rsid w:val="008F15FE"/>
    <w:rsid w:val="008F2D29"/>
    <w:rsid w:val="008F3170"/>
    <w:rsid w:val="008F31E9"/>
    <w:rsid w:val="008F3EA8"/>
    <w:rsid w:val="008F42AC"/>
    <w:rsid w:val="008F491E"/>
    <w:rsid w:val="008F4D0C"/>
    <w:rsid w:val="008F4D41"/>
    <w:rsid w:val="008F5187"/>
    <w:rsid w:val="008F5BC2"/>
    <w:rsid w:val="008F5E86"/>
    <w:rsid w:val="008F60D8"/>
    <w:rsid w:val="008F61E9"/>
    <w:rsid w:val="008F7963"/>
    <w:rsid w:val="008F7DCB"/>
    <w:rsid w:val="00901572"/>
    <w:rsid w:val="009016C2"/>
    <w:rsid w:val="00901AAA"/>
    <w:rsid w:val="00901ADB"/>
    <w:rsid w:val="009025F3"/>
    <w:rsid w:val="00902727"/>
    <w:rsid w:val="00902D39"/>
    <w:rsid w:val="009030EE"/>
    <w:rsid w:val="0090312B"/>
    <w:rsid w:val="00903EB4"/>
    <w:rsid w:val="009044FD"/>
    <w:rsid w:val="00904F2B"/>
    <w:rsid w:val="00905822"/>
    <w:rsid w:val="00906834"/>
    <w:rsid w:val="0090790C"/>
    <w:rsid w:val="00907EAE"/>
    <w:rsid w:val="00910A7F"/>
    <w:rsid w:val="00910E91"/>
    <w:rsid w:val="00911360"/>
    <w:rsid w:val="009117A3"/>
    <w:rsid w:val="009118A0"/>
    <w:rsid w:val="0091195F"/>
    <w:rsid w:val="0091214A"/>
    <w:rsid w:val="00912326"/>
    <w:rsid w:val="009129F8"/>
    <w:rsid w:val="00912B6D"/>
    <w:rsid w:val="00913402"/>
    <w:rsid w:val="00914380"/>
    <w:rsid w:val="009144E2"/>
    <w:rsid w:val="0091456D"/>
    <w:rsid w:val="00915FFC"/>
    <w:rsid w:val="009168BE"/>
    <w:rsid w:val="0091736D"/>
    <w:rsid w:val="00917886"/>
    <w:rsid w:val="009203C4"/>
    <w:rsid w:val="0092119E"/>
    <w:rsid w:val="00923DC3"/>
    <w:rsid w:val="0092535E"/>
    <w:rsid w:val="00925613"/>
    <w:rsid w:val="00926259"/>
    <w:rsid w:val="00926466"/>
    <w:rsid w:val="00927FD3"/>
    <w:rsid w:val="0093037A"/>
    <w:rsid w:val="0093265B"/>
    <w:rsid w:val="00932B6A"/>
    <w:rsid w:val="00932DB1"/>
    <w:rsid w:val="00935568"/>
    <w:rsid w:val="0093679B"/>
    <w:rsid w:val="00937034"/>
    <w:rsid w:val="00937439"/>
    <w:rsid w:val="00937578"/>
    <w:rsid w:val="0093771E"/>
    <w:rsid w:val="00937C19"/>
    <w:rsid w:val="0094154D"/>
    <w:rsid w:val="00941591"/>
    <w:rsid w:val="009416BF"/>
    <w:rsid w:val="00941847"/>
    <w:rsid w:val="00941BDA"/>
    <w:rsid w:val="0094206B"/>
    <w:rsid w:val="00942119"/>
    <w:rsid w:val="009428E1"/>
    <w:rsid w:val="00942A49"/>
    <w:rsid w:val="00942FA3"/>
    <w:rsid w:val="00943AC3"/>
    <w:rsid w:val="009445BA"/>
    <w:rsid w:val="0094635F"/>
    <w:rsid w:val="00947D75"/>
    <w:rsid w:val="00950BC1"/>
    <w:rsid w:val="0095155F"/>
    <w:rsid w:val="00951BF1"/>
    <w:rsid w:val="00952828"/>
    <w:rsid w:val="00952899"/>
    <w:rsid w:val="00952BD2"/>
    <w:rsid w:val="00953281"/>
    <w:rsid w:val="009536C7"/>
    <w:rsid w:val="00953708"/>
    <w:rsid w:val="00953C09"/>
    <w:rsid w:val="00954429"/>
    <w:rsid w:val="0095502D"/>
    <w:rsid w:val="00955D85"/>
    <w:rsid w:val="009563CE"/>
    <w:rsid w:val="0095742E"/>
    <w:rsid w:val="00957464"/>
    <w:rsid w:val="009576BD"/>
    <w:rsid w:val="009578A1"/>
    <w:rsid w:val="00957B53"/>
    <w:rsid w:val="00960706"/>
    <w:rsid w:val="00960FFA"/>
    <w:rsid w:val="009615B2"/>
    <w:rsid w:val="009618DB"/>
    <w:rsid w:val="00963010"/>
    <w:rsid w:val="00963B8A"/>
    <w:rsid w:val="009646DB"/>
    <w:rsid w:val="00964831"/>
    <w:rsid w:val="009651C2"/>
    <w:rsid w:val="00965BAF"/>
    <w:rsid w:val="00966786"/>
    <w:rsid w:val="0096749E"/>
    <w:rsid w:val="00970797"/>
    <w:rsid w:val="009711B3"/>
    <w:rsid w:val="0097164B"/>
    <w:rsid w:val="0097213A"/>
    <w:rsid w:val="0097516E"/>
    <w:rsid w:val="009754B3"/>
    <w:rsid w:val="00976328"/>
    <w:rsid w:val="0097680D"/>
    <w:rsid w:val="009809EA"/>
    <w:rsid w:val="00982438"/>
    <w:rsid w:val="009829B7"/>
    <w:rsid w:val="00982DB2"/>
    <w:rsid w:val="00982F07"/>
    <w:rsid w:val="009833D3"/>
    <w:rsid w:val="0098404C"/>
    <w:rsid w:val="009840B9"/>
    <w:rsid w:val="00985283"/>
    <w:rsid w:val="00985AE4"/>
    <w:rsid w:val="00986328"/>
    <w:rsid w:val="009863F4"/>
    <w:rsid w:val="0099046A"/>
    <w:rsid w:val="00992946"/>
    <w:rsid w:val="00992CBA"/>
    <w:rsid w:val="009935F5"/>
    <w:rsid w:val="00995588"/>
    <w:rsid w:val="00995992"/>
    <w:rsid w:val="00996D32"/>
    <w:rsid w:val="00996E02"/>
    <w:rsid w:val="009979A5"/>
    <w:rsid w:val="00997A2C"/>
    <w:rsid w:val="009A0256"/>
    <w:rsid w:val="009A03E5"/>
    <w:rsid w:val="009A0F3B"/>
    <w:rsid w:val="009A1035"/>
    <w:rsid w:val="009A1BB4"/>
    <w:rsid w:val="009A1CA4"/>
    <w:rsid w:val="009A1CCC"/>
    <w:rsid w:val="009A1CDC"/>
    <w:rsid w:val="009A22D2"/>
    <w:rsid w:val="009A22FF"/>
    <w:rsid w:val="009A2628"/>
    <w:rsid w:val="009A29D0"/>
    <w:rsid w:val="009A2CCC"/>
    <w:rsid w:val="009A2F74"/>
    <w:rsid w:val="009A3200"/>
    <w:rsid w:val="009A3F8C"/>
    <w:rsid w:val="009A5280"/>
    <w:rsid w:val="009A62EF"/>
    <w:rsid w:val="009A673C"/>
    <w:rsid w:val="009A6A42"/>
    <w:rsid w:val="009A6FC7"/>
    <w:rsid w:val="009A70F6"/>
    <w:rsid w:val="009A7926"/>
    <w:rsid w:val="009B0897"/>
    <w:rsid w:val="009B0AE3"/>
    <w:rsid w:val="009B0C3D"/>
    <w:rsid w:val="009B1E9C"/>
    <w:rsid w:val="009B201A"/>
    <w:rsid w:val="009B209D"/>
    <w:rsid w:val="009B23F6"/>
    <w:rsid w:val="009B3405"/>
    <w:rsid w:val="009B3EAD"/>
    <w:rsid w:val="009B3FE2"/>
    <w:rsid w:val="009B5D58"/>
    <w:rsid w:val="009B715A"/>
    <w:rsid w:val="009B7BD9"/>
    <w:rsid w:val="009C0728"/>
    <w:rsid w:val="009C0A46"/>
    <w:rsid w:val="009C20E3"/>
    <w:rsid w:val="009C25D6"/>
    <w:rsid w:val="009C33FB"/>
    <w:rsid w:val="009C3F5B"/>
    <w:rsid w:val="009C404F"/>
    <w:rsid w:val="009C61A9"/>
    <w:rsid w:val="009C746F"/>
    <w:rsid w:val="009C7DD5"/>
    <w:rsid w:val="009D2436"/>
    <w:rsid w:val="009D2FB3"/>
    <w:rsid w:val="009D30C8"/>
    <w:rsid w:val="009D3662"/>
    <w:rsid w:val="009D3DC8"/>
    <w:rsid w:val="009D40F3"/>
    <w:rsid w:val="009D46EE"/>
    <w:rsid w:val="009D4AA6"/>
    <w:rsid w:val="009D5098"/>
    <w:rsid w:val="009D5A76"/>
    <w:rsid w:val="009D6926"/>
    <w:rsid w:val="009D761C"/>
    <w:rsid w:val="009D765E"/>
    <w:rsid w:val="009D7945"/>
    <w:rsid w:val="009D7979"/>
    <w:rsid w:val="009E0AC4"/>
    <w:rsid w:val="009E0E80"/>
    <w:rsid w:val="009E105A"/>
    <w:rsid w:val="009E14A2"/>
    <w:rsid w:val="009E227D"/>
    <w:rsid w:val="009E298E"/>
    <w:rsid w:val="009E2B70"/>
    <w:rsid w:val="009E2C23"/>
    <w:rsid w:val="009E4985"/>
    <w:rsid w:val="009E5019"/>
    <w:rsid w:val="009E569A"/>
    <w:rsid w:val="009E6484"/>
    <w:rsid w:val="009E64BB"/>
    <w:rsid w:val="009E6620"/>
    <w:rsid w:val="009E6F17"/>
    <w:rsid w:val="009E700A"/>
    <w:rsid w:val="009E7070"/>
    <w:rsid w:val="009E78B6"/>
    <w:rsid w:val="009F091E"/>
    <w:rsid w:val="009F0AB8"/>
    <w:rsid w:val="009F1527"/>
    <w:rsid w:val="009F1606"/>
    <w:rsid w:val="009F1A11"/>
    <w:rsid w:val="009F52BC"/>
    <w:rsid w:val="009F5414"/>
    <w:rsid w:val="009F69A9"/>
    <w:rsid w:val="009F6E8A"/>
    <w:rsid w:val="009F70FC"/>
    <w:rsid w:val="009F7760"/>
    <w:rsid w:val="00A00ED0"/>
    <w:rsid w:val="00A010EA"/>
    <w:rsid w:val="00A02543"/>
    <w:rsid w:val="00A02592"/>
    <w:rsid w:val="00A03792"/>
    <w:rsid w:val="00A03D90"/>
    <w:rsid w:val="00A04896"/>
    <w:rsid w:val="00A04C8D"/>
    <w:rsid w:val="00A04F1B"/>
    <w:rsid w:val="00A0501B"/>
    <w:rsid w:val="00A06D9F"/>
    <w:rsid w:val="00A0795A"/>
    <w:rsid w:val="00A10558"/>
    <w:rsid w:val="00A10A92"/>
    <w:rsid w:val="00A10E32"/>
    <w:rsid w:val="00A118D8"/>
    <w:rsid w:val="00A11953"/>
    <w:rsid w:val="00A12360"/>
    <w:rsid w:val="00A124AA"/>
    <w:rsid w:val="00A1364F"/>
    <w:rsid w:val="00A1488E"/>
    <w:rsid w:val="00A14947"/>
    <w:rsid w:val="00A149E7"/>
    <w:rsid w:val="00A14F78"/>
    <w:rsid w:val="00A1610F"/>
    <w:rsid w:val="00A164EC"/>
    <w:rsid w:val="00A16F12"/>
    <w:rsid w:val="00A201D4"/>
    <w:rsid w:val="00A20A56"/>
    <w:rsid w:val="00A20CD8"/>
    <w:rsid w:val="00A21450"/>
    <w:rsid w:val="00A21B4E"/>
    <w:rsid w:val="00A21DBD"/>
    <w:rsid w:val="00A21F50"/>
    <w:rsid w:val="00A22885"/>
    <w:rsid w:val="00A2602E"/>
    <w:rsid w:val="00A310D3"/>
    <w:rsid w:val="00A32A83"/>
    <w:rsid w:val="00A32BA7"/>
    <w:rsid w:val="00A32CF6"/>
    <w:rsid w:val="00A3340B"/>
    <w:rsid w:val="00A341C4"/>
    <w:rsid w:val="00A342DF"/>
    <w:rsid w:val="00A35082"/>
    <w:rsid w:val="00A354F7"/>
    <w:rsid w:val="00A35C59"/>
    <w:rsid w:val="00A368DB"/>
    <w:rsid w:val="00A41794"/>
    <w:rsid w:val="00A42007"/>
    <w:rsid w:val="00A422A6"/>
    <w:rsid w:val="00A42305"/>
    <w:rsid w:val="00A423AA"/>
    <w:rsid w:val="00A43286"/>
    <w:rsid w:val="00A437CB"/>
    <w:rsid w:val="00A43B0A"/>
    <w:rsid w:val="00A4433F"/>
    <w:rsid w:val="00A44DF1"/>
    <w:rsid w:val="00A45B20"/>
    <w:rsid w:val="00A45D42"/>
    <w:rsid w:val="00A46958"/>
    <w:rsid w:val="00A47A06"/>
    <w:rsid w:val="00A504E9"/>
    <w:rsid w:val="00A50A43"/>
    <w:rsid w:val="00A50CB3"/>
    <w:rsid w:val="00A50CDB"/>
    <w:rsid w:val="00A52893"/>
    <w:rsid w:val="00A53EC6"/>
    <w:rsid w:val="00A5467A"/>
    <w:rsid w:val="00A552D2"/>
    <w:rsid w:val="00A55C0F"/>
    <w:rsid w:val="00A571F1"/>
    <w:rsid w:val="00A572D0"/>
    <w:rsid w:val="00A60F14"/>
    <w:rsid w:val="00A617F8"/>
    <w:rsid w:val="00A625F7"/>
    <w:rsid w:val="00A627C5"/>
    <w:rsid w:val="00A6361A"/>
    <w:rsid w:val="00A63668"/>
    <w:rsid w:val="00A63A73"/>
    <w:rsid w:val="00A63D8C"/>
    <w:rsid w:val="00A648DC"/>
    <w:rsid w:val="00A6530B"/>
    <w:rsid w:val="00A660D0"/>
    <w:rsid w:val="00A66577"/>
    <w:rsid w:val="00A665CB"/>
    <w:rsid w:val="00A66F89"/>
    <w:rsid w:val="00A672D2"/>
    <w:rsid w:val="00A73064"/>
    <w:rsid w:val="00A73860"/>
    <w:rsid w:val="00A7465B"/>
    <w:rsid w:val="00A7634A"/>
    <w:rsid w:val="00A77048"/>
    <w:rsid w:val="00A77420"/>
    <w:rsid w:val="00A813C8"/>
    <w:rsid w:val="00A81BC4"/>
    <w:rsid w:val="00A83729"/>
    <w:rsid w:val="00A83918"/>
    <w:rsid w:val="00A842F7"/>
    <w:rsid w:val="00A86892"/>
    <w:rsid w:val="00A86E07"/>
    <w:rsid w:val="00A8713F"/>
    <w:rsid w:val="00A87A60"/>
    <w:rsid w:val="00A90379"/>
    <w:rsid w:val="00A90A78"/>
    <w:rsid w:val="00A90BA1"/>
    <w:rsid w:val="00A91024"/>
    <w:rsid w:val="00A91295"/>
    <w:rsid w:val="00A91488"/>
    <w:rsid w:val="00A91995"/>
    <w:rsid w:val="00A91EC5"/>
    <w:rsid w:val="00A936BA"/>
    <w:rsid w:val="00A936DC"/>
    <w:rsid w:val="00A93EF7"/>
    <w:rsid w:val="00A9636F"/>
    <w:rsid w:val="00A963AD"/>
    <w:rsid w:val="00A965FA"/>
    <w:rsid w:val="00A97A60"/>
    <w:rsid w:val="00A97A9A"/>
    <w:rsid w:val="00A97EC8"/>
    <w:rsid w:val="00AA05B7"/>
    <w:rsid w:val="00AA0671"/>
    <w:rsid w:val="00AA0A8A"/>
    <w:rsid w:val="00AA16A5"/>
    <w:rsid w:val="00AA230B"/>
    <w:rsid w:val="00AA2531"/>
    <w:rsid w:val="00AA3220"/>
    <w:rsid w:val="00AA649F"/>
    <w:rsid w:val="00AA6A7E"/>
    <w:rsid w:val="00AA6F7D"/>
    <w:rsid w:val="00AA7D88"/>
    <w:rsid w:val="00AB17C5"/>
    <w:rsid w:val="00AB1E09"/>
    <w:rsid w:val="00AB3100"/>
    <w:rsid w:val="00AB38F3"/>
    <w:rsid w:val="00AB3AB9"/>
    <w:rsid w:val="00AB3CB7"/>
    <w:rsid w:val="00AB4967"/>
    <w:rsid w:val="00AB50DF"/>
    <w:rsid w:val="00AB5330"/>
    <w:rsid w:val="00AB5A04"/>
    <w:rsid w:val="00AB7747"/>
    <w:rsid w:val="00AB7937"/>
    <w:rsid w:val="00AB7C42"/>
    <w:rsid w:val="00AB7E03"/>
    <w:rsid w:val="00AC063F"/>
    <w:rsid w:val="00AC0966"/>
    <w:rsid w:val="00AC0A3B"/>
    <w:rsid w:val="00AC0A83"/>
    <w:rsid w:val="00AC14CE"/>
    <w:rsid w:val="00AC1826"/>
    <w:rsid w:val="00AC1BF6"/>
    <w:rsid w:val="00AC2312"/>
    <w:rsid w:val="00AC2A56"/>
    <w:rsid w:val="00AC3B5E"/>
    <w:rsid w:val="00AC3D78"/>
    <w:rsid w:val="00AC4175"/>
    <w:rsid w:val="00AC4F5B"/>
    <w:rsid w:val="00AC516E"/>
    <w:rsid w:val="00AC5594"/>
    <w:rsid w:val="00AD055E"/>
    <w:rsid w:val="00AD19C3"/>
    <w:rsid w:val="00AD1DB4"/>
    <w:rsid w:val="00AD2017"/>
    <w:rsid w:val="00AD26A5"/>
    <w:rsid w:val="00AD2EDA"/>
    <w:rsid w:val="00AD319A"/>
    <w:rsid w:val="00AD3688"/>
    <w:rsid w:val="00AD3BCA"/>
    <w:rsid w:val="00AD3DE1"/>
    <w:rsid w:val="00AD4037"/>
    <w:rsid w:val="00AD4233"/>
    <w:rsid w:val="00AD47A7"/>
    <w:rsid w:val="00AD487D"/>
    <w:rsid w:val="00AD4B1A"/>
    <w:rsid w:val="00AD4CF6"/>
    <w:rsid w:val="00AD51B2"/>
    <w:rsid w:val="00AD53E7"/>
    <w:rsid w:val="00AD5928"/>
    <w:rsid w:val="00AD5AF7"/>
    <w:rsid w:val="00AD652B"/>
    <w:rsid w:val="00AD6576"/>
    <w:rsid w:val="00AD7306"/>
    <w:rsid w:val="00AD7707"/>
    <w:rsid w:val="00AE01B1"/>
    <w:rsid w:val="00AE1878"/>
    <w:rsid w:val="00AE384C"/>
    <w:rsid w:val="00AE43D4"/>
    <w:rsid w:val="00AE44CA"/>
    <w:rsid w:val="00AE5471"/>
    <w:rsid w:val="00AE56BA"/>
    <w:rsid w:val="00AE66F1"/>
    <w:rsid w:val="00AE7433"/>
    <w:rsid w:val="00AF03DE"/>
    <w:rsid w:val="00AF06C7"/>
    <w:rsid w:val="00AF0CBF"/>
    <w:rsid w:val="00AF0D4F"/>
    <w:rsid w:val="00AF257F"/>
    <w:rsid w:val="00AF2E39"/>
    <w:rsid w:val="00AF2E76"/>
    <w:rsid w:val="00AF33CF"/>
    <w:rsid w:val="00AF40EC"/>
    <w:rsid w:val="00AF4422"/>
    <w:rsid w:val="00AF4501"/>
    <w:rsid w:val="00AF4AE9"/>
    <w:rsid w:val="00AF4BC0"/>
    <w:rsid w:val="00AF4D50"/>
    <w:rsid w:val="00AF4D5C"/>
    <w:rsid w:val="00AF4DD0"/>
    <w:rsid w:val="00AF4E3A"/>
    <w:rsid w:val="00AF5920"/>
    <w:rsid w:val="00AF5B83"/>
    <w:rsid w:val="00AF5FC5"/>
    <w:rsid w:val="00AF6179"/>
    <w:rsid w:val="00AF64EA"/>
    <w:rsid w:val="00B00211"/>
    <w:rsid w:val="00B00A5B"/>
    <w:rsid w:val="00B0193F"/>
    <w:rsid w:val="00B02774"/>
    <w:rsid w:val="00B02CB1"/>
    <w:rsid w:val="00B02DDE"/>
    <w:rsid w:val="00B030C7"/>
    <w:rsid w:val="00B0339E"/>
    <w:rsid w:val="00B0452C"/>
    <w:rsid w:val="00B04FB0"/>
    <w:rsid w:val="00B050EB"/>
    <w:rsid w:val="00B051D7"/>
    <w:rsid w:val="00B0537F"/>
    <w:rsid w:val="00B06A56"/>
    <w:rsid w:val="00B07777"/>
    <w:rsid w:val="00B07D99"/>
    <w:rsid w:val="00B07F32"/>
    <w:rsid w:val="00B10F62"/>
    <w:rsid w:val="00B1189B"/>
    <w:rsid w:val="00B11F0C"/>
    <w:rsid w:val="00B11F7E"/>
    <w:rsid w:val="00B1295A"/>
    <w:rsid w:val="00B129A2"/>
    <w:rsid w:val="00B13F3E"/>
    <w:rsid w:val="00B14870"/>
    <w:rsid w:val="00B14B4B"/>
    <w:rsid w:val="00B14C3F"/>
    <w:rsid w:val="00B1508F"/>
    <w:rsid w:val="00B16C95"/>
    <w:rsid w:val="00B17B51"/>
    <w:rsid w:val="00B20370"/>
    <w:rsid w:val="00B20530"/>
    <w:rsid w:val="00B20A45"/>
    <w:rsid w:val="00B224B9"/>
    <w:rsid w:val="00B22C5C"/>
    <w:rsid w:val="00B2315D"/>
    <w:rsid w:val="00B232F5"/>
    <w:rsid w:val="00B24F30"/>
    <w:rsid w:val="00B2517F"/>
    <w:rsid w:val="00B26310"/>
    <w:rsid w:val="00B266BE"/>
    <w:rsid w:val="00B275A1"/>
    <w:rsid w:val="00B300B9"/>
    <w:rsid w:val="00B303E3"/>
    <w:rsid w:val="00B309AB"/>
    <w:rsid w:val="00B31295"/>
    <w:rsid w:val="00B31ABF"/>
    <w:rsid w:val="00B33BE3"/>
    <w:rsid w:val="00B33D68"/>
    <w:rsid w:val="00B356AA"/>
    <w:rsid w:val="00B363B1"/>
    <w:rsid w:val="00B37A9E"/>
    <w:rsid w:val="00B37D9E"/>
    <w:rsid w:val="00B409FF"/>
    <w:rsid w:val="00B40E6B"/>
    <w:rsid w:val="00B418E0"/>
    <w:rsid w:val="00B435A0"/>
    <w:rsid w:val="00B445E4"/>
    <w:rsid w:val="00B4478F"/>
    <w:rsid w:val="00B45890"/>
    <w:rsid w:val="00B45A68"/>
    <w:rsid w:val="00B45EB9"/>
    <w:rsid w:val="00B45FD5"/>
    <w:rsid w:val="00B474DB"/>
    <w:rsid w:val="00B47657"/>
    <w:rsid w:val="00B47A08"/>
    <w:rsid w:val="00B5067E"/>
    <w:rsid w:val="00B51C12"/>
    <w:rsid w:val="00B5209F"/>
    <w:rsid w:val="00B5226D"/>
    <w:rsid w:val="00B5242E"/>
    <w:rsid w:val="00B52C16"/>
    <w:rsid w:val="00B535AB"/>
    <w:rsid w:val="00B53B5D"/>
    <w:rsid w:val="00B54698"/>
    <w:rsid w:val="00B54B01"/>
    <w:rsid w:val="00B54D8C"/>
    <w:rsid w:val="00B54F67"/>
    <w:rsid w:val="00B55739"/>
    <w:rsid w:val="00B568C8"/>
    <w:rsid w:val="00B5704F"/>
    <w:rsid w:val="00B57B55"/>
    <w:rsid w:val="00B6055E"/>
    <w:rsid w:val="00B61471"/>
    <w:rsid w:val="00B6206D"/>
    <w:rsid w:val="00B62127"/>
    <w:rsid w:val="00B622E9"/>
    <w:rsid w:val="00B6293E"/>
    <w:rsid w:val="00B6317D"/>
    <w:rsid w:val="00B63F5D"/>
    <w:rsid w:val="00B64D8B"/>
    <w:rsid w:val="00B652EA"/>
    <w:rsid w:val="00B659E7"/>
    <w:rsid w:val="00B66164"/>
    <w:rsid w:val="00B66D44"/>
    <w:rsid w:val="00B674A0"/>
    <w:rsid w:val="00B70AF7"/>
    <w:rsid w:val="00B70E14"/>
    <w:rsid w:val="00B71699"/>
    <w:rsid w:val="00B73023"/>
    <w:rsid w:val="00B738CF"/>
    <w:rsid w:val="00B748A7"/>
    <w:rsid w:val="00B74F0D"/>
    <w:rsid w:val="00B75A3E"/>
    <w:rsid w:val="00B76D80"/>
    <w:rsid w:val="00B77122"/>
    <w:rsid w:val="00B771A3"/>
    <w:rsid w:val="00B7723F"/>
    <w:rsid w:val="00B77739"/>
    <w:rsid w:val="00B77889"/>
    <w:rsid w:val="00B803D6"/>
    <w:rsid w:val="00B80534"/>
    <w:rsid w:val="00B8100F"/>
    <w:rsid w:val="00B82E49"/>
    <w:rsid w:val="00B8380D"/>
    <w:rsid w:val="00B83B1E"/>
    <w:rsid w:val="00B8433C"/>
    <w:rsid w:val="00B843F4"/>
    <w:rsid w:val="00B84C86"/>
    <w:rsid w:val="00B86F94"/>
    <w:rsid w:val="00B87491"/>
    <w:rsid w:val="00B91449"/>
    <w:rsid w:val="00B919EF"/>
    <w:rsid w:val="00B922DC"/>
    <w:rsid w:val="00B93B4F"/>
    <w:rsid w:val="00B93F3A"/>
    <w:rsid w:val="00B955B0"/>
    <w:rsid w:val="00B958A6"/>
    <w:rsid w:val="00B95ECF"/>
    <w:rsid w:val="00B9740D"/>
    <w:rsid w:val="00BA0877"/>
    <w:rsid w:val="00BA0B34"/>
    <w:rsid w:val="00BA0BE3"/>
    <w:rsid w:val="00BA109E"/>
    <w:rsid w:val="00BA29E9"/>
    <w:rsid w:val="00BA4516"/>
    <w:rsid w:val="00BA4714"/>
    <w:rsid w:val="00BA6C32"/>
    <w:rsid w:val="00BA6E20"/>
    <w:rsid w:val="00BA7142"/>
    <w:rsid w:val="00BA7258"/>
    <w:rsid w:val="00BA7AFF"/>
    <w:rsid w:val="00BB01A2"/>
    <w:rsid w:val="00BB0E29"/>
    <w:rsid w:val="00BB1646"/>
    <w:rsid w:val="00BB18EC"/>
    <w:rsid w:val="00BB1B7D"/>
    <w:rsid w:val="00BB237C"/>
    <w:rsid w:val="00BB2D17"/>
    <w:rsid w:val="00BB31D4"/>
    <w:rsid w:val="00BB41A3"/>
    <w:rsid w:val="00BB457B"/>
    <w:rsid w:val="00BB50FC"/>
    <w:rsid w:val="00BB5227"/>
    <w:rsid w:val="00BB7264"/>
    <w:rsid w:val="00BB7D18"/>
    <w:rsid w:val="00BC018F"/>
    <w:rsid w:val="00BC09C1"/>
    <w:rsid w:val="00BC0D4D"/>
    <w:rsid w:val="00BC143E"/>
    <w:rsid w:val="00BC1E76"/>
    <w:rsid w:val="00BC1F44"/>
    <w:rsid w:val="00BC1FFF"/>
    <w:rsid w:val="00BC32DC"/>
    <w:rsid w:val="00BC338F"/>
    <w:rsid w:val="00BC35B6"/>
    <w:rsid w:val="00BC37ED"/>
    <w:rsid w:val="00BC3E46"/>
    <w:rsid w:val="00BC6561"/>
    <w:rsid w:val="00BD0192"/>
    <w:rsid w:val="00BD0AF0"/>
    <w:rsid w:val="00BD1299"/>
    <w:rsid w:val="00BD1907"/>
    <w:rsid w:val="00BD1B51"/>
    <w:rsid w:val="00BD24E8"/>
    <w:rsid w:val="00BD2E47"/>
    <w:rsid w:val="00BD354B"/>
    <w:rsid w:val="00BD364F"/>
    <w:rsid w:val="00BD4596"/>
    <w:rsid w:val="00BD4A19"/>
    <w:rsid w:val="00BD4AA8"/>
    <w:rsid w:val="00BD52C2"/>
    <w:rsid w:val="00BD5C61"/>
    <w:rsid w:val="00BD6087"/>
    <w:rsid w:val="00BD6EE4"/>
    <w:rsid w:val="00BD7026"/>
    <w:rsid w:val="00BD7037"/>
    <w:rsid w:val="00BD72F9"/>
    <w:rsid w:val="00BD7463"/>
    <w:rsid w:val="00BD7A73"/>
    <w:rsid w:val="00BE029C"/>
    <w:rsid w:val="00BE06ED"/>
    <w:rsid w:val="00BE0E4B"/>
    <w:rsid w:val="00BE10B6"/>
    <w:rsid w:val="00BE10B9"/>
    <w:rsid w:val="00BE12E1"/>
    <w:rsid w:val="00BE13E7"/>
    <w:rsid w:val="00BE1405"/>
    <w:rsid w:val="00BE1AE4"/>
    <w:rsid w:val="00BE22E6"/>
    <w:rsid w:val="00BE27B1"/>
    <w:rsid w:val="00BE3023"/>
    <w:rsid w:val="00BE312D"/>
    <w:rsid w:val="00BE338E"/>
    <w:rsid w:val="00BE40ED"/>
    <w:rsid w:val="00BE5332"/>
    <w:rsid w:val="00BE6E46"/>
    <w:rsid w:val="00BF0A00"/>
    <w:rsid w:val="00BF0BC7"/>
    <w:rsid w:val="00BF12D5"/>
    <w:rsid w:val="00BF143A"/>
    <w:rsid w:val="00BF1C20"/>
    <w:rsid w:val="00BF1C37"/>
    <w:rsid w:val="00BF2258"/>
    <w:rsid w:val="00BF3AC7"/>
    <w:rsid w:val="00BF3D00"/>
    <w:rsid w:val="00BF3DC0"/>
    <w:rsid w:val="00BF3E60"/>
    <w:rsid w:val="00BF43E0"/>
    <w:rsid w:val="00BF4F46"/>
    <w:rsid w:val="00BF4FF7"/>
    <w:rsid w:val="00BF606C"/>
    <w:rsid w:val="00BF66D4"/>
    <w:rsid w:val="00C0186C"/>
    <w:rsid w:val="00C0314F"/>
    <w:rsid w:val="00C03AAA"/>
    <w:rsid w:val="00C04A21"/>
    <w:rsid w:val="00C04E2A"/>
    <w:rsid w:val="00C05954"/>
    <w:rsid w:val="00C05E6E"/>
    <w:rsid w:val="00C06C02"/>
    <w:rsid w:val="00C06EE8"/>
    <w:rsid w:val="00C10578"/>
    <w:rsid w:val="00C10A98"/>
    <w:rsid w:val="00C11297"/>
    <w:rsid w:val="00C11928"/>
    <w:rsid w:val="00C12453"/>
    <w:rsid w:val="00C12709"/>
    <w:rsid w:val="00C135BC"/>
    <w:rsid w:val="00C14CE4"/>
    <w:rsid w:val="00C15778"/>
    <w:rsid w:val="00C15C95"/>
    <w:rsid w:val="00C15F1E"/>
    <w:rsid w:val="00C21972"/>
    <w:rsid w:val="00C22576"/>
    <w:rsid w:val="00C227D4"/>
    <w:rsid w:val="00C229A7"/>
    <w:rsid w:val="00C24492"/>
    <w:rsid w:val="00C25775"/>
    <w:rsid w:val="00C2596A"/>
    <w:rsid w:val="00C25E6F"/>
    <w:rsid w:val="00C27537"/>
    <w:rsid w:val="00C27BF5"/>
    <w:rsid w:val="00C27C06"/>
    <w:rsid w:val="00C301B2"/>
    <w:rsid w:val="00C328FE"/>
    <w:rsid w:val="00C32C66"/>
    <w:rsid w:val="00C32E27"/>
    <w:rsid w:val="00C33078"/>
    <w:rsid w:val="00C331B3"/>
    <w:rsid w:val="00C33507"/>
    <w:rsid w:val="00C3576A"/>
    <w:rsid w:val="00C35939"/>
    <w:rsid w:val="00C36366"/>
    <w:rsid w:val="00C36A07"/>
    <w:rsid w:val="00C376FF"/>
    <w:rsid w:val="00C40E35"/>
    <w:rsid w:val="00C4409D"/>
    <w:rsid w:val="00C44426"/>
    <w:rsid w:val="00C44E72"/>
    <w:rsid w:val="00C44FC1"/>
    <w:rsid w:val="00C4513F"/>
    <w:rsid w:val="00C4584F"/>
    <w:rsid w:val="00C45A06"/>
    <w:rsid w:val="00C461EB"/>
    <w:rsid w:val="00C46543"/>
    <w:rsid w:val="00C4680E"/>
    <w:rsid w:val="00C47799"/>
    <w:rsid w:val="00C47E5B"/>
    <w:rsid w:val="00C50523"/>
    <w:rsid w:val="00C52000"/>
    <w:rsid w:val="00C5210D"/>
    <w:rsid w:val="00C53916"/>
    <w:rsid w:val="00C53F67"/>
    <w:rsid w:val="00C5425F"/>
    <w:rsid w:val="00C545E0"/>
    <w:rsid w:val="00C55126"/>
    <w:rsid w:val="00C554BF"/>
    <w:rsid w:val="00C571DD"/>
    <w:rsid w:val="00C6027A"/>
    <w:rsid w:val="00C6046B"/>
    <w:rsid w:val="00C604D1"/>
    <w:rsid w:val="00C60845"/>
    <w:rsid w:val="00C614C4"/>
    <w:rsid w:val="00C619D3"/>
    <w:rsid w:val="00C61E4B"/>
    <w:rsid w:val="00C62A05"/>
    <w:rsid w:val="00C63E47"/>
    <w:rsid w:val="00C644F2"/>
    <w:rsid w:val="00C64BFF"/>
    <w:rsid w:val="00C65B5F"/>
    <w:rsid w:val="00C66856"/>
    <w:rsid w:val="00C66D7E"/>
    <w:rsid w:val="00C67867"/>
    <w:rsid w:val="00C704E9"/>
    <w:rsid w:val="00C71765"/>
    <w:rsid w:val="00C736B6"/>
    <w:rsid w:val="00C73D47"/>
    <w:rsid w:val="00C746AC"/>
    <w:rsid w:val="00C75444"/>
    <w:rsid w:val="00C75DA9"/>
    <w:rsid w:val="00C75ECC"/>
    <w:rsid w:val="00C763C9"/>
    <w:rsid w:val="00C77A6C"/>
    <w:rsid w:val="00C80057"/>
    <w:rsid w:val="00C801F4"/>
    <w:rsid w:val="00C81672"/>
    <w:rsid w:val="00C82232"/>
    <w:rsid w:val="00C8254E"/>
    <w:rsid w:val="00C82913"/>
    <w:rsid w:val="00C83775"/>
    <w:rsid w:val="00C83C24"/>
    <w:rsid w:val="00C84E9B"/>
    <w:rsid w:val="00C859BE"/>
    <w:rsid w:val="00C8622F"/>
    <w:rsid w:val="00C8625A"/>
    <w:rsid w:val="00C86274"/>
    <w:rsid w:val="00C87793"/>
    <w:rsid w:val="00C906F7"/>
    <w:rsid w:val="00C90830"/>
    <w:rsid w:val="00C9107C"/>
    <w:rsid w:val="00C91634"/>
    <w:rsid w:val="00C9284D"/>
    <w:rsid w:val="00C9315D"/>
    <w:rsid w:val="00C9372C"/>
    <w:rsid w:val="00C9432E"/>
    <w:rsid w:val="00C950A2"/>
    <w:rsid w:val="00C95909"/>
    <w:rsid w:val="00C9643C"/>
    <w:rsid w:val="00C96EFC"/>
    <w:rsid w:val="00C972B1"/>
    <w:rsid w:val="00C97640"/>
    <w:rsid w:val="00C9798F"/>
    <w:rsid w:val="00C97DA0"/>
    <w:rsid w:val="00C97DAA"/>
    <w:rsid w:val="00CA09C0"/>
    <w:rsid w:val="00CA1192"/>
    <w:rsid w:val="00CA21D0"/>
    <w:rsid w:val="00CA23A7"/>
    <w:rsid w:val="00CA2644"/>
    <w:rsid w:val="00CA2CCE"/>
    <w:rsid w:val="00CA439C"/>
    <w:rsid w:val="00CA43FD"/>
    <w:rsid w:val="00CA4AF9"/>
    <w:rsid w:val="00CA4B2F"/>
    <w:rsid w:val="00CA4E9F"/>
    <w:rsid w:val="00CA5D79"/>
    <w:rsid w:val="00CA6D5B"/>
    <w:rsid w:val="00CA7D9D"/>
    <w:rsid w:val="00CA7EF8"/>
    <w:rsid w:val="00CA7F01"/>
    <w:rsid w:val="00CA7F06"/>
    <w:rsid w:val="00CB1471"/>
    <w:rsid w:val="00CB26E8"/>
    <w:rsid w:val="00CB3EA0"/>
    <w:rsid w:val="00CB405F"/>
    <w:rsid w:val="00CB4EC3"/>
    <w:rsid w:val="00CB66C2"/>
    <w:rsid w:val="00CB7111"/>
    <w:rsid w:val="00CB717F"/>
    <w:rsid w:val="00CB75C5"/>
    <w:rsid w:val="00CC06F6"/>
    <w:rsid w:val="00CC3254"/>
    <w:rsid w:val="00CC429E"/>
    <w:rsid w:val="00CC42A9"/>
    <w:rsid w:val="00CC489B"/>
    <w:rsid w:val="00CC4FAF"/>
    <w:rsid w:val="00CC5C22"/>
    <w:rsid w:val="00CC6753"/>
    <w:rsid w:val="00CC6DE1"/>
    <w:rsid w:val="00CC6EC9"/>
    <w:rsid w:val="00CD0164"/>
    <w:rsid w:val="00CD0E77"/>
    <w:rsid w:val="00CD1677"/>
    <w:rsid w:val="00CD1D61"/>
    <w:rsid w:val="00CD295E"/>
    <w:rsid w:val="00CD2BCD"/>
    <w:rsid w:val="00CD320B"/>
    <w:rsid w:val="00CD3564"/>
    <w:rsid w:val="00CD3A4C"/>
    <w:rsid w:val="00CD4071"/>
    <w:rsid w:val="00CD457A"/>
    <w:rsid w:val="00CD5191"/>
    <w:rsid w:val="00CD7003"/>
    <w:rsid w:val="00CD791D"/>
    <w:rsid w:val="00CD7B2C"/>
    <w:rsid w:val="00CE031D"/>
    <w:rsid w:val="00CE0A26"/>
    <w:rsid w:val="00CE10E9"/>
    <w:rsid w:val="00CE1571"/>
    <w:rsid w:val="00CE15C6"/>
    <w:rsid w:val="00CE19DF"/>
    <w:rsid w:val="00CE24E6"/>
    <w:rsid w:val="00CE2910"/>
    <w:rsid w:val="00CE3A97"/>
    <w:rsid w:val="00CE3F95"/>
    <w:rsid w:val="00CE4595"/>
    <w:rsid w:val="00CE5393"/>
    <w:rsid w:val="00CE6383"/>
    <w:rsid w:val="00CE648D"/>
    <w:rsid w:val="00CE6625"/>
    <w:rsid w:val="00CF020D"/>
    <w:rsid w:val="00CF1DE4"/>
    <w:rsid w:val="00CF1F53"/>
    <w:rsid w:val="00CF36BE"/>
    <w:rsid w:val="00CF38B4"/>
    <w:rsid w:val="00CF415B"/>
    <w:rsid w:val="00CF51E5"/>
    <w:rsid w:val="00CF5BEF"/>
    <w:rsid w:val="00CF5F4A"/>
    <w:rsid w:val="00CF6000"/>
    <w:rsid w:val="00CF6C69"/>
    <w:rsid w:val="00CF7692"/>
    <w:rsid w:val="00CF7BDA"/>
    <w:rsid w:val="00CF7CA7"/>
    <w:rsid w:val="00D003F3"/>
    <w:rsid w:val="00D012BD"/>
    <w:rsid w:val="00D018B3"/>
    <w:rsid w:val="00D01973"/>
    <w:rsid w:val="00D03357"/>
    <w:rsid w:val="00D0351A"/>
    <w:rsid w:val="00D0364F"/>
    <w:rsid w:val="00D03FA4"/>
    <w:rsid w:val="00D04F29"/>
    <w:rsid w:val="00D05630"/>
    <w:rsid w:val="00D05695"/>
    <w:rsid w:val="00D0609F"/>
    <w:rsid w:val="00D06834"/>
    <w:rsid w:val="00D07408"/>
    <w:rsid w:val="00D0745E"/>
    <w:rsid w:val="00D07BEB"/>
    <w:rsid w:val="00D102AC"/>
    <w:rsid w:val="00D1156B"/>
    <w:rsid w:val="00D13873"/>
    <w:rsid w:val="00D13A29"/>
    <w:rsid w:val="00D14014"/>
    <w:rsid w:val="00D14F23"/>
    <w:rsid w:val="00D154CA"/>
    <w:rsid w:val="00D164AD"/>
    <w:rsid w:val="00D1661D"/>
    <w:rsid w:val="00D16B38"/>
    <w:rsid w:val="00D16DC1"/>
    <w:rsid w:val="00D1758B"/>
    <w:rsid w:val="00D176C9"/>
    <w:rsid w:val="00D205D3"/>
    <w:rsid w:val="00D20C56"/>
    <w:rsid w:val="00D21A01"/>
    <w:rsid w:val="00D21C38"/>
    <w:rsid w:val="00D22236"/>
    <w:rsid w:val="00D22AF6"/>
    <w:rsid w:val="00D22F95"/>
    <w:rsid w:val="00D2405B"/>
    <w:rsid w:val="00D25272"/>
    <w:rsid w:val="00D252DE"/>
    <w:rsid w:val="00D25454"/>
    <w:rsid w:val="00D2683F"/>
    <w:rsid w:val="00D270DE"/>
    <w:rsid w:val="00D273D0"/>
    <w:rsid w:val="00D27DD5"/>
    <w:rsid w:val="00D27FF5"/>
    <w:rsid w:val="00D300AB"/>
    <w:rsid w:val="00D3028D"/>
    <w:rsid w:val="00D308ED"/>
    <w:rsid w:val="00D32172"/>
    <w:rsid w:val="00D32A3C"/>
    <w:rsid w:val="00D32CBB"/>
    <w:rsid w:val="00D32F1E"/>
    <w:rsid w:val="00D33652"/>
    <w:rsid w:val="00D336DA"/>
    <w:rsid w:val="00D33ED2"/>
    <w:rsid w:val="00D3460F"/>
    <w:rsid w:val="00D3684E"/>
    <w:rsid w:val="00D36D86"/>
    <w:rsid w:val="00D36DB1"/>
    <w:rsid w:val="00D37A8F"/>
    <w:rsid w:val="00D37B9A"/>
    <w:rsid w:val="00D40BD6"/>
    <w:rsid w:val="00D419BE"/>
    <w:rsid w:val="00D41B34"/>
    <w:rsid w:val="00D425D6"/>
    <w:rsid w:val="00D428AA"/>
    <w:rsid w:val="00D42E58"/>
    <w:rsid w:val="00D4317E"/>
    <w:rsid w:val="00D43BC2"/>
    <w:rsid w:val="00D43EB2"/>
    <w:rsid w:val="00D442B3"/>
    <w:rsid w:val="00D4561E"/>
    <w:rsid w:val="00D47009"/>
    <w:rsid w:val="00D4734A"/>
    <w:rsid w:val="00D47744"/>
    <w:rsid w:val="00D50A34"/>
    <w:rsid w:val="00D51FEB"/>
    <w:rsid w:val="00D526C5"/>
    <w:rsid w:val="00D526CF"/>
    <w:rsid w:val="00D52AB8"/>
    <w:rsid w:val="00D52BC1"/>
    <w:rsid w:val="00D52E9B"/>
    <w:rsid w:val="00D535C8"/>
    <w:rsid w:val="00D53BC6"/>
    <w:rsid w:val="00D53EFA"/>
    <w:rsid w:val="00D5567D"/>
    <w:rsid w:val="00D55755"/>
    <w:rsid w:val="00D559A9"/>
    <w:rsid w:val="00D56131"/>
    <w:rsid w:val="00D567F2"/>
    <w:rsid w:val="00D56A00"/>
    <w:rsid w:val="00D56C0B"/>
    <w:rsid w:val="00D56EF7"/>
    <w:rsid w:val="00D57C83"/>
    <w:rsid w:val="00D600F9"/>
    <w:rsid w:val="00D6170E"/>
    <w:rsid w:val="00D63769"/>
    <w:rsid w:val="00D657BE"/>
    <w:rsid w:val="00D65CA0"/>
    <w:rsid w:val="00D6702A"/>
    <w:rsid w:val="00D6780D"/>
    <w:rsid w:val="00D71A08"/>
    <w:rsid w:val="00D71BB4"/>
    <w:rsid w:val="00D72B27"/>
    <w:rsid w:val="00D735A9"/>
    <w:rsid w:val="00D739F1"/>
    <w:rsid w:val="00D73A6C"/>
    <w:rsid w:val="00D73FB7"/>
    <w:rsid w:val="00D7562A"/>
    <w:rsid w:val="00D75760"/>
    <w:rsid w:val="00D75B23"/>
    <w:rsid w:val="00D75C6F"/>
    <w:rsid w:val="00D75CA6"/>
    <w:rsid w:val="00D7631B"/>
    <w:rsid w:val="00D76851"/>
    <w:rsid w:val="00D76AAF"/>
    <w:rsid w:val="00D772D0"/>
    <w:rsid w:val="00D80419"/>
    <w:rsid w:val="00D81A98"/>
    <w:rsid w:val="00D81CF2"/>
    <w:rsid w:val="00D827B3"/>
    <w:rsid w:val="00D82B1D"/>
    <w:rsid w:val="00D83074"/>
    <w:rsid w:val="00D8397D"/>
    <w:rsid w:val="00D83D11"/>
    <w:rsid w:val="00D84084"/>
    <w:rsid w:val="00D84738"/>
    <w:rsid w:val="00D8537E"/>
    <w:rsid w:val="00D855EF"/>
    <w:rsid w:val="00D85C24"/>
    <w:rsid w:val="00D86804"/>
    <w:rsid w:val="00D870E1"/>
    <w:rsid w:val="00D879B6"/>
    <w:rsid w:val="00D87A9E"/>
    <w:rsid w:val="00D90385"/>
    <w:rsid w:val="00D90386"/>
    <w:rsid w:val="00D90708"/>
    <w:rsid w:val="00D90780"/>
    <w:rsid w:val="00D91205"/>
    <w:rsid w:val="00D91436"/>
    <w:rsid w:val="00D91608"/>
    <w:rsid w:val="00D91A9A"/>
    <w:rsid w:val="00D92ABB"/>
    <w:rsid w:val="00D93016"/>
    <w:rsid w:val="00D9491B"/>
    <w:rsid w:val="00D949E4"/>
    <w:rsid w:val="00D94A7C"/>
    <w:rsid w:val="00D94ED5"/>
    <w:rsid w:val="00D95896"/>
    <w:rsid w:val="00D95CB9"/>
    <w:rsid w:val="00D95F42"/>
    <w:rsid w:val="00D965BF"/>
    <w:rsid w:val="00D977F2"/>
    <w:rsid w:val="00DA0BF9"/>
    <w:rsid w:val="00DA0C46"/>
    <w:rsid w:val="00DA10AD"/>
    <w:rsid w:val="00DA1691"/>
    <w:rsid w:val="00DA23BB"/>
    <w:rsid w:val="00DA240B"/>
    <w:rsid w:val="00DA27EB"/>
    <w:rsid w:val="00DA2F07"/>
    <w:rsid w:val="00DA37AD"/>
    <w:rsid w:val="00DA3CEA"/>
    <w:rsid w:val="00DA4EC0"/>
    <w:rsid w:val="00DA5212"/>
    <w:rsid w:val="00DA596E"/>
    <w:rsid w:val="00DA5C79"/>
    <w:rsid w:val="00DA6C40"/>
    <w:rsid w:val="00DA762D"/>
    <w:rsid w:val="00DB0C47"/>
    <w:rsid w:val="00DB155D"/>
    <w:rsid w:val="00DB1F55"/>
    <w:rsid w:val="00DB2983"/>
    <w:rsid w:val="00DB3892"/>
    <w:rsid w:val="00DB39E6"/>
    <w:rsid w:val="00DB4320"/>
    <w:rsid w:val="00DB45E5"/>
    <w:rsid w:val="00DB515B"/>
    <w:rsid w:val="00DB537A"/>
    <w:rsid w:val="00DB6A8E"/>
    <w:rsid w:val="00DB6C98"/>
    <w:rsid w:val="00DB73A4"/>
    <w:rsid w:val="00DB7897"/>
    <w:rsid w:val="00DB7BC7"/>
    <w:rsid w:val="00DC1257"/>
    <w:rsid w:val="00DC228E"/>
    <w:rsid w:val="00DC2F28"/>
    <w:rsid w:val="00DC2FDE"/>
    <w:rsid w:val="00DC3DC0"/>
    <w:rsid w:val="00DC4C7F"/>
    <w:rsid w:val="00DC4D76"/>
    <w:rsid w:val="00DC4FFE"/>
    <w:rsid w:val="00DC5619"/>
    <w:rsid w:val="00DC5B2B"/>
    <w:rsid w:val="00DC6125"/>
    <w:rsid w:val="00DC67CB"/>
    <w:rsid w:val="00DD0A90"/>
    <w:rsid w:val="00DD28B7"/>
    <w:rsid w:val="00DD2B91"/>
    <w:rsid w:val="00DD318D"/>
    <w:rsid w:val="00DD3A1B"/>
    <w:rsid w:val="00DD3EF2"/>
    <w:rsid w:val="00DD4FE4"/>
    <w:rsid w:val="00DD5FC8"/>
    <w:rsid w:val="00DD6D76"/>
    <w:rsid w:val="00DD761C"/>
    <w:rsid w:val="00DE0211"/>
    <w:rsid w:val="00DE0BE0"/>
    <w:rsid w:val="00DE19DA"/>
    <w:rsid w:val="00DE1C8B"/>
    <w:rsid w:val="00DE2013"/>
    <w:rsid w:val="00DE2674"/>
    <w:rsid w:val="00DE26AF"/>
    <w:rsid w:val="00DE275D"/>
    <w:rsid w:val="00DE3197"/>
    <w:rsid w:val="00DE3FC6"/>
    <w:rsid w:val="00DE402A"/>
    <w:rsid w:val="00DE402D"/>
    <w:rsid w:val="00DE4471"/>
    <w:rsid w:val="00DE4700"/>
    <w:rsid w:val="00DE4AE8"/>
    <w:rsid w:val="00DE4DCB"/>
    <w:rsid w:val="00DE5370"/>
    <w:rsid w:val="00DE5711"/>
    <w:rsid w:val="00DE57BB"/>
    <w:rsid w:val="00DE5903"/>
    <w:rsid w:val="00DE5C24"/>
    <w:rsid w:val="00DE5D23"/>
    <w:rsid w:val="00DE6404"/>
    <w:rsid w:val="00DE6AB8"/>
    <w:rsid w:val="00DE746A"/>
    <w:rsid w:val="00DF0FD9"/>
    <w:rsid w:val="00DF21A3"/>
    <w:rsid w:val="00DF21C4"/>
    <w:rsid w:val="00DF2690"/>
    <w:rsid w:val="00DF2E12"/>
    <w:rsid w:val="00DF35E5"/>
    <w:rsid w:val="00DF3DFD"/>
    <w:rsid w:val="00DF3E9B"/>
    <w:rsid w:val="00DF4948"/>
    <w:rsid w:val="00DF4B6B"/>
    <w:rsid w:val="00DF514A"/>
    <w:rsid w:val="00DF65F3"/>
    <w:rsid w:val="00DF6690"/>
    <w:rsid w:val="00DF6804"/>
    <w:rsid w:val="00DF7593"/>
    <w:rsid w:val="00DF7709"/>
    <w:rsid w:val="00DF7B04"/>
    <w:rsid w:val="00E003DC"/>
    <w:rsid w:val="00E0161C"/>
    <w:rsid w:val="00E023AE"/>
    <w:rsid w:val="00E02916"/>
    <w:rsid w:val="00E02C51"/>
    <w:rsid w:val="00E030FA"/>
    <w:rsid w:val="00E0358D"/>
    <w:rsid w:val="00E04323"/>
    <w:rsid w:val="00E04530"/>
    <w:rsid w:val="00E05C6D"/>
    <w:rsid w:val="00E06A7C"/>
    <w:rsid w:val="00E070A2"/>
    <w:rsid w:val="00E07339"/>
    <w:rsid w:val="00E07955"/>
    <w:rsid w:val="00E100F2"/>
    <w:rsid w:val="00E136B1"/>
    <w:rsid w:val="00E1409D"/>
    <w:rsid w:val="00E1470D"/>
    <w:rsid w:val="00E15215"/>
    <w:rsid w:val="00E15638"/>
    <w:rsid w:val="00E15D7A"/>
    <w:rsid w:val="00E161EF"/>
    <w:rsid w:val="00E1627C"/>
    <w:rsid w:val="00E1665C"/>
    <w:rsid w:val="00E16F64"/>
    <w:rsid w:val="00E17122"/>
    <w:rsid w:val="00E17F38"/>
    <w:rsid w:val="00E21BA4"/>
    <w:rsid w:val="00E21BED"/>
    <w:rsid w:val="00E22C2E"/>
    <w:rsid w:val="00E22F79"/>
    <w:rsid w:val="00E23970"/>
    <w:rsid w:val="00E24466"/>
    <w:rsid w:val="00E2656A"/>
    <w:rsid w:val="00E275F8"/>
    <w:rsid w:val="00E30C8B"/>
    <w:rsid w:val="00E31BAB"/>
    <w:rsid w:val="00E31D94"/>
    <w:rsid w:val="00E321A6"/>
    <w:rsid w:val="00E33FD7"/>
    <w:rsid w:val="00E34DAB"/>
    <w:rsid w:val="00E354A2"/>
    <w:rsid w:val="00E35728"/>
    <w:rsid w:val="00E35BAC"/>
    <w:rsid w:val="00E35C88"/>
    <w:rsid w:val="00E367CB"/>
    <w:rsid w:val="00E36B5E"/>
    <w:rsid w:val="00E37473"/>
    <w:rsid w:val="00E37B1C"/>
    <w:rsid w:val="00E412D0"/>
    <w:rsid w:val="00E41B76"/>
    <w:rsid w:val="00E4260A"/>
    <w:rsid w:val="00E42840"/>
    <w:rsid w:val="00E42C18"/>
    <w:rsid w:val="00E45181"/>
    <w:rsid w:val="00E4537C"/>
    <w:rsid w:val="00E45413"/>
    <w:rsid w:val="00E45C2A"/>
    <w:rsid w:val="00E46312"/>
    <w:rsid w:val="00E46BC5"/>
    <w:rsid w:val="00E46BFA"/>
    <w:rsid w:val="00E46DDB"/>
    <w:rsid w:val="00E47376"/>
    <w:rsid w:val="00E47918"/>
    <w:rsid w:val="00E519AB"/>
    <w:rsid w:val="00E525DD"/>
    <w:rsid w:val="00E52F30"/>
    <w:rsid w:val="00E53333"/>
    <w:rsid w:val="00E53537"/>
    <w:rsid w:val="00E53904"/>
    <w:rsid w:val="00E53F50"/>
    <w:rsid w:val="00E5440C"/>
    <w:rsid w:val="00E562B0"/>
    <w:rsid w:val="00E56322"/>
    <w:rsid w:val="00E568D7"/>
    <w:rsid w:val="00E5780D"/>
    <w:rsid w:val="00E57841"/>
    <w:rsid w:val="00E6016B"/>
    <w:rsid w:val="00E60982"/>
    <w:rsid w:val="00E61B77"/>
    <w:rsid w:val="00E61E76"/>
    <w:rsid w:val="00E62C62"/>
    <w:rsid w:val="00E62F07"/>
    <w:rsid w:val="00E6331C"/>
    <w:rsid w:val="00E64321"/>
    <w:rsid w:val="00E6453A"/>
    <w:rsid w:val="00E654C1"/>
    <w:rsid w:val="00E659FB"/>
    <w:rsid w:val="00E65D97"/>
    <w:rsid w:val="00E66795"/>
    <w:rsid w:val="00E67D19"/>
    <w:rsid w:val="00E70754"/>
    <w:rsid w:val="00E71553"/>
    <w:rsid w:val="00E72A5A"/>
    <w:rsid w:val="00E73197"/>
    <w:rsid w:val="00E73354"/>
    <w:rsid w:val="00E73404"/>
    <w:rsid w:val="00E73D08"/>
    <w:rsid w:val="00E742F6"/>
    <w:rsid w:val="00E74E32"/>
    <w:rsid w:val="00E75119"/>
    <w:rsid w:val="00E7532E"/>
    <w:rsid w:val="00E753D9"/>
    <w:rsid w:val="00E75447"/>
    <w:rsid w:val="00E76073"/>
    <w:rsid w:val="00E7679A"/>
    <w:rsid w:val="00E80D0E"/>
    <w:rsid w:val="00E81554"/>
    <w:rsid w:val="00E81C9A"/>
    <w:rsid w:val="00E82FAA"/>
    <w:rsid w:val="00E837BE"/>
    <w:rsid w:val="00E839B9"/>
    <w:rsid w:val="00E83BD3"/>
    <w:rsid w:val="00E83C9F"/>
    <w:rsid w:val="00E83D17"/>
    <w:rsid w:val="00E84228"/>
    <w:rsid w:val="00E846A3"/>
    <w:rsid w:val="00E849CF"/>
    <w:rsid w:val="00E8522E"/>
    <w:rsid w:val="00E8538E"/>
    <w:rsid w:val="00E85BC5"/>
    <w:rsid w:val="00E867CC"/>
    <w:rsid w:val="00E873CB"/>
    <w:rsid w:val="00E87D4A"/>
    <w:rsid w:val="00E90DCE"/>
    <w:rsid w:val="00E9136E"/>
    <w:rsid w:val="00E9199D"/>
    <w:rsid w:val="00E91ED3"/>
    <w:rsid w:val="00E9242D"/>
    <w:rsid w:val="00E924D7"/>
    <w:rsid w:val="00E933CE"/>
    <w:rsid w:val="00E93E0C"/>
    <w:rsid w:val="00E9410B"/>
    <w:rsid w:val="00E94244"/>
    <w:rsid w:val="00E9545D"/>
    <w:rsid w:val="00E95FFE"/>
    <w:rsid w:val="00E9660B"/>
    <w:rsid w:val="00E96986"/>
    <w:rsid w:val="00E96DAC"/>
    <w:rsid w:val="00E97D12"/>
    <w:rsid w:val="00EA1A56"/>
    <w:rsid w:val="00EA25FD"/>
    <w:rsid w:val="00EA3A6B"/>
    <w:rsid w:val="00EA3E0E"/>
    <w:rsid w:val="00EA4F1B"/>
    <w:rsid w:val="00EA510B"/>
    <w:rsid w:val="00EA5EBE"/>
    <w:rsid w:val="00EA74AD"/>
    <w:rsid w:val="00EA797C"/>
    <w:rsid w:val="00EA7AE3"/>
    <w:rsid w:val="00EB02DB"/>
    <w:rsid w:val="00EB111F"/>
    <w:rsid w:val="00EB1191"/>
    <w:rsid w:val="00EB147E"/>
    <w:rsid w:val="00EB3A26"/>
    <w:rsid w:val="00EB445A"/>
    <w:rsid w:val="00EB5255"/>
    <w:rsid w:val="00EB5C47"/>
    <w:rsid w:val="00EB6F37"/>
    <w:rsid w:val="00EC02C2"/>
    <w:rsid w:val="00EC0883"/>
    <w:rsid w:val="00EC16AA"/>
    <w:rsid w:val="00EC3174"/>
    <w:rsid w:val="00EC4232"/>
    <w:rsid w:val="00EC48DA"/>
    <w:rsid w:val="00EC4E77"/>
    <w:rsid w:val="00EC57FD"/>
    <w:rsid w:val="00EC681C"/>
    <w:rsid w:val="00EC699E"/>
    <w:rsid w:val="00EC6C32"/>
    <w:rsid w:val="00EC73EB"/>
    <w:rsid w:val="00EC746A"/>
    <w:rsid w:val="00ED01B4"/>
    <w:rsid w:val="00ED03E5"/>
    <w:rsid w:val="00ED03FB"/>
    <w:rsid w:val="00ED0639"/>
    <w:rsid w:val="00ED0D0F"/>
    <w:rsid w:val="00ED0D9A"/>
    <w:rsid w:val="00ED1372"/>
    <w:rsid w:val="00ED16E8"/>
    <w:rsid w:val="00ED308E"/>
    <w:rsid w:val="00ED39D8"/>
    <w:rsid w:val="00ED3C8F"/>
    <w:rsid w:val="00ED3E22"/>
    <w:rsid w:val="00ED44CD"/>
    <w:rsid w:val="00ED587F"/>
    <w:rsid w:val="00ED7537"/>
    <w:rsid w:val="00EE066D"/>
    <w:rsid w:val="00EE2271"/>
    <w:rsid w:val="00EE25CD"/>
    <w:rsid w:val="00EE2E87"/>
    <w:rsid w:val="00EE31DB"/>
    <w:rsid w:val="00EE3208"/>
    <w:rsid w:val="00EE434A"/>
    <w:rsid w:val="00EE441F"/>
    <w:rsid w:val="00EE470D"/>
    <w:rsid w:val="00EE4AB0"/>
    <w:rsid w:val="00EE4E1F"/>
    <w:rsid w:val="00EE5CDA"/>
    <w:rsid w:val="00EE5D6C"/>
    <w:rsid w:val="00EE766A"/>
    <w:rsid w:val="00EF0EC1"/>
    <w:rsid w:val="00EF118C"/>
    <w:rsid w:val="00EF1255"/>
    <w:rsid w:val="00EF1715"/>
    <w:rsid w:val="00EF2C44"/>
    <w:rsid w:val="00EF370E"/>
    <w:rsid w:val="00EF3C5F"/>
    <w:rsid w:val="00EF4755"/>
    <w:rsid w:val="00EF589B"/>
    <w:rsid w:val="00EF5F74"/>
    <w:rsid w:val="00EF61A2"/>
    <w:rsid w:val="00EF64CD"/>
    <w:rsid w:val="00EF678A"/>
    <w:rsid w:val="00EF69D0"/>
    <w:rsid w:val="00EF7135"/>
    <w:rsid w:val="00EF764E"/>
    <w:rsid w:val="00EF7985"/>
    <w:rsid w:val="00F00005"/>
    <w:rsid w:val="00F006E9"/>
    <w:rsid w:val="00F00ACF"/>
    <w:rsid w:val="00F027DB"/>
    <w:rsid w:val="00F046BA"/>
    <w:rsid w:val="00F049D6"/>
    <w:rsid w:val="00F04A0C"/>
    <w:rsid w:val="00F04E47"/>
    <w:rsid w:val="00F05ADC"/>
    <w:rsid w:val="00F05FEF"/>
    <w:rsid w:val="00F06F30"/>
    <w:rsid w:val="00F0709E"/>
    <w:rsid w:val="00F070F8"/>
    <w:rsid w:val="00F072AB"/>
    <w:rsid w:val="00F073F1"/>
    <w:rsid w:val="00F076BA"/>
    <w:rsid w:val="00F07F25"/>
    <w:rsid w:val="00F112B4"/>
    <w:rsid w:val="00F121F1"/>
    <w:rsid w:val="00F12FD8"/>
    <w:rsid w:val="00F130E5"/>
    <w:rsid w:val="00F131D2"/>
    <w:rsid w:val="00F13996"/>
    <w:rsid w:val="00F142F6"/>
    <w:rsid w:val="00F14329"/>
    <w:rsid w:val="00F14A7A"/>
    <w:rsid w:val="00F14EFE"/>
    <w:rsid w:val="00F17142"/>
    <w:rsid w:val="00F1778E"/>
    <w:rsid w:val="00F20727"/>
    <w:rsid w:val="00F20A26"/>
    <w:rsid w:val="00F214F4"/>
    <w:rsid w:val="00F21DBA"/>
    <w:rsid w:val="00F22929"/>
    <w:rsid w:val="00F22985"/>
    <w:rsid w:val="00F241A8"/>
    <w:rsid w:val="00F2424A"/>
    <w:rsid w:val="00F24B1D"/>
    <w:rsid w:val="00F24BDE"/>
    <w:rsid w:val="00F263D2"/>
    <w:rsid w:val="00F264B5"/>
    <w:rsid w:val="00F265BA"/>
    <w:rsid w:val="00F26872"/>
    <w:rsid w:val="00F27EE8"/>
    <w:rsid w:val="00F30F67"/>
    <w:rsid w:val="00F310AD"/>
    <w:rsid w:val="00F313E5"/>
    <w:rsid w:val="00F31838"/>
    <w:rsid w:val="00F3214A"/>
    <w:rsid w:val="00F32595"/>
    <w:rsid w:val="00F3275E"/>
    <w:rsid w:val="00F330AE"/>
    <w:rsid w:val="00F3372A"/>
    <w:rsid w:val="00F3383E"/>
    <w:rsid w:val="00F344FA"/>
    <w:rsid w:val="00F34608"/>
    <w:rsid w:val="00F35407"/>
    <w:rsid w:val="00F35C8B"/>
    <w:rsid w:val="00F35E61"/>
    <w:rsid w:val="00F35EC0"/>
    <w:rsid w:val="00F36868"/>
    <w:rsid w:val="00F36908"/>
    <w:rsid w:val="00F372FC"/>
    <w:rsid w:val="00F373D6"/>
    <w:rsid w:val="00F37E00"/>
    <w:rsid w:val="00F406F9"/>
    <w:rsid w:val="00F4275F"/>
    <w:rsid w:val="00F42AAB"/>
    <w:rsid w:val="00F42B14"/>
    <w:rsid w:val="00F4332B"/>
    <w:rsid w:val="00F43D69"/>
    <w:rsid w:val="00F445AE"/>
    <w:rsid w:val="00F465A7"/>
    <w:rsid w:val="00F47628"/>
    <w:rsid w:val="00F50439"/>
    <w:rsid w:val="00F504C2"/>
    <w:rsid w:val="00F5068A"/>
    <w:rsid w:val="00F506F5"/>
    <w:rsid w:val="00F50B7C"/>
    <w:rsid w:val="00F50FB5"/>
    <w:rsid w:val="00F5105C"/>
    <w:rsid w:val="00F51770"/>
    <w:rsid w:val="00F51E9D"/>
    <w:rsid w:val="00F52977"/>
    <w:rsid w:val="00F52B36"/>
    <w:rsid w:val="00F543A4"/>
    <w:rsid w:val="00F54482"/>
    <w:rsid w:val="00F54CC6"/>
    <w:rsid w:val="00F550E6"/>
    <w:rsid w:val="00F55E0C"/>
    <w:rsid w:val="00F5675F"/>
    <w:rsid w:val="00F57C91"/>
    <w:rsid w:val="00F60106"/>
    <w:rsid w:val="00F607AF"/>
    <w:rsid w:val="00F60A6B"/>
    <w:rsid w:val="00F60E4C"/>
    <w:rsid w:val="00F6183B"/>
    <w:rsid w:val="00F62226"/>
    <w:rsid w:val="00F627C5"/>
    <w:rsid w:val="00F62B4A"/>
    <w:rsid w:val="00F63001"/>
    <w:rsid w:val="00F64986"/>
    <w:rsid w:val="00F6593A"/>
    <w:rsid w:val="00F66D14"/>
    <w:rsid w:val="00F66E18"/>
    <w:rsid w:val="00F67552"/>
    <w:rsid w:val="00F700CA"/>
    <w:rsid w:val="00F707B5"/>
    <w:rsid w:val="00F7100F"/>
    <w:rsid w:val="00F712F0"/>
    <w:rsid w:val="00F715DF"/>
    <w:rsid w:val="00F71630"/>
    <w:rsid w:val="00F72AB4"/>
    <w:rsid w:val="00F74345"/>
    <w:rsid w:val="00F7452E"/>
    <w:rsid w:val="00F757B9"/>
    <w:rsid w:val="00F75FFE"/>
    <w:rsid w:val="00F763FB"/>
    <w:rsid w:val="00F76446"/>
    <w:rsid w:val="00F76875"/>
    <w:rsid w:val="00F770A8"/>
    <w:rsid w:val="00F7715A"/>
    <w:rsid w:val="00F772A5"/>
    <w:rsid w:val="00F77A88"/>
    <w:rsid w:val="00F808CB"/>
    <w:rsid w:val="00F80A0A"/>
    <w:rsid w:val="00F80F44"/>
    <w:rsid w:val="00F80FF3"/>
    <w:rsid w:val="00F81CCF"/>
    <w:rsid w:val="00F82526"/>
    <w:rsid w:val="00F82790"/>
    <w:rsid w:val="00F82B19"/>
    <w:rsid w:val="00F82FD6"/>
    <w:rsid w:val="00F838FE"/>
    <w:rsid w:val="00F84CA8"/>
    <w:rsid w:val="00F84CE3"/>
    <w:rsid w:val="00F8558C"/>
    <w:rsid w:val="00F85C79"/>
    <w:rsid w:val="00F86A6A"/>
    <w:rsid w:val="00F876D4"/>
    <w:rsid w:val="00F901E1"/>
    <w:rsid w:val="00F902E5"/>
    <w:rsid w:val="00F91136"/>
    <w:rsid w:val="00F9212D"/>
    <w:rsid w:val="00F92416"/>
    <w:rsid w:val="00F93405"/>
    <w:rsid w:val="00F94505"/>
    <w:rsid w:val="00F94800"/>
    <w:rsid w:val="00F95250"/>
    <w:rsid w:val="00F95869"/>
    <w:rsid w:val="00F958FD"/>
    <w:rsid w:val="00F95ED2"/>
    <w:rsid w:val="00F96088"/>
    <w:rsid w:val="00F965DA"/>
    <w:rsid w:val="00F97B70"/>
    <w:rsid w:val="00F97D88"/>
    <w:rsid w:val="00FA16A0"/>
    <w:rsid w:val="00FA176D"/>
    <w:rsid w:val="00FA1F07"/>
    <w:rsid w:val="00FA2C1A"/>
    <w:rsid w:val="00FA406A"/>
    <w:rsid w:val="00FA5437"/>
    <w:rsid w:val="00FA57E7"/>
    <w:rsid w:val="00FA6355"/>
    <w:rsid w:val="00FA652C"/>
    <w:rsid w:val="00FA6F1B"/>
    <w:rsid w:val="00FA6F94"/>
    <w:rsid w:val="00FA78F1"/>
    <w:rsid w:val="00FB065E"/>
    <w:rsid w:val="00FB118B"/>
    <w:rsid w:val="00FB1EE3"/>
    <w:rsid w:val="00FB1EFC"/>
    <w:rsid w:val="00FB32BF"/>
    <w:rsid w:val="00FB3366"/>
    <w:rsid w:val="00FB503A"/>
    <w:rsid w:val="00FB516C"/>
    <w:rsid w:val="00FB5A86"/>
    <w:rsid w:val="00FB5B5E"/>
    <w:rsid w:val="00FB7277"/>
    <w:rsid w:val="00FB7E8E"/>
    <w:rsid w:val="00FC0C42"/>
    <w:rsid w:val="00FC0EC1"/>
    <w:rsid w:val="00FC230D"/>
    <w:rsid w:val="00FC2873"/>
    <w:rsid w:val="00FC2EE8"/>
    <w:rsid w:val="00FC3068"/>
    <w:rsid w:val="00FC448C"/>
    <w:rsid w:val="00FC4C25"/>
    <w:rsid w:val="00FC512C"/>
    <w:rsid w:val="00FC578C"/>
    <w:rsid w:val="00FC57DC"/>
    <w:rsid w:val="00FC6864"/>
    <w:rsid w:val="00FC69AD"/>
    <w:rsid w:val="00FC70D3"/>
    <w:rsid w:val="00FC71B6"/>
    <w:rsid w:val="00FC7301"/>
    <w:rsid w:val="00FC730B"/>
    <w:rsid w:val="00FC780D"/>
    <w:rsid w:val="00FD0236"/>
    <w:rsid w:val="00FD0A8D"/>
    <w:rsid w:val="00FD18F4"/>
    <w:rsid w:val="00FD1C52"/>
    <w:rsid w:val="00FD2583"/>
    <w:rsid w:val="00FD2C01"/>
    <w:rsid w:val="00FD2E9C"/>
    <w:rsid w:val="00FD433D"/>
    <w:rsid w:val="00FD54DB"/>
    <w:rsid w:val="00FD5780"/>
    <w:rsid w:val="00FD5B4A"/>
    <w:rsid w:val="00FD619F"/>
    <w:rsid w:val="00FD7BCD"/>
    <w:rsid w:val="00FE1F8E"/>
    <w:rsid w:val="00FE3B94"/>
    <w:rsid w:val="00FE479C"/>
    <w:rsid w:val="00FE55F0"/>
    <w:rsid w:val="00FE5752"/>
    <w:rsid w:val="00FE5AA4"/>
    <w:rsid w:val="00FE6095"/>
    <w:rsid w:val="00FE634D"/>
    <w:rsid w:val="00FE6F93"/>
    <w:rsid w:val="00FE7037"/>
    <w:rsid w:val="00FE7280"/>
    <w:rsid w:val="00FF13F4"/>
    <w:rsid w:val="00FF4A47"/>
    <w:rsid w:val="00FF4C7A"/>
    <w:rsid w:val="00FF4EF5"/>
    <w:rsid w:val="00FF5EF9"/>
    <w:rsid w:val="00FF6244"/>
    <w:rsid w:val="00FF6783"/>
    <w:rsid w:val="00FF6BCD"/>
    <w:rsid w:val="00FF6CE6"/>
    <w:rsid w:val="00FF7161"/>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1963A79"/>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nhideWhenUsed="0" w:uiPriority="0" w:semiHidden="0" w:name="caption" w:locked="1"/>
    <w:lsdException w:qFormat="1" w:unhideWhenUsed="0"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qFormat="1"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77"/>
    <w:qFormat/>
    <w:locked/>
    <w:uiPriority w:val="0"/>
    <w:pPr>
      <w:keepNext/>
      <w:outlineLvl w:val="1"/>
    </w:pPr>
    <w:rPr>
      <w:rFonts w:ascii="宋体" w:hAnsi="宋体"/>
      <w:sz w:val="28"/>
    </w:rPr>
  </w:style>
  <w:style w:type="paragraph" w:styleId="4">
    <w:name w:val="heading 3"/>
    <w:basedOn w:val="1"/>
    <w:next w:val="1"/>
    <w:link w:val="78"/>
    <w:qFormat/>
    <w:locked/>
    <w:uiPriority w:val="0"/>
    <w:pPr>
      <w:keepNext/>
      <w:jc w:val="center"/>
      <w:outlineLvl w:val="2"/>
    </w:pPr>
    <w:rPr>
      <w:rFonts w:ascii="宋体" w:hAnsi="宋体"/>
      <w:sz w:val="28"/>
      <w:szCs w:val="20"/>
    </w:rPr>
  </w:style>
  <w:style w:type="paragraph" w:styleId="5">
    <w:name w:val="heading 4"/>
    <w:basedOn w:val="1"/>
    <w:next w:val="1"/>
    <w:link w:val="79"/>
    <w:qFormat/>
    <w:locked/>
    <w:uiPriority w:val="0"/>
    <w:pPr>
      <w:keepNext/>
      <w:spacing w:line="360" w:lineRule="exact"/>
      <w:ind w:firstLine="840" w:firstLineChars="300"/>
      <w:outlineLvl w:val="3"/>
    </w:pPr>
    <w:rPr>
      <w:rFonts w:ascii="宋体" w:hAnsi="宋体"/>
      <w:bCs/>
      <w:sz w:val="28"/>
      <w:lang w:val="en-GB"/>
    </w:rPr>
  </w:style>
  <w:style w:type="character" w:default="1" w:styleId="29">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6">
    <w:name w:val="Normal Indent"/>
    <w:basedOn w:val="1"/>
    <w:link w:val="59"/>
    <w:qFormat/>
    <w:locked/>
    <w:uiPriority w:val="0"/>
    <w:pPr>
      <w:ind w:firstLine="420" w:firstLineChars="200"/>
    </w:pPr>
    <w:rPr>
      <w:szCs w:val="20"/>
    </w:rPr>
  </w:style>
  <w:style w:type="paragraph" w:styleId="7">
    <w:name w:val="caption"/>
    <w:basedOn w:val="1"/>
    <w:next w:val="1"/>
    <w:link w:val="89"/>
    <w:qFormat/>
    <w:locked/>
    <w:uiPriority w:val="0"/>
    <w:rPr>
      <w:rFonts w:ascii="Arial" w:hAnsi="Arial" w:eastAsia="黑体"/>
      <w:sz w:val="20"/>
      <w:szCs w:val="20"/>
      <w:lang w:val="zh-CN" w:eastAsia="zh-CN"/>
    </w:rPr>
  </w:style>
  <w:style w:type="paragraph" w:styleId="8">
    <w:name w:val="Document Map"/>
    <w:basedOn w:val="1"/>
    <w:link w:val="56"/>
    <w:unhideWhenUsed/>
    <w:qFormat/>
    <w:locked/>
    <w:uiPriority w:val="0"/>
    <w:rPr>
      <w:rFonts w:ascii="宋体" w:hAnsi="Calibri"/>
      <w:sz w:val="18"/>
      <w:szCs w:val="18"/>
    </w:rPr>
  </w:style>
  <w:style w:type="paragraph" w:styleId="9">
    <w:name w:val="annotation text"/>
    <w:basedOn w:val="1"/>
    <w:link w:val="40"/>
    <w:semiHidden/>
    <w:qFormat/>
    <w:uiPriority w:val="0"/>
    <w:pPr>
      <w:jc w:val="left"/>
    </w:pPr>
    <w:rPr>
      <w:kern w:val="0"/>
      <w:sz w:val="24"/>
      <w:szCs w:val="20"/>
    </w:rPr>
  </w:style>
  <w:style w:type="paragraph" w:styleId="10">
    <w:name w:val="Body Text 3"/>
    <w:basedOn w:val="1"/>
    <w:link w:val="81"/>
    <w:locked/>
    <w:uiPriority w:val="0"/>
    <w:rPr>
      <w:sz w:val="24"/>
    </w:rPr>
  </w:style>
  <w:style w:type="paragraph" w:styleId="11">
    <w:name w:val="Body Text"/>
    <w:basedOn w:val="1"/>
    <w:link w:val="39"/>
    <w:qFormat/>
    <w:uiPriority w:val="0"/>
    <w:pPr>
      <w:widowControl/>
      <w:snapToGrid w:val="0"/>
      <w:spacing w:before="60" w:after="160" w:line="259" w:lineRule="auto"/>
      <w:ind w:right="113"/>
    </w:pPr>
    <w:rPr>
      <w:kern w:val="0"/>
      <w:sz w:val="18"/>
      <w:szCs w:val="20"/>
    </w:rPr>
  </w:style>
  <w:style w:type="paragraph" w:styleId="12">
    <w:name w:val="Body Text Indent"/>
    <w:basedOn w:val="1"/>
    <w:link w:val="48"/>
    <w:qFormat/>
    <w:uiPriority w:val="0"/>
    <w:pPr>
      <w:spacing w:after="120"/>
      <w:ind w:left="420" w:leftChars="200"/>
    </w:pPr>
    <w:rPr>
      <w:kern w:val="0"/>
      <w:sz w:val="24"/>
      <w:szCs w:val="20"/>
    </w:rPr>
  </w:style>
  <w:style w:type="paragraph" w:styleId="13">
    <w:name w:val="List 2"/>
    <w:basedOn w:val="1"/>
    <w:link w:val="67"/>
    <w:qFormat/>
    <w:locked/>
    <w:uiPriority w:val="0"/>
    <w:rPr>
      <w:rFonts w:ascii="楷体_GB2312" w:hAnsi="宋体" w:eastAsia="楷体_GB2312"/>
      <w:color w:val="000000"/>
      <w:szCs w:val="28"/>
    </w:rPr>
  </w:style>
  <w:style w:type="paragraph" w:styleId="14">
    <w:name w:val="Plain Text"/>
    <w:basedOn w:val="1"/>
    <w:link w:val="51"/>
    <w:qFormat/>
    <w:locked/>
    <w:uiPriority w:val="99"/>
    <w:rPr>
      <w:rFonts w:ascii="宋体" w:hAnsi="Courier New"/>
      <w:kern w:val="44"/>
      <w:szCs w:val="20"/>
    </w:rPr>
  </w:style>
  <w:style w:type="paragraph" w:styleId="15">
    <w:name w:val="Date"/>
    <w:basedOn w:val="1"/>
    <w:next w:val="1"/>
    <w:link w:val="35"/>
    <w:qFormat/>
    <w:uiPriority w:val="0"/>
    <w:pPr>
      <w:ind w:left="100" w:leftChars="2500"/>
    </w:pPr>
    <w:rPr>
      <w:kern w:val="0"/>
      <w:sz w:val="24"/>
      <w:szCs w:val="20"/>
    </w:rPr>
  </w:style>
  <w:style w:type="paragraph" w:styleId="16">
    <w:name w:val="Body Text Indent 2"/>
    <w:basedOn w:val="1"/>
    <w:link w:val="76"/>
    <w:qFormat/>
    <w:locked/>
    <w:uiPriority w:val="0"/>
    <w:pPr>
      <w:spacing w:after="120" w:line="480" w:lineRule="auto"/>
      <w:ind w:left="420" w:leftChars="200"/>
    </w:pPr>
  </w:style>
  <w:style w:type="paragraph" w:styleId="17">
    <w:name w:val="Balloon Text"/>
    <w:basedOn w:val="1"/>
    <w:link w:val="44"/>
    <w:qFormat/>
    <w:uiPriority w:val="0"/>
    <w:rPr>
      <w:kern w:val="0"/>
      <w:sz w:val="18"/>
      <w:szCs w:val="20"/>
    </w:rPr>
  </w:style>
  <w:style w:type="paragraph" w:styleId="18">
    <w:name w:val="footer"/>
    <w:basedOn w:val="1"/>
    <w:link w:val="34"/>
    <w:qFormat/>
    <w:uiPriority w:val="0"/>
    <w:pPr>
      <w:tabs>
        <w:tab w:val="center" w:pos="4153"/>
        <w:tab w:val="right" w:pos="8306"/>
      </w:tabs>
      <w:snapToGrid w:val="0"/>
      <w:jc w:val="left"/>
    </w:pPr>
    <w:rPr>
      <w:kern w:val="0"/>
      <w:sz w:val="18"/>
      <w:szCs w:val="20"/>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locked/>
    <w:uiPriority w:val="0"/>
    <w:pPr>
      <w:spacing w:line="100" w:lineRule="exact"/>
    </w:pPr>
    <w:rPr>
      <w:sz w:val="24"/>
    </w:rPr>
  </w:style>
  <w:style w:type="paragraph" w:styleId="21">
    <w:name w:val="Body Text Indent 3"/>
    <w:basedOn w:val="1"/>
    <w:link w:val="58"/>
    <w:qFormat/>
    <w:locked/>
    <w:uiPriority w:val="0"/>
    <w:pPr>
      <w:spacing w:after="120"/>
      <w:ind w:left="420" w:leftChars="200"/>
    </w:pPr>
    <w:rPr>
      <w:sz w:val="16"/>
      <w:szCs w:val="16"/>
    </w:rPr>
  </w:style>
  <w:style w:type="paragraph" w:styleId="22">
    <w:name w:val="table of figures"/>
    <w:basedOn w:val="1"/>
    <w:next w:val="1"/>
    <w:qFormat/>
    <w:locked/>
    <w:uiPriority w:val="99"/>
    <w:pPr>
      <w:spacing w:line="360" w:lineRule="auto"/>
      <w:ind w:left="200" w:leftChars="200" w:hanging="200" w:hangingChars="200"/>
    </w:pPr>
    <w:rPr>
      <w:rFonts w:ascii="仿宋" w:hAnsi="仿宋" w:eastAsia="仿宋"/>
      <w:sz w:val="28"/>
      <w:szCs w:val="28"/>
    </w:rPr>
  </w:style>
  <w:style w:type="paragraph" w:styleId="23">
    <w:name w:val="Body Text 2"/>
    <w:basedOn w:val="1"/>
    <w:link w:val="82"/>
    <w:locked/>
    <w:uiPriority w:val="0"/>
    <w:rPr>
      <w:color w:val="FF0000"/>
      <w:sz w:val="24"/>
    </w:rPr>
  </w:style>
  <w:style w:type="paragraph" w:styleId="24">
    <w:name w:val="Normal (Web)"/>
    <w:basedOn w:val="1"/>
    <w:link w:val="37"/>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9"/>
    <w:next w:val="9"/>
    <w:link w:val="45"/>
    <w:semiHidden/>
    <w:qFormat/>
    <w:uiPriority w:val="0"/>
    <w:rPr>
      <w:b/>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Theme"/>
    <w:basedOn w:val="2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0"/>
    <w:rPr>
      <w:rFonts w:cs="Times New Roman"/>
      <w:b/>
    </w:rPr>
  </w:style>
  <w:style w:type="character" w:styleId="31">
    <w:name w:val="page number"/>
    <w:basedOn w:val="29"/>
    <w:locked/>
    <w:uiPriority w:val="0"/>
  </w:style>
  <w:style w:type="character" w:styleId="32">
    <w:name w:val="Hyperlink"/>
    <w:qFormat/>
    <w:locked/>
    <w:uiPriority w:val="0"/>
    <w:rPr>
      <w:rFonts w:ascii="Verdana" w:hAnsi="Verdana" w:eastAsia="FangSong_GB2312"/>
      <w:color w:val="0000FF"/>
      <w:kern w:val="0"/>
      <w:sz w:val="24"/>
      <w:szCs w:val="20"/>
      <w:u w:val="none"/>
      <w:lang w:eastAsia="en-US"/>
    </w:rPr>
  </w:style>
  <w:style w:type="character" w:styleId="33">
    <w:name w:val="annotation reference"/>
    <w:semiHidden/>
    <w:uiPriority w:val="0"/>
    <w:rPr>
      <w:sz w:val="21"/>
    </w:rPr>
  </w:style>
  <w:style w:type="character" w:customStyle="1" w:styleId="34">
    <w:name w:val="页脚 Char"/>
    <w:link w:val="18"/>
    <w:locked/>
    <w:uiPriority w:val="0"/>
    <w:rPr>
      <w:sz w:val="18"/>
    </w:rPr>
  </w:style>
  <w:style w:type="character" w:customStyle="1" w:styleId="35">
    <w:name w:val="日期 Char"/>
    <w:link w:val="15"/>
    <w:locked/>
    <w:uiPriority w:val="0"/>
    <w:rPr>
      <w:rFonts w:ascii="Times New Roman" w:hAnsi="Times New Roman" w:eastAsia="宋体"/>
      <w:sz w:val="24"/>
    </w:rPr>
  </w:style>
  <w:style w:type="character" w:customStyle="1" w:styleId="36">
    <w:name w:val="页脚 字符"/>
    <w:basedOn w:val="29"/>
    <w:uiPriority w:val="99"/>
  </w:style>
  <w:style w:type="character" w:customStyle="1" w:styleId="37">
    <w:name w:val="普通(网站) Char"/>
    <w:link w:val="24"/>
    <w:locked/>
    <w:uiPriority w:val="0"/>
    <w:rPr>
      <w:rFonts w:ascii="宋体" w:hAnsi="宋体" w:eastAsia="宋体"/>
      <w:sz w:val="24"/>
    </w:rPr>
  </w:style>
  <w:style w:type="character" w:customStyle="1" w:styleId="38">
    <w:name w:val="正文文本 字符1"/>
    <w:semiHidden/>
    <w:uiPriority w:val="0"/>
    <w:rPr>
      <w:rFonts w:ascii="Times New Roman" w:hAnsi="Times New Roman" w:eastAsia="宋体"/>
      <w:sz w:val="24"/>
    </w:rPr>
  </w:style>
  <w:style w:type="character" w:customStyle="1" w:styleId="39">
    <w:name w:val="正文文本 Char"/>
    <w:link w:val="11"/>
    <w:locked/>
    <w:uiPriority w:val="0"/>
    <w:rPr>
      <w:sz w:val="18"/>
    </w:rPr>
  </w:style>
  <w:style w:type="character" w:customStyle="1" w:styleId="40">
    <w:name w:val="批注文字 Char"/>
    <w:link w:val="9"/>
    <w:locked/>
    <w:uiPriority w:val="0"/>
    <w:rPr>
      <w:rFonts w:ascii="Times New Roman" w:hAnsi="Times New Roman" w:eastAsia="宋体"/>
      <w:sz w:val="24"/>
    </w:rPr>
  </w:style>
  <w:style w:type="character" w:customStyle="1" w:styleId="41">
    <w:name w:val="表格 Char"/>
    <w:link w:val="42"/>
    <w:qFormat/>
    <w:locked/>
    <w:uiPriority w:val="0"/>
    <w:rPr>
      <w:rFonts w:ascii="宋体"/>
      <w:sz w:val="21"/>
    </w:rPr>
  </w:style>
  <w:style w:type="paragraph" w:customStyle="1" w:styleId="42">
    <w:name w:val="表格"/>
    <w:basedOn w:val="1"/>
    <w:next w:val="1"/>
    <w:link w:val="41"/>
    <w:qFormat/>
    <w:uiPriority w:val="0"/>
    <w:pPr>
      <w:adjustRightInd w:val="0"/>
      <w:snapToGrid w:val="0"/>
      <w:spacing w:beforeLines="10" w:afterLines="10" w:line="259" w:lineRule="auto"/>
      <w:jc w:val="center"/>
    </w:pPr>
    <w:rPr>
      <w:rFonts w:ascii="宋体"/>
      <w:kern w:val="0"/>
      <w:szCs w:val="20"/>
    </w:rPr>
  </w:style>
  <w:style w:type="character" w:customStyle="1" w:styleId="43">
    <w:name w:val="日期 字符"/>
    <w:semiHidden/>
    <w:uiPriority w:val="0"/>
    <w:rPr>
      <w:rFonts w:ascii="Times New Roman" w:hAnsi="Times New Roman" w:eastAsia="宋体"/>
      <w:sz w:val="24"/>
    </w:rPr>
  </w:style>
  <w:style w:type="character" w:customStyle="1" w:styleId="44">
    <w:name w:val="批注框文本 Char"/>
    <w:link w:val="17"/>
    <w:locked/>
    <w:uiPriority w:val="0"/>
    <w:rPr>
      <w:rFonts w:ascii="Times New Roman" w:hAnsi="Times New Roman" w:eastAsia="宋体"/>
      <w:sz w:val="18"/>
    </w:rPr>
  </w:style>
  <w:style w:type="character" w:customStyle="1" w:styleId="45">
    <w:name w:val="批注主题 Char"/>
    <w:link w:val="25"/>
    <w:semiHidden/>
    <w:locked/>
    <w:uiPriority w:val="0"/>
    <w:rPr>
      <w:rFonts w:ascii="Times New Roman" w:hAnsi="Times New Roman" w:eastAsia="宋体"/>
      <w:b/>
      <w:kern w:val="2"/>
      <w:sz w:val="24"/>
    </w:rPr>
  </w:style>
  <w:style w:type="character" w:customStyle="1" w:styleId="46">
    <w:name w:val="页眉 Char"/>
    <w:link w:val="19"/>
    <w:locked/>
    <w:uiPriority w:val="0"/>
    <w:rPr>
      <w:sz w:val="18"/>
    </w:rPr>
  </w:style>
  <w:style w:type="character" w:customStyle="1" w:styleId="47">
    <w:name w:val="批注文字 字符1"/>
    <w:semiHidden/>
    <w:uiPriority w:val="0"/>
    <w:rPr>
      <w:rFonts w:ascii="Times New Roman" w:hAnsi="Times New Roman" w:eastAsia="宋体"/>
      <w:sz w:val="24"/>
    </w:rPr>
  </w:style>
  <w:style w:type="character" w:customStyle="1" w:styleId="48">
    <w:name w:val="正文文本缩进 Char"/>
    <w:link w:val="12"/>
    <w:semiHidden/>
    <w:locked/>
    <w:uiPriority w:val="0"/>
    <w:rPr>
      <w:rFonts w:ascii="Times New Roman" w:hAnsi="Times New Roman" w:eastAsia="宋体"/>
      <w:sz w:val="24"/>
    </w:rPr>
  </w:style>
  <w:style w:type="paragraph" w:customStyle="1" w:styleId="4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1">
    <w:name w:val="纯文本 Char"/>
    <w:link w:val="14"/>
    <w:qFormat/>
    <w:uiPriority w:val="0"/>
    <w:rPr>
      <w:rFonts w:ascii="宋体" w:hAnsi="Courier New"/>
      <w:kern w:val="44"/>
      <w:sz w:val="21"/>
    </w:rPr>
  </w:style>
  <w:style w:type="character" w:customStyle="1" w:styleId="52">
    <w:name w:val="纯文本 Char1"/>
    <w:qFormat/>
    <w:uiPriority w:val="0"/>
    <w:rPr>
      <w:rFonts w:ascii="宋体" w:hAnsi="Courier New" w:cs="Courier New"/>
      <w:kern w:val="2"/>
      <w:sz w:val="21"/>
      <w:szCs w:val="21"/>
    </w:rPr>
  </w:style>
  <w:style w:type="paragraph" w:customStyle="1" w:styleId="53">
    <w:name w:val="正文文本 21"/>
    <w:basedOn w:val="1"/>
    <w:qFormat/>
    <w:uiPriority w:val="0"/>
    <w:pPr>
      <w:adjustRightInd w:val="0"/>
      <w:ind w:firstLine="480"/>
      <w:textAlignment w:val="baseline"/>
    </w:pPr>
    <w:rPr>
      <w:rFonts w:ascii="宋体"/>
      <w:kern w:val="0"/>
      <w:sz w:val="24"/>
      <w:szCs w:val="20"/>
    </w:rPr>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Char"/>
    <w:basedOn w:val="1"/>
    <w:semiHidden/>
    <w:qFormat/>
    <w:uiPriority w:val="0"/>
    <w:pPr>
      <w:adjustRightInd w:val="0"/>
      <w:snapToGrid w:val="0"/>
      <w:spacing w:line="360" w:lineRule="auto"/>
      <w:ind w:firstLine="200" w:firstLineChars="200"/>
    </w:pPr>
    <w:rPr>
      <w:rFonts w:ascii="宋体" w:hAnsi="宋体" w:cs="宋体"/>
      <w:sz w:val="24"/>
      <w:szCs w:val="26"/>
    </w:rPr>
  </w:style>
  <w:style w:type="character" w:customStyle="1" w:styleId="56">
    <w:name w:val="文档结构图 Char"/>
    <w:link w:val="8"/>
    <w:qFormat/>
    <w:uiPriority w:val="0"/>
    <w:rPr>
      <w:rFonts w:ascii="宋体" w:hAnsi="Calibri"/>
      <w:kern w:val="2"/>
      <w:sz w:val="18"/>
      <w:szCs w:val="18"/>
    </w:rPr>
  </w:style>
  <w:style w:type="paragraph" w:customStyle="1" w:styleId="57">
    <w:name w:val="p0"/>
    <w:basedOn w:val="1"/>
    <w:qFormat/>
    <w:uiPriority w:val="0"/>
    <w:pPr>
      <w:widowControl/>
    </w:pPr>
    <w:rPr>
      <w:kern w:val="0"/>
      <w:szCs w:val="21"/>
    </w:rPr>
  </w:style>
  <w:style w:type="character" w:customStyle="1" w:styleId="58">
    <w:name w:val="正文文本缩进 3 Char"/>
    <w:link w:val="21"/>
    <w:qFormat/>
    <w:uiPriority w:val="0"/>
    <w:rPr>
      <w:kern w:val="2"/>
      <w:sz w:val="16"/>
      <w:szCs w:val="16"/>
    </w:rPr>
  </w:style>
  <w:style w:type="character" w:customStyle="1" w:styleId="59">
    <w:name w:val="正文缩进 Char1"/>
    <w:link w:val="6"/>
    <w:qFormat/>
    <w:uiPriority w:val="0"/>
    <w:rPr>
      <w:kern w:val="2"/>
      <w:sz w:val="21"/>
    </w:rPr>
  </w:style>
  <w:style w:type="character" w:customStyle="1" w:styleId="60">
    <w:name w:val="环评正文 字符"/>
    <w:link w:val="61"/>
    <w:qFormat/>
    <w:uiPriority w:val="3"/>
    <w:rPr>
      <w:rFonts w:eastAsia="FangSong_GB2312"/>
      <w:bCs/>
      <w:kern w:val="44"/>
      <w:sz w:val="24"/>
      <w:szCs w:val="28"/>
    </w:rPr>
  </w:style>
  <w:style w:type="paragraph" w:customStyle="1" w:styleId="61">
    <w:name w:val="环评正文"/>
    <w:basedOn w:val="2"/>
    <w:link w:val="60"/>
    <w:qFormat/>
    <w:uiPriority w:val="0"/>
    <w:pPr>
      <w:keepNext w:val="0"/>
      <w:overflowPunct/>
      <w:snapToGrid/>
      <w:spacing w:before="60" w:after="60" w:line="400" w:lineRule="exact"/>
      <w:ind w:left="0" w:firstLine="484"/>
      <w:outlineLvl w:val="9"/>
    </w:pPr>
    <w:rPr>
      <w:rFonts w:eastAsia="FangSong_GB2312"/>
      <w:b w:val="0"/>
      <w:color w:val="auto"/>
      <w:sz w:val="24"/>
      <w:szCs w:val="28"/>
    </w:rPr>
  </w:style>
  <w:style w:type="paragraph" w:customStyle="1" w:styleId="62">
    <w:name w:val="正文（首行缩进2字）"/>
    <w:basedOn w:val="1"/>
    <w:qFormat/>
    <w:uiPriority w:val="0"/>
    <w:pPr>
      <w:spacing w:line="300" w:lineRule="exact"/>
      <w:jc w:val="center"/>
    </w:pPr>
    <w:rPr>
      <w:rFonts w:ascii="Calibri" w:hAnsi="Calibri"/>
      <w:szCs w:val="21"/>
    </w:rPr>
  </w:style>
  <w:style w:type="paragraph" w:customStyle="1" w:styleId="63">
    <w:name w:val="正文四号"/>
    <w:basedOn w:val="1"/>
    <w:qFormat/>
    <w:uiPriority w:val="0"/>
    <w:pPr>
      <w:spacing w:line="360" w:lineRule="auto"/>
      <w:ind w:firstLine="200" w:firstLineChars="200"/>
    </w:pPr>
    <w:rPr>
      <w:rFonts w:ascii="Calibri" w:hAnsi="Calibri" w:cs="宋体"/>
      <w:sz w:val="24"/>
    </w:rPr>
  </w:style>
  <w:style w:type="paragraph" w:customStyle="1" w:styleId="64">
    <w:name w:val="正文 首行缩进:  2 字符"/>
    <w:basedOn w:val="1"/>
    <w:link w:val="96"/>
    <w:qFormat/>
    <w:uiPriority w:val="0"/>
    <w:pPr>
      <w:spacing w:line="440" w:lineRule="exact"/>
      <w:ind w:firstLine="480" w:firstLineChars="200"/>
    </w:pPr>
    <w:rPr>
      <w:rFonts w:ascii="Calibri" w:hAnsi="Calibri"/>
      <w:b/>
      <w:sz w:val="24"/>
    </w:rPr>
  </w:style>
  <w:style w:type="paragraph" w:customStyle="1" w:styleId="65">
    <w:name w:val="报告表 表中文字"/>
    <w:basedOn w:val="1"/>
    <w:qFormat/>
    <w:uiPriority w:val="0"/>
    <w:pPr>
      <w:adjustRightInd w:val="0"/>
      <w:snapToGrid w:val="0"/>
      <w:jc w:val="center"/>
    </w:pPr>
    <w:rPr>
      <w:rFonts w:eastAsia="Times New Roman"/>
    </w:rPr>
  </w:style>
  <w:style w:type="paragraph" w:customStyle="1" w:styleId="66">
    <w:name w:val="报告表 表名、表头、图名"/>
    <w:basedOn w:val="1"/>
    <w:qFormat/>
    <w:uiPriority w:val="0"/>
    <w:pPr>
      <w:adjustRightInd w:val="0"/>
      <w:snapToGrid w:val="0"/>
      <w:jc w:val="center"/>
    </w:pPr>
    <w:rPr>
      <w:rFonts w:eastAsia="Times New Roman"/>
      <w:b/>
      <w:szCs w:val="21"/>
    </w:rPr>
  </w:style>
  <w:style w:type="character" w:customStyle="1" w:styleId="67">
    <w:name w:val="列表 2 Char"/>
    <w:link w:val="13"/>
    <w:qFormat/>
    <w:uiPriority w:val="0"/>
    <w:rPr>
      <w:rFonts w:ascii="楷体_GB2312" w:hAnsi="宋体" w:eastAsia="楷体_GB2312"/>
      <w:color w:val="000000"/>
      <w:kern w:val="2"/>
      <w:sz w:val="21"/>
      <w:szCs w:val="28"/>
    </w:rPr>
  </w:style>
  <w:style w:type="character" w:customStyle="1" w:styleId="68">
    <w:name w:val="表内字 Char Char"/>
    <w:link w:val="69"/>
    <w:qFormat/>
    <w:uiPriority w:val="0"/>
    <w:rPr>
      <w:rFonts w:ascii="宋体" w:hAnsi="宋体"/>
      <w:kern w:val="2"/>
      <w:sz w:val="21"/>
      <w:szCs w:val="21"/>
    </w:rPr>
  </w:style>
  <w:style w:type="paragraph" w:customStyle="1" w:styleId="69">
    <w:name w:val="表内字"/>
    <w:link w:val="68"/>
    <w:qFormat/>
    <w:uiPriority w:val="0"/>
    <w:pPr>
      <w:widowControl w:val="0"/>
      <w:autoSpaceDE w:val="0"/>
      <w:autoSpaceDN w:val="0"/>
      <w:adjustRightInd w:val="0"/>
      <w:snapToGrid w:val="0"/>
      <w:spacing w:line="320" w:lineRule="exact"/>
      <w:jc w:val="center"/>
    </w:pPr>
    <w:rPr>
      <w:rFonts w:ascii="宋体" w:hAnsi="宋体" w:eastAsia="宋体" w:cs="Times New Roman"/>
      <w:kern w:val="2"/>
      <w:sz w:val="21"/>
      <w:szCs w:val="21"/>
      <w:lang w:val="en-US" w:eastAsia="zh-CN" w:bidi="ar-SA"/>
    </w:rPr>
  </w:style>
  <w:style w:type="paragraph" w:customStyle="1" w:styleId="70">
    <w:name w:val="忠庆表格"/>
    <w:basedOn w:val="71"/>
    <w:qFormat/>
    <w:uiPriority w:val="99"/>
    <w:rPr>
      <w:sz w:val="22"/>
      <w:szCs w:val="22"/>
    </w:rPr>
  </w:style>
  <w:style w:type="paragraph" w:styleId="7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表内字1"/>
    <w:basedOn w:val="1"/>
    <w:qFormat/>
    <w:uiPriority w:val="0"/>
    <w:pPr>
      <w:adjustRightInd w:val="0"/>
      <w:snapToGrid w:val="0"/>
      <w:spacing w:line="300" w:lineRule="exact"/>
      <w:jc w:val="center"/>
    </w:pPr>
    <w:rPr>
      <w:rFonts w:ascii="Calibri" w:hAnsi="Calibri"/>
      <w:color w:val="000000"/>
      <w:sz w:val="22"/>
      <w:szCs w:val="21"/>
    </w:rPr>
  </w:style>
  <w:style w:type="paragraph" w:customStyle="1" w:styleId="7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74">
    <w:name w:val="表头[BT]"/>
    <w:basedOn w:val="1"/>
    <w:qFormat/>
    <w:uiPriority w:val="0"/>
    <w:pPr>
      <w:adjustRightInd w:val="0"/>
      <w:spacing w:before="120" w:after="120"/>
      <w:jc w:val="center"/>
      <w:textAlignment w:val="baseline"/>
    </w:pPr>
    <w:rPr>
      <w:rFonts w:ascii="楷体_GB2312" w:eastAsia="楷体_GB2312"/>
      <w:kern w:val="0"/>
      <w:szCs w:val="20"/>
    </w:rPr>
  </w:style>
  <w:style w:type="paragraph" w:customStyle="1" w:styleId="75">
    <w:name w:val="表头1"/>
    <w:basedOn w:val="1"/>
    <w:qFormat/>
    <w:uiPriority w:val="0"/>
    <w:pPr>
      <w:adjustRightInd w:val="0"/>
      <w:snapToGrid w:val="0"/>
      <w:spacing w:beforeLines="100" w:line="460" w:lineRule="exact"/>
      <w:jc w:val="left"/>
    </w:pPr>
    <w:rPr>
      <w:rFonts w:eastAsia="黑体" w:cs="Arial"/>
      <w:b/>
      <w:color w:val="000000"/>
      <w:spacing w:val="2"/>
      <w:sz w:val="26"/>
      <w:szCs w:val="26"/>
    </w:rPr>
  </w:style>
  <w:style w:type="character" w:customStyle="1" w:styleId="76">
    <w:name w:val="正文文本缩进 2 Char"/>
    <w:link w:val="16"/>
    <w:qFormat/>
    <w:uiPriority w:val="0"/>
    <w:rPr>
      <w:kern w:val="2"/>
      <w:sz w:val="21"/>
      <w:szCs w:val="24"/>
    </w:rPr>
  </w:style>
  <w:style w:type="character" w:customStyle="1" w:styleId="77">
    <w:name w:val="标题 2 Char"/>
    <w:link w:val="3"/>
    <w:qFormat/>
    <w:uiPriority w:val="0"/>
    <w:rPr>
      <w:rFonts w:ascii="宋体" w:hAnsi="宋体"/>
      <w:kern w:val="2"/>
      <w:sz w:val="28"/>
      <w:szCs w:val="24"/>
    </w:rPr>
  </w:style>
  <w:style w:type="character" w:customStyle="1" w:styleId="78">
    <w:name w:val="标题 3 Char"/>
    <w:link w:val="4"/>
    <w:qFormat/>
    <w:uiPriority w:val="0"/>
    <w:rPr>
      <w:rFonts w:ascii="宋体" w:hAnsi="宋体"/>
      <w:kern w:val="2"/>
      <w:sz w:val="28"/>
    </w:rPr>
  </w:style>
  <w:style w:type="character" w:customStyle="1" w:styleId="79">
    <w:name w:val="标题 4 Char"/>
    <w:link w:val="5"/>
    <w:qFormat/>
    <w:uiPriority w:val="0"/>
    <w:rPr>
      <w:rFonts w:ascii="宋体" w:hAnsi="宋体"/>
      <w:bCs/>
      <w:kern w:val="2"/>
      <w:sz w:val="28"/>
      <w:szCs w:val="24"/>
      <w:lang w:val="en-GB"/>
    </w:rPr>
  </w:style>
  <w:style w:type="character" w:customStyle="1" w:styleId="80">
    <w:name w:val="标题 1 Char"/>
    <w:link w:val="2"/>
    <w:locked/>
    <w:uiPriority w:val="0"/>
    <w:rPr>
      <w:rFonts w:eastAsia="黑体"/>
      <w:b/>
      <w:bCs/>
      <w:color w:val="000000"/>
      <w:kern w:val="44"/>
      <w:sz w:val="30"/>
      <w:szCs w:val="30"/>
    </w:rPr>
  </w:style>
  <w:style w:type="character" w:customStyle="1" w:styleId="81">
    <w:name w:val="正文文本 3 Char"/>
    <w:link w:val="10"/>
    <w:uiPriority w:val="0"/>
    <w:rPr>
      <w:kern w:val="2"/>
      <w:sz w:val="24"/>
      <w:szCs w:val="24"/>
    </w:rPr>
  </w:style>
  <w:style w:type="character" w:customStyle="1" w:styleId="82">
    <w:name w:val="正文文本 2 Char"/>
    <w:link w:val="23"/>
    <w:uiPriority w:val="0"/>
    <w:rPr>
      <w:color w:val="FF0000"/>
      <w:kern w:val="2"/>
      <w:sz w:val="24"/>
      <w:szCs w:val="24"/>
    </w:rPr>
  </w:style>
  <w:style w:type="character" w:customStyle="1" w:styleId="83">
    <w:name w:val="indextext12"/>
    <w:uiPriority w:val="0"/>
    <w:rPr>
      <w:rFonts w:cs="Times New Roman"/>
    </w:rPr>
  </w:style>
  <w:style w:type="character" w:customStyle="1" w:styleId="84">
    <w:name w:val="style21"/>
    <w:uiPriority w:val="0"/>
    <w:rPr>
      <w:color w:val="0000FF"/>
    </w:rPr>
  </w:style>
  <w:style w:type="character" w:customStyle="1" w:styleId="85">
    <w:name w:val="表格 Char Char"/>
    <w:uiPriority w:val="0"/>
    <w:rPr>
      <w:rFonts w:ascii="Times New Roman" w:hAnsi="Times New Roman" w:eastAsia="宋体"/>
      <w:sz w:val="20"/>
    </w:rPr>
  </w:style>
  <w:style w:type="character" w:customStyle="1" w:styleId="86">
    <w:name w:val="正文01 Char1"/>
    <w:uiPriority w:val="0"/>
    <w:rPr>
      <w:rFonts w:ascii="Arial" w:hAnsi="Arial"/>
      <w:kern w:val="2"/>
      <w:sz w:val="24"/>
    </w:rPr>
  </w:style>
  <w:style w:type="character" w:customStyle="1" w:styleId="87">
    <w:name w:val="11正文 Char"/>
    <w:link w:val="88"/>
    <w:locked/>
    <w:uiPriority w:val="0"/>
    <w:rPr>
      <w:kern w:val="2"/>
      <w:sz w:val="24"/>
    </w:rPr>
  </w:style>
  <w:style w:type="paragraph" w:customStyle="1" w:styleId="88">
    <w:name w:val="11正文"/>
    <w:basedOn w:val="1"/>
    <w:link w:val="87"/>
    <w:uiPriority w:val="0"/>
    <w:pPr>
      <w:spacing w:line="500" w:lineRule="exact"/>
      <w:ind w:firstLine="200" w:firstLineChars="200"/>
    </w:pPr>
    <w:rPr>
      <w:sz w:val="24"/>
      <w:szCs w:val="20"/>
    </w:rPr>
  </w:style>
  <w:style w:type="character" w:customStyle="1" w:styleId="89">
    <w:name w:val="题注 Char"/>
    <w:link w:val="7"/>
    <w:locked/>
    <w:uiPriority w:val="0"/>
    <w:rPr>
      <w:rFonts w:ascii="Arial" w:hAnsi="Arial" w:eastAsia="黑体"/>
      <w:kern w:val="2"/>
      <w:lang w:val="zh-CN" w:eastAsia="zh-CN"/>
    </w:rPr>
  </w:style>
  <w:style w:type="character" w:customStyle="1" w:styleId="90">
    <w:name w:val="报告正文 Char"/>
    <w:link w:val="91"/>
    <w:locked/>
    <w:uiPriority w:val="0"/>
    <w:rPr>
      <w:kern w:val="2"/>
      <w:sz w:val="24"/>
    </w:rPr>
  </w:style>
  <w:style w:type="paragraph" w:customStyle="1" w:styleId="91">
    <w:name w:val="报告正文"/>
    <w:basedOn w:val="1"/>
    <w:link w:val="90"/>
    <w:uiPriority w:val="0"/>
    <w:pPr>
      <w:spacing w:line="500" w:lineRule="exact"/>
      <w:ind w:firstLine="480" w:firstLineChars="200"/>
    </w:pPr>
    <w:rPr>
      <w:sz w:val="24"/>
      <w:szCs w:val="20"/>
    </w:rPr>
  </w:style>
  <w:style w:type="character" w:customStyle="1" w:styleId="92">
    <w:name w:val="无页眉 Char Char1"/>
    <w:uiPriority w:val="0"/>
    <w:rPr>
      <w:rFonts w:eastAsia="宋体"/>
      <w:kern w:val="2"/>
      <w:sz w:val="18"/>
      <w:lang w:val="en-US" w:eastAsia="zh-CN"/>
    </w:rPr>
  </w:style>
  <w:style w:type="character" w:customStyle="1" w:styleId="93">
    <w:name w:val="L表格 Char"/>
    <w:link w:val="94"/>
    <w:locked/>
    <w:uiPriority w:val="0"/>
    <w:rPr>
      <w:kern w:val="2"/>
      <w:sz w:val="24"/>
    </w:rPr>
  </w:style>
  <w:style w:type="paragraph" w:customStyle="1" w:styleId="94">
    <w:name w:val="L表格"/>
    <w:basedOn w:val="1"/>
    <w:link w:val="93"/>
    <w:uiPriority w:val="0"/>
    <w:pPr>
      <w:adjustRightInd w:val="0"/>
      <w:snapToGrid w:val="0"/>
      <w:spacing w:line="320" w:lineRule="exact"/>
      <w:jc w:val="center"/>
    </w:pPr>
    <w:rPr>
      <w:sz w:val="24"/>
      <w:szCs w:val="20"/>
    </w:rPr>
  </w:style>
  <w:style w:type="character" w:customStyle="1" w:styleId="95">
    <w:name w:val="zi1"/>
    <w:uiPriority w:val="0"/>
    <w:rPr>
      <w:color w:val="000000"/>
      <w:sz w:val="18"/>
    </w:rPr>
  </w:style>
  <w:style w:type="character" w:customStyle="1" w:styleId="96">
    <w:name w:val="正文 首行缩进:  2 字符 Char"/>
    <w:link w:val="64"/>
    <w:locked/>
    <w:uiPriority w:val="0"/>
    <w:rPr>
      <w:rFonts w:ascii="Calibri" w:hAnsi="Calibri"/>
      <w:b/>
      <w:kern w:val="2"/>
      <w:sz w:val="24"/>
      <w:szCs w:val="24"/>
    </w:rPr>
  </w:style>
  <w:style w:type="character" w:customStyle="1" w:styleId="97">
    <w:name w:val="正文111111111 Char"/>
    <w:link w:val="98"/>
    <w:locked/>
    <w:uiPriority w:val="0"/>
    <w:rPr>
      <w:kern w:val="2"/>
      <w:sz w:val="24"/>
    </w:rPr>
  </w:style>
  <w:style w:type="paragraph" w:customStyle="1" w:styleId="98">
    <w:name w:val="正文111111111"/>
    <w:basedOn w:val="1"/>
    <w:link w:val="97"/>
    <w:uiPriority w:val="0"/>
    <w:pPr>
      <w:spacing w:line="360" w:lineRule="auto"/>
      <w:ind w:firstLine="480" w:firstLineChars="200"/>
    </w:pPr>
    <w:rPr>
      <w:sz w:val="24"/>
      <w:szCs w:val="20"/>
    </w:rPr>
  </w:style>
  <w:style w:type="character" w:customStyle="1" w:styleId="99">
    <w:name w:val="px141"/>
    <w:uiPriority w:val="0"/>
    <w:rPr>
      <w:sz w:val="21"/>
    </w:rPr>
  </w:style>
  <w:style w:type="character" w:customStyle="1" w:styleId="100">
    <w:name w:val="large1"/>
    <w:uiPriority w:val="0"/>
    <w:rPr>
      <w:spacing w:val="384"/>
      <w:sz w:val="22"/>
    </w:rPr>
  </w:style>
  <w:style w:type="character" w:customStyle="1" w:styleId="101">
    <w:name w:val="表格正文 Char"/>
    <w:link w:val="102"/>
    <w:locked/>
    <w:uiPriority w:val="0"/>
    <w:rPr>
      <w:rFonts w:ascii="Arial" w:hAnsi="Arial"/>
      <w:color w:val="000000"/>
      <w:kern w:val="2"/>
      <w:sz w:val="24"/>
    </w:rPr>
  </w:style>
  <w:style w:type="paragraph" w:customStyle="1" w:styleId="102">
    <w:name w:val="表格正文"/>
    <w:basedOn w:val="1"/>
    <w:link w:val="101"/>
    <w:uiPriority w:val="0"/>
    <w:pPr>
      <w:spacing w:line="360" w:lineRule="exact"/>
      <w:jc w:val="center"/>
    </w:pPr>
    <w:rPr>
      <w:rFonts w:ascii="Arial" w:hAnsi="Arial"/>
      <w:color w:val="000000"/>
      <w:sz w:val="24"/>
      <w:szCs w:val="20"/>
    </w:rPr>
  </w:style>
  <w:style w:type="character" w:customStyle="1" w:styleId="103">
    <w:name w:val="正文01 Char"/>
    <w:link w:val="104"/>
    <w:locked/>
    <w:uiPriority w:val="0"/>
    <w:rPr>
      <w:kern w:val="2"/>
      <w:sz w:val="24"/>
    </w:rPr>
  </w:style>
  <w:style w:type="paragraph" w:customStyle="1" w:styleId="104">
    <w:name w:val="正文01"/>
    <w:basedOn w:val="1"/>
    <w:next w:val="1"/>
    <w:link w:val="103"/>
    <w:uiPriority w:val="0"/>
    <w:pPr>
      <w:spacing w:before="60" w:line="460" w:lineRule="exact"/>
      <w:ind w:firstLine="200" w:firstLineChars="200"/>
    </w:pPr>
    <w:rPr>
      <w:sz w:val="24"/>
      <w:szCs w:val="20"/>
    </w:rPr>
  </w:style>
  <w:style w:type="character" w:customStyle="1" w:styleId="105">
    <w:name w:val="表头 Char"/>
    <w:link w:val="106"/>
    <w:locked/>
    <w:uiPriority w:val="0"/>
    <w:rPr>
      <w:spacing w:val="2"/>
      <w:kern w:val="2"/>
      <w:sz w:val="26"/>
    </w:rPr>
  </w:style>
  <w:style w:type="paragraph" w:customStyle="1" w:styleId="106">
    <w:name w:val="表头"/>
    <w:basedOn w:val="1"/>
    <w:link w:val="105"/>
    <w:qFormat/>
    <w:uiPriority w:val="0"/>
    <w:pPr>
      <w:adjustRightInd w:val="0"/>
      <w:snapToGrid w:val="0"/>
      <w:spacing w:line="460" w:lineRule="exact"/>
      <w:jc w:val="center"/>
    </w:pPr>
    <w:rPr>
      <w:spacing w:val="2"/>
      <w:sz w:val="26"/>
      <w:szCs w:val="20"/>
    </w:rPr>
  </w:style>
  <w:style w:type="character" w:customStyle="1" w:styleId="107">
    <w:name w:val="表格下方正文 Char1"/>
    <w:link w:val="108"/>
    <w:qFormat/>
    <w:locked/>
    <w:uiPriority w:val="0"/>
    <w:rPr>
      <w:kern w:val="2"/>
      <w:sz w:val="24"/>
    </w:rPr>
  </w:style>
  <w:style w:type="paragraph" w:customStyle="1" w:styleId="108">
    <w:name w:val="表格下方正文"/>
    <w:basedOn w:val="1"/>
    <w:link w:val="107"/>
    <w:qFormat/>
    <w:uiPriority w:val="0"/>
    <w:pPr>
      <w:spacing w:before="260" w:line="460" w:lineRule="exact"/>
      <w:ind w:firstLine="200" w:firstLineChars="200"/>
    </w:pPr>
    <w:rPr>
      <w:sz w:val="24"/>
      <w:szCs w:val="20"/>
    </w:rPr>
  </w:style>
  <w:style w:type="character" w:customStyle="1" w:styleId="109">
    <w:name w:val="表 Char"/>
    <w:link w:val="110"/>
    <w:qFormat/>
    <w:locked/>
    <w:uiPriority w:val="0"/>
    <w:rPr>
      <w:rFonts w:hAnsi="宋体"/>
      <w:snapToGrid w:val="0"/>
      <w:sz w:val="24"/>
    </w:rPr>
  </w:style>
  <w:style w:type="paragraph" w:customStyle="1" w:styleId="110">
    <w:name w:val="表"/>
    <w:basedOn w:val="11"/>
    <w:link w:val="109"/>
    <w:qFormat/>
    <w:uiPriority w:val="0"/>
    <w:pPr>
      <w:widowControl w:val="0"/>
      <w:tabs>
        <w:tab w:val="left" w:pos="1736"/>
        <w:tab w:val="left" w:pos="2476"/>
        <w:tab w:val="left" w:pos="5505"/>
        <w:tab w:val="left" w:pos="9692"/>
      </w:tabs>
      <w:snapToGrid/>
      <w:spacing w:before="0" w:after="0" w:line="360" w:lineRule="exact"/>
      <w:ind w:right="0"/>
      <w:jc w:val="center"/>
    </w:pPr>
    <w:rPr>
      <w:rFonts w:hAnsi="宋体"/>
      <w:snapToGrid w:val="0"/>
      <w:sz w:val="24"/>
    </w:rPr>
  </w:style>
  <w:style w:type="character" w:customStyle="1" w:styleId="111">
    <w:name w:val="15"/>
    <w:qFormat/>
    <w:uiPriority w:val="0"/>
    <w:rPr>
      <w:sz w:val="24"/>
    </w:rPr>
  </w:style>
  <w:style w:type="character" w:customStyle="1" w:styleId="112">
    <w:name w:val="tpc_content"/>
    <w:qFormat/>
    <w:uiPriority w:val="0"/>
    <w:rPr>
      <w:rFonts w:cs="Times New Roman"/>
    </w:rPr>
  </w:style>
  <w:style w:type="character" w:customStyle="1" w:styleId="113">
    <w:name w:val="纯文本 字符"/>
    <w:qFormat/>
    <w:uiPriority w:val="0"/>
    <w:rPr>
      <w:rFonts w:ascii="宋体" w:eastAsia="宋体"/>
      <w:sz w:val="24"/>
    </w:rPr>
  </w:style>
  <w:style w:type="character" w:customStyle="1" w:styleId="114">
    <w:name w:val="标题1"/>
    <w:qFormat/>
    <w:uiPriority w:val="0"/>
    <w:rPr>
      <w:rFonts w:cs="Times New Roman"/>
    </w:rPr>
  </w:style>
  <w:style w:type="character" w:customStyle="1" w:styleId="115">
    <w:name w:val="Char171"/>
    <w:qFormat/>
    <w:uiPriority w:val="0"/>
    <w:rPr>
      <w:rFonts w:ascii="Times New Roman" w:hAnsi="Times New Roman" w:eastAsia="宋体"/>
      <w:sz w:val="24"/>
      <w:shd w:val="clear" w:color="auto" w:fill="auto"/>
    </w:rPr>
  </w:style>
  <w:style w:type="paragraph" w:customStyle="1" w:styleId="116">
    <w:name w:val="前言、引言标题"/>
    <w:next w:val="1"/>
    <w:qFormat/>
    <w:uiPriority w:val="0"/>
    <w:pPr>
      <w:numPr>
        <w:ilvl w:val="0"/>
        <w:numId w:val="1"/>
      </w:num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117">
    <w:name w:val="表biao"/>
    <w:basedOn w:val="1"/>
    <w:qFormat/>
    <w:uiPriority w:val="0"/>
    <w:pPr>
      <w:jc w:val="center"/>
    </w:pPr>
    <w:rPr>
      <w:rFonts w:ascii="宋体" w:hAnsi="宋体"/>
      <w:sz w:val="24"/>
    </w:rPr>
  </w:style>
  <w:style w:type="paragraph" w:customStyle="1" w:styleId="118">
    <w:name w:val="样式 正文缩进正文（首行缩进两字）首缩两字 + 首行缩进:  2 字符"/>
    <w:basedOn w:val="6"/>
    <w:qFormat/>
    <w:uiPriority w:val="0"/>
    <w:pPr>
      <w:ind w:firstLine="419"/>
    </w:pPr>
    <w:rPr>
      <w:sz w:val="28"/>
    </w:rPr>
  </w:style>
  <w:style w:type="paragraph" w:customStyle="1" w:styleId="119">
    <w:name w:val="一级条标题"/>
    <w:basedOn w:val="120"/>
    <w:next w:val="1"/>
    <w:qFormat/>
    <w:uiPriority w:val="0"/>
    <w:pPr>
      <w:numPr>
        <w:ilvl w:val="2"/>
      </w:numPr>
      <w:tabs>
        <w:tab w:val="left" w:pos="360"/>
        <w:tab w:val="left" w:pos="903"/>
        <w:tab w:val="left" w:pos="1260"/>
      </w:tabs>
      <w:spacing w:before="0" w:after="0"/>
      <w:ind w:left="1260" w:hanging="420"/>
      <w:outlineLvl w:val="2"/>
    </w:pPr>
  </w:style>
  <w:style w:type="paragraph" w:customStyle="1" w:styleId="120">
    <w:name w:val="章标题"/>
    <w:next w:val="1"/>
    <w:qFormat/>
    <w:uiPriority w:val="0"/>
    <w:pPr>
      <w:numPr>
        <w:ilvl w:val="1"/>
        <w:numId w:val="1"/>
      </w:num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121">
    <w:name w:val="图表头"/>
    <w:basedOn w:val="1"/>
    <w:qFormat/>
    <w:uiPriority w:val="0"/>
    <w:pPr>
      <w:adjustRightInd w:val="0"/>
      <w:spacing w:line="360" w:lineRule="auto"/>
      <w:jc w:val="center"/>
      <w:textAlignment w:val="baseline"/>
    </w:pPr>
    <w:rPr>
      <w:rFonts w:ascii="黑体" w:eastAsia="黑体"/>
      <w:spacing w:val="5"/>
      <w:kern w:val="0"/>
      <w:szCs w:val="20"/>
    </w:rPr>
  </w:style>
  <w:style w:type="paragraph" w:customStyle="1" w:styleId="122">
    <w:name w:val="表格文字"/>
    <w:basedOn w:val="6"/>
    <w:link w:val="176"/>
    <w:qFormat/>
    <w:uiPriority w:val="0"/>
    <w:pPr>
      <w:adjustRightInd w:val="0"/>
      <w:spacing w:line="360" w:lineRule="atLeast"/>
      <w:jc w:val="center"/>
      <w:textAlignment w:val="baseline"/>
    </w:pPr>
    <w:rPr>
      <w:kern w:val="0"/>
      <w:sz w:val="20"/>
    </w:rPr>
  </w:style>
  <w:style w:type="paragraph" w:customStyle="1" w:styleId="123">
    <w:name w:val="Char1 Char Char Char Char Char Char Char Char1 Char Char Char"/>
    <w:basedOn w:val="1"/>
    <w:qFormat/>
    <w:uiPriority w:val="0"/>
    <w:pPr>
      <w:snapToGrid w:val="0"/>
      <w:spacing w:line="360" w:lineRule="auto"/>
      <w:ind w:firstLine="200" w:firstLineChars="200"/>
    </w:pPr>
    <w:rPr>
      <w:szCs w:val="20"/>
    </w:rPr>
  </w:style>
  <w:style w:type="paragraph" w:customStyle="1" w:styleId="12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25">
    <w:name w:val="二级条标题"/>
    <w:basedOn w:val="119"/>
    <w:next w:val="1"/>
    <w:qFormat/>
    <w:uiPriority w:val="0"/>
    <w:pPr>
      <w:numPr>
        <w:ilvl w:val="3"/>
      </w:numPr>
      <w:tabs>
        <w:tab w:val="left" w:pos="1680"/>
      </w:tabs>
      <w:ind w:left="1680"/>
      <w:outlineLvl w:val="3"/>
    </w:pPr>
  </w:style>
  <w:style w:type="paragraph" w:customStyle="1" w:styleId="126">
    <w:name w:val="样式1"/>
    <w:basedOn w:val="1"/>
    <w:link w:val="171"/>
    <w:qFormat/>
    <w:uiPriority w:val="0"/>
    <w:pPr>
      <w:adjustRightInd w:val="0"/>
      <w:spacing w:line="360" w:lineRule="auto"/>
      <w:ind w:left="50" w:leftChars="50" w:right="50" w:rightChars="50" w:firstLine="200" w:firstLineChars="200"/>
      <w:jc w:val="left"/>
      <w:textAlignment w:val="baseline"/>
    </w:pPr>
    <w:rPr>
      <w:rFonts w:ascii="宋体" w:hAnsi="宋体"/>
      <w:kern w:val="0"/>
      <w:sz w:val="28"/>
      <w:szCs w:val="20"/>
    </w:rPr>
  </w:style>
  <w:style w:type="paragraph" w:customStyle="1" w:styleId="127">
    <w:name w:val="zhang正文"/>
    <w:basedOn w:val="12"/>
    <w:qFormat/>
    <w:uiPriority w:val="0"/>
    <w:pPr>
      <w:autoSpaceDE w:val="0"/>
      <w:autoSpaceDN w:val="0"/>
      <w:adjustRightInd w:val="0"/>
      <w:snapToGrid w:val="0"/>
      <w:spacing w:after="0" w:line="500" w:lineRule="exact"/>
      <w:ind w:left="0" w:leftChars="0" w:firstLine="539"/>
      <w:textAlignment w:val="baseline"/>
    </w:pPr>
    <w:rPr>
      <w:rFonts w:eastAsia="楷体_GB2312"/>
      <w:sz w:val="28"/>
    </w:rPr>
  </w:style>
  <w:style w:type="paragraph" w:customStyle="1" w:styleId="128">
    <w:name w:val="0环评表格"/>
    <w:basedOn w:val="1"/>
    <w:qFormat/>
    <w:uiPriority w:val="0"/>
    <w:pPr>
      <w:snapToGrid w:val="0"/>
      <w:jc w:val="center"/>
    </w:pPr>
    <w:rPr>
      <w:rFonts w:ascii="宋体" w:hAnsi="宋体" w:cs="宋体"/>
      <w:sz w:val="22"/>
      <w:szCs w:val="22"/>
    </w:rPr>
  </w:style>
  <w:style w:type="paragraph" w:customStyle="1" w:styleId="129">
    <w:name w:val="三级条标题"/>
    <w:basedOn w:val="125"/>
    <w:next w:val="1"/>
    <w:qFormat/>
    <w:uiPriority w:val="0"/>
    <w:pPr>
      <w:numPr>
        <w:ilvl w:val="4"/>
      </w:numPr>
      <w:tabs>
        <w:tab w:val="left" w:pos="2100"/>
      </w:tabs>
      <w:ind w:left="2100"/>
      <w:outlineLvl w:val="4"/>
    </w:pPr>
  </w:style>
  <w:style w:type="paragraph" w:customStyle="1" w:styleId="130">
    <w:name w:val="表内容"/>
    <w:basedOn w:val="1"/>
    <w:next w:val="1"/>
    <w:qFormat/>
    <w:uiPriority w:val="0"/>
    <w:pPr>
      <w:spacing w:line="240" w:lineRule="atLeast"/>
      <w:jc w:val="center"/>
    </w:pPr>
    <w:rPr>
      <w:szCs w:val="21"/>
    </w:rPr>
  </w:style>
  <w:style w:type="paragraph" w:customStyle="1" w:styleId="131">
    <w:name w:val="1"/>
    <w:basedOn w:val="1"/>
    <w:qFormat/>
    <w:uiPriority w:val="0"/>
    <w:pPr>
      <w:spacing w:line="360" w:lineRule="auto"/>
      <w:jc w:val="center"/>
    </w:pPr>
    <w:rPr>
      <w:rFonts w:eastAsia="楷体_GB2312"/>
      <w:spacing w:val="-2"/>
      <w:szCs w:val="21"/>
    </w:rPr>
  </w:style>
  <w:style w:type="paragraph" w:customStyle="1" w:styleId="132">
    <w:name w:val="正文文本 211"/>
    <w:basedOn w:val="1"/>
    <w:qFormat/>
    <w:uiPriority w:val="0"/>
    <w:pPr>
      <w:adjustRightInd w:val="0"/>
      <w:ind w:firstLine="480"/>
      <w:textAlignment w:val="baseline"/>
    </w:pPr>
    <w:rPr>
      <w:rFonts w:ascii="宋体"/>
      <w:kern w:val="0"/>
      <w:sz w:val="24"/>
      <w:szCs w:val="20"/>
    </w:rPr>
  </w:style>
  <w:style w:type="paragraph" w:customStyle="1" w:styleId="133">
    <w:name w:val="xl52"/>
    <w:basedOn w:val="1"/>
    <w:qFormat/>
    <w:uiPriority w:val="0"/>
    <w:pPr>
      <w:widowControl/>
      <w:pBdr>
        <w:left w:val="single" w:color="auto" w:sz="8" w:space="0"/>
      </w:pBdr>
      <w:spacing w:before="100" w:beforeAutospacing="1" w:after="100" w:afterAutospacing="1"/>
      <w:jc w:val="center"/>
      <w:textAlignment w:val="center"/>
    </w:pPr>
    <w:rPr>
      <w:rFonts w:ascii="Arial Unicode MS" w:hAnsi="Arial Unicode MS" w:eastAsia="Arial Unicode MS" w:cs="黑体"/>
      <w:kern w:val="0"/>
      <w:sz w:val="24"/>
    </w:rPr>
  </w:style>
  <w:style w:type="paragraph" w:customStyle="1" w:styleId="134">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35">
    <w:name w:val="三级标题"/>
    <w:basedOn w:val="1"/>
    <w:next w:val="1"/>
    <w:qFormat/>
    <w:uiPriority w:val="0"/>
    <w:pPr>
      <w:spacing w:line="360" w:lineRule="auto"/>
      <w:jc w:val="center"/>
    </w:pPr>
    <w:rPr>
      <w:sz w:val="24"/>
      <w:szCs w:val="20"/>
    </w:rPr>
  </w:style>
  <w:style w:type="paragraph" w:customStyle="1" w:styleId="1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流程图"/>
    <w:basedOn w:val="1"/>
    <w:uiPriority w:val="0"/>
    <w:pPr>
      <w:tabs>
        <w:tab w:val="left" w:pos="0"/>
      </w:tabs>
      <w:autoSpaceDE w:val="0"/>
      <w:autoSpaceDN w:val="0"/>
      <w:adjustRightInd w:val="0"/>
      <w:spacing w:line="240" w:lineRule="atLeast"/>
      <w:jc w:val="center"/>
      <w:textAlignment w:val="bottom"/>
    </w:pPr>
    <w:rPr>
      <w:rFonts w:ascii="宋体" w:cs="Garamond"/>
      <w:szCs w:val="20"/>
    </w:rPr>
  </w:style>
  <w:style w:type="paragraph" w:customStyle="1" w:styleId="139">
    <w:name w:val="表格文字居中"/>
    <w:basedOn w:val="1"/>
    <w:qFormat/>
    <w:uiPriority w:val="0"/>
    <w:pPr>
      <w:jc w:val="center"/>
    </w:pPr>
  </w:style>
  <w:style w:type="paragraph" w:customStyle="1" w:styleId="140">
    <w:name w:val="Char Char5"/>
    <w:basedOn w:val="1"/>
    <w:qFormat/>
    <w:uiPriority w:val="0"/>
    <w:pPr>
      <w:ind w:firstLine="200" w:firstLineChars="200"/>
    </w:pPr>
  </w:style>
  <w:style w:type="paragraph" w:customStyle="1" w:styleId="141">
    <w:name w:val="Char4"/>
    <w:basedOn w:val="1"/>
    <w:qFormat/>
    <w:uiPriority w:val="0"/>
    <w:pPr>
      <w:spacing w:line="360" w:lineRule="auto"/>
      <w:ind w:firstLine="200" w:firstLineChars="200"/>
    </w:pPr>
    <w:rPr>
      <w:rFonts w:ascii="宋体" w:hAnsi="宋体" w:cs="宋体"/>
      <w:sz w:val="24"/>
    </w:rPr>
  </w:style>
  <w:style w:type="paragraph" w:customStyle="1" w:styleId="142">
    <w:name w:val="四级条标题"/>
    <w:basedOn w:val="129"/>
    <w:next w:val="1"/>
    <w:qFormat/>
    <w:uiPriority w:val="0"/>
    <w:pPr>
      <w:numPr>
        <w:ilvl w:val="5"/>
      </w:numPr>
      <w:tabs>
        <w:tab w:val="left" w:pos="2520"/>
      </w:tabs>
      <w:ind w:left="2520"/>
      <w:outlineLvl w:val="5"/>
    </w:pPr>
  </w:style>
  <w:style w:type="paragraph" w:customStyle="1" w:styleId="143">
    <w:name w:val="报告表标题"/>
    <w:basedOn w:val="1"/>
    <w:qFormat/>
    <w:uiPriority w:val="0"/>
    <w:pPr>
      <w:spacing w:line="460" w:lineRule="exact"/>
    </w:pPr>
    <w:rPr>
      <w:rFonts w:cs="宋体"/>
      <w:b/>
      <w:bCs/>
      <w:sz w:val="26"/>
      <w:szCs w:val="20"/>
    </w:rPr>
  </w:style>
  <w:style w:type="paragraph" w:customStyle="1" w:styleId="144">
    <w:name w:val="Char1"/>
    <w:basedOn w:val="1"/>
    <w:qFormat/>
    <w:uiPriority w:val="0"/>
  </w:style>
  <w:style w:type="paragraph" w:customStyle="1" w:styleId="145">
    <w:name w:val="xl4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6">
    <w:name w:val="图框"/>
    <w:basedOn w:val="1"/>
    <w:next w:val="1"/>
    <w:qFormat/>
    <w:uiPriority w:val="0"/>
    <w:pPr>
      <w:spacing w:line="320" w:lineRule="exact"/>
      <w:jc w:val="center"/>
    </w:pPr>
    <w:rPr>
      <w:szCs w:val="21"/>
    </w:rPr>
  </w:style>
  <w:style w:type="paragraph" w:customStyle="1" w:styleId="147">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148">
    <w:name w:val="Char Char Char Char Char Char Char Char Char Char"/>
    <w:basedOn w:val="1"/>
    <w:qFormat/>
    <w:uiPriority w:val="0"/>
    <w:pPr>
      <w:spacing w:before="300" w:after="300" w:line="560" w:lineRule="exact"/>
    </w:pPr>
    <w:rPr>
      <w:rFonts w:eastAsia="黑体"/>
      <w:sz w:val="36"/>
      <w:szCs w:val="36"/>
    </w:rPr>
  </w:style>
  <w:style w:type="paragraph" w:customStyle="1" w:styleId="149">
    <w:name w:val="默认段落字体 Para Char Char Char Char"/>
    <w:basedOn w:val="1"/>
    <w:qFormat/>
    <w:uiPriority w:val="0"/>
    <w:rPr>
      <w:sz w:val="24"/>
    </w:rPr>
  </w:style>
  <w:style w:type="paragraph" w:customStyle="1" w:styleId="150">
    <w:name w:val="xl24"/>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2"/>
      <w:szCs w:val="22"/>
    </w:rPr>
  </w:style>
  <w:style w:type="paragraph" w:customStyle="1" w:styleId="151">
    <w:name w:val="五级条标题"/>
    <w:basedOn w:val="142"/>
    <w:next w:val="1"/>
    <w:qFormat/>
    <w:uiPriority w:val="0"/>
    <w:pPr>
      <w:numPr>
        <w:ilvl w:val="6"/>
      </w:numPr>
      <w:tabs>
        <w:tab w:val="left" w:pos="2940"/>
      </w:tabs>
      <w:ind w:left="2940"/>
      <w:outlineLvl w:val="6"/>
    </w:pPr>
  </w:style>
  <w:style w:type="paragraph" w:customStyle="1" w:styleId="152">
    <w:name w:val="正文文本 22"/>
    <w:basedOn w:val="1"/>
    <w:qFormat/>
    <w:uiPriority w:val="0"/>
    <w:pPr>
      <w:adjustRightInd w:val="0"/>
      <w:ind w:firstLine="480"/>
    </w:pPr>
    <w:rPr>
      <w:rFonts w:ascii="宋体"/>
      <w:kern w:val="0"/>
      <w:sz w:val="24"/>
      <w:szCs w:val="20"/>
    </w:rPr>
  </w:style>
  <w:style w:type="paragraph" w:customStyle="1" w:styleId="153">
    <w:name w:val="xl31"/>
    <w:basedOn w:val="1"/>
    <w:qFormat/>
    <w:uiPriority w:val="0"/>
    <w:pPr>
      <w:widowControl/>
      <w:spacing w:before="100" w:beforeAutospacing="1" w:after="100" w:afterAutospacing="1"/>
      <w:jc w:val="center"/>
    </w:pPr>
    <w:rPr>
      <w:kern w:val="0"/>
      <w:sz w:val="24"/>
    </w:rPr>
  </w:style>
  <w:style w:type="paragraph" w:customStyle="1" w:styleId="154">
    <w:name w:val="H-正文"/>
    <w:basedOn w:val="1"/>
    <w:qFormat/>
    <w:uiPriority w:val="0"/>
    <w:pPr>
      <w:spacing w:line="360" w:lineRule="auto"/>
      <w:ind w:firstLine="200" w:firstLineChars="200"/>
      <w:jc w:val="left"/>
    </w:pPr>
    <w:rPr>
      <w:sz w:val="24"/>
    </w:rPr>
  </w:style>
  <w:style w:type="paragraph" w:customStyle="1" w:styleId="155">
    <w:name w:val="L正文"/>
    <w:basedOn w:val="1"/>
    <w:qFormat/>
    <w:uiPriority w:val="0"/>
    <w:pPr>
      <w:adjustRightInd w:val="0"/>
      <w:snapToGrid w:val="0"/>
      <w:spacing w:line="360" w:lineRule="auto"/>
      <w:ind w:firstLine="200" w:firstLineChars="200"/>
      <w:jc w:val="left"/>
    </w:pPr>
    <w:rPr>
      <w:sz w:val="24"/>
    </w:rPr>
  </w:style>
  <w:style w:type="paragraph" w:customStyle="1" w:styleId="156">
    <w:name w:val="表中文字"/>
    <w:basedOn w:val="1"/>
    <w:qFormat/>
    <w:uiPriority w:val="0"/>
    <w:pPr>
      <w:adjustRightInd w:val="0"/>
      <w:snapToGrid w:val="0"/>
      <w:spacing w:line="360" w:lineRule="exact"/>
      <w:jc w:val="center"/>
    </w:pPr>
    <w:rPr>
      <w:sz w:val="24"/>
    </w:rPr>
  </w:style>
  <w:style w:type="paragraph" w:customStyle="1" w:styleId="157">
    <w:name w:val="列出段落1"/>
    <w:basedOn w:val="1"/>
    <w:qFormat/>
    <w:uiPriority w:val="0"/>
    <w:pPr>
      <w:ind w:firstLine="420" w:firstLineChars="200"/>
    </w:pPr>
  </w:style>
  <w:style w:type="paragraph" w:customStyle="1" w:styleId="158">
    <w:name w:val="应填表格"/>
    <w:basedOn w:val="1"/>
    <w:qFormat/>
    <w:uiPriority w:val="0"/>
    <w:pPr>
      <w:adjustRightInd w:val="0"/>
      <w:spacing w:before="40" w:after="40"/>
      <w:jc w:val="left"/>
    </w:pPr>
    <w:rPr>
      <w:b/>
      <w:bCs/>
      <w:kern w:val="0"/>
      <w:sz w:val="24"/>
    </w:rPr>
  </w:style>
  <w:style w:type="paragraph" w:customStyle="1" w:styleId="15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60">
    <w:name w:val="表格样式"/>
    <w:basedOn w:val="1"/>
    <w:qFormat/>
    <w:uiPriority w:val="0"/>
    <w:pPr>
      <w:spacing w:beforeLines="50" w:afterLines="50"/>
      <w:jc w:val="center"/>
    </w:pPr>
  </w:style>
  <w:style w:type="paragraph" w:customStyle="1" w:styleId="161">
    <w:name w:val="表1"/>
    <w:basedOn w:val="1"/>
    <w:qFormat/>
    <w:uiPriority w:val="0"/>
    <w:pPr>
      <w:widowControl/>
      <w:snapToGrid w:val="0"/>
      <w:jc w:val="center"/>
      <w:textAlignment w:val="baseline"/>
      <w:outlineLvl w:val="0"/>
    </w:pPr>
    <w:rPr>
      <w:color w:val="000000"/>
      <w:kern w:val="0"/>
      <w:sz w:val="24"/>
      <w:szCs w:val="21"/>
      <w:u w:color="000000"/>
    </w:rPr>
  </w:style>
  <w:style w:type="character" w:customStyle="1" w:styleId="162">
    <w:name w:val="0表格标题 Char"/>
    <w:link w:val="163"/>
    <w:qFormat/>
    <w:uiPriority w:val="0"/>
    <w:rPr>
      <w:rFonts w:eastAsia="黑体"/>
      <w:szCs w:val="21"/>
    </w:rPr>
  </w:style>
  <w:style w:type="paragraph" w:customStyle="1" w:styleId="163">
    <w:name w:val="0表格标题"/>
    <w:basedOn w:val="1"/>
    <w:link w:val="162"/>
    <w:qFormat/>
    <w:uiPriority w:val="0"/>
    <w:pPr>
      <w:contextualSpacing/>
      <w:jc w:val="center"/>
    </w:pPr>
    <w:rPr>
      <w:rFonts w:eastAsia="黑体"/>
      <w:kern w:val="0"/>
      <w:sz w:val="20"/>
      <w:szCs w:val="21"/>
    </w:rPr>
  </w:style>
  <w:style w:type="character" w:customStyle="1" w:styleId="164">
    <w:name w:val="fontstyle01"/>
    <w:qFormat/>
    <w:uiPriority w:val="0"/>
    <w:rPr>
      <w:rFonts w:hint="eastAsia" w:ascii="黑体" w:hAnsi="黑体" w:eastAsia="黑体"/>
      <w:color w:val="000000"/>
      <w:sz w:val="22"/>
      <w:szCs w:val="22"/>
    </w:rPr>
  </w:style>
  <w:style w:type="paragraph" w:customStyle="1" w:styleId="165">
    <w:name w:val="正文   1"/>
    <w:basedOn w:val="1"/>
    <w:qFormat/>
    <w:uiPriority w:val="0"/>
    <w:pPr>
      <w:snapToGrid w:val="0"/>
      <w:spacing w:line="460" w:lineRule="atLeast"/>
      <w:ind w:firstLine="520" w:firstLineChars="200"/>
    </w:pPr>
    <w:rPr>
      <w:bCs/>
      <w:sz w:val="26"/>
      <w:szCs w:val="20"/>
    </w:rPr>
  </w:style>
  <w:style w:type="paragraph" w:customStyle="1" w:styleId="166">
    <w:name w:val="报告表正文"/>
    <w:basedOn w:val="1"/>
    <w:link w:val="167"/>
    <w:qFormat/>
    <w:uiPriority w:val="0"/>
    <w:pPr>
      <w:adjustRightInd w:val="0"/>
      <w:snapToGrid w:val="0"/>
      <w:spacing w:line="460" w:lineRule="atLeast"/>
      <w:ind w:firstLine="480" w:firstLineChars="200"/>
      <w:jc w:val="left"/>
    </w:pPr>
    <w:rPr>
      <w:rFonts w:hAnsi="宋体"/>
      <w:bCs/>
      <w:sz w:val="24"/>
    </w:rPr>
  </w:style>
  <w:style w:type="character" w:customStyle="1" w:styleId="167">
    <w:name w:val="报告表正文 字符"/>
    <w:link w:val="166"/>
    <w:qFormat/>
    <w:uiPriority w:val="0"/>
    <w:rPr>
      <w:rFonts w:hAnsi="宋体"/>
      <w:bCs/>
      <w:kern w:val="2"/>
      <w:sz w:val="24"/>
      <w:szCs w:val="24"/>
    </w:rPr>
  </w:style>
  <w:style w:type="paragraph" w:customStyle="1" w:styleId="168">
    <w:name w:val="A表格内居中文字"/>
    <w:basedOn w:val="1"/>
    <w:link w:val="169"/>
    <w:qFormat/>
    <w:uiPriority w:val="0"/>
    <w:pPr>
      <w:spacing w:line="360" w:lineRule="atLeast"/>
      <w:jc w:val="center"/>
    </w:pPr>
    <w:rPr>
      <w:sz w:val="22"/>
    </w:rPr>
  </w:style>
  <w:style w:type="character" w:customStyle="1" w:styleId="169">
    <w:name w:val="A表格内居中文字 字符"/>
    <w:basedOn w:val="29"/>
    <w:link w:val="168"/>
    <w:qFormat/>
    <w:uiPriority w:val="0"/>
    <w:rPr>
      <w:kern w:val="2"/>
      <w:sz w:val="22"/>
      <w:szCs w:val="24"/>
    </w:rPr>
  </w:style>
  <w:style w:type="character" w:customStyle="1" w:styleId="170">
    <w:name w:val="fontstyle11"/>
    <w:basedOn w:val="29"/>
    <w:qFormat/>
    <w:uiPriority w:val="0"/>
    <w:rPr>
      <w:rFonts w:hint="eastAsia" w:ascii="宋体" w:hAnsi="宋体" w:eastAsia="宋体"/>
      <w:color w:val="000000"/>
      <w:sz w:val="22"/>
      <w:szCs w:val="22"/>
    </w:rPr>
  </w:style>
  <w:style w:type="character" w:customStyle="1" w:styleId="171">
    <w:name w:val="样式1 Char Char"/>
    <w:link w:val="126"/>
    <w:qFormat/>
    <w:uiPriority w:val="0"/>
    <w:rPr>
      <w:rFonts w:ascii="宋体" w:hAnsi="宋体"/>
      <w:sz w:val="28"/>
    </w:rPr>
  </w:style>
  <w:style w:type="character" w:customStyle="1" w:styleId="172">
    <w:name w:val="fontstyle21"/>
    <w:basedOn w:val="29"/>
    <w:qFormat/>
    <w:uiPriority w:val="0"/>
    <w:rPr>
      <w:rFonts w:hint="eastAsia" w:ascii="宋体" w:hAnsi="宋体" w:eastAsia="宋体"/>
      <w:color w:val="000000"/>
      <w:sz w:val="20"/>
      <w:szCs w:val="20"/>
    </w:rPr>
  </w:style>
  <w:style w:type="paragraph" w:customStyle="1" w:styleId="173">
    <w:name w:val="【正文】"/>
    <w:basedOn w:val="1"/>
    <w:qFormat/>
    <w:uiPriority w:val="0"/>
    <w:pPr>
      <w:spacing w:line="440" w:lineRule="exact"/>
      <w:ind w:firstLine="200" w:firstLineChars="200"/>
    </w:pPr>
    <w:rPr>
      <w:rFonts w:cs="宋体"/>
      <w:szCs w:val="20"/>
    </w:rPr>
  </w:style>
  <w:style w:type="paragraph" w:customStyle="1" w:styleId="174">
    <w:name w:val="0正文"/>
    <w:basedOn w:val="1"/>
    <w:link w:val="175"/>
    <w:qFormat/>
    <w:uiPriority w:val="0"/>
    <w:pPr>
      <w:adjustRightInd w:val="0"/>
      <w:snapToGrid w:val="0"/>
      <w:spacing w:line="460" w:lineRule="exact"/>
      <w:ind w:firstLine="200" w:firstLineChars="200"/>
    </w:pPr>
    <w:rPr>
      <w:color w:val="000000"/>
      <w:sz w:val="26"/>
      <w:szCs w:val="26"/>
    </w:rPr>
  </w:style>
  <w:style w:type="character" w:customStyle="1" w:styleId="175">
    <w:name w:val="0正文 Char"/>
    <w:link w:val="174"/>
    <w:qFormat/>
    <w:uiPriority w:val="0"/>
    <w:rPr>
      <w:color w:val="000000"/>
      <w:kern w:val="2"/>
      <w:sz w:val="26"/>
      <w:szCs w:val="26"/>
    </w:rPr>
  </w:style>
  <w:style w:type="character" w:customStyle="1" w:styleId="176">
    <w:name w:val="表格文字 Char Char"/>
    <w:link w:val="122"/>
    <w:qFormat/>
    <w:uiPriority w:val="0"/>
  </w:style>
  <w:style w:type="paragraph" w:customStyle="1" w:styleId="177">
    <w:name w:val="样式4"/>
    <w:basedOn w:val="1"/>
    <w:qFormat/>
    <w:uiPriority w:val="0"/>
    <w:pPr>
      <w:adjustRightInd w:val="0"/>
      <w:snapToGrid w:val="0"/>
      <w:spacing w:line="320" w:lineRule="exact"/>
      <w:jc w:val="center"/>
    </w:pPr>
    <w:rPr>
      <w:sz w:val="22"/>
      <w:szCs w:val="22"/>
    </w:rPr>
  </w:style>
  <w:style w:type="paragraph" w:customStyle="1" w:styleId="178">
    <w:name w:val="表文字"/>
    <w:basedOn w:val="1"/>
    <w:qFormat/>
    <w:uiPriority w:val="0"/>
    <w:pPr>
      <w:tabs>
        <w:tab w:val="left" w:pos="945"/>
        <w:tab w:val="right" w:leader="dot" w:pos="1155"/>
        <w:tab w:val="left" w:pos="8715"/>
      </w:tabs>
      <w:adjustRightInd w:val="0"/>
      <w:snapToGrid w:val="0"/>
      <w:spacing w:beforeLines="15" w:afterLines="15" w:line="360" w:lineRule="auto"/>
      <w:jc w:val="center"/>
    </w:pPr>
    <w:rPr>
      <w:rFonts w:ascii="宋体" w:hAnsi="宋体"/>
      <w:color w:val="000000"/>
      <w:kern w:val="0"/>
      <w:szCs w:val="9"/>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6.wmf"/><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6.bin"/><Relationship Id="rId28" Type="http://schemas.openxmlformats.org/officeDocument/2006/relationships/image" Target="media/image14.wmf"/><Relationship Id="rId27" Type="http://schemas.openxmlformats.org/officeDocument/2006/relationships/oleObject" Target="embeddings/oleObject5.bin"/><Relationship Id="rId26" Type="http://schemas.openxmlformats.org/officeDocument/2006/relationships/image" Target="media/image13.wmf"/><Relationship Id="rId25" Type="http://schemas.openxmlformats.org/officeDocument/2006/relationships/image" Target="media/image12.wmf"/><Relationship Id="rId24" Type="http://schemas.openxmlformats.org/officeDocument/2006/relationships/image" Target="media/image11.wmf"/><Relationship Id="rId23" Type="http://schemas.openxmlformats.org/officeDocument/2006/relationships/image" Target="media/image10.wmf"/><Relationship Id="rId22" Type="http://schemas.openxmlformats.org/officeDocument/2006/relationships/image" Target="media/image9.wmf"/><Relationship Id="rId21" Type="http://schemas.openxmlformats.org/officeDocument/2006/relationships/image" Target="media/image8.wmf"/><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oleObject" Target="embeddings/oleObject3.bin"/><Relationship Id="rId17" Type="http://schemas.openxmlformats.org/officeDocument/2006/relationships/image" Target="media/image6.wmf"/><Relationship Id="rId16" Type="http://schemas.openxmlformats.org/officeDocument/2006/relationships/oleObject" Target="embeddings/oleObject2.bin"/><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324B8-87BE-49C8-92A9-F4DB2CC8D2D3}">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97</Pages>
  <Words>28229</Words>
  <Characters>31726</Characters>
  <Lines>531</Lines>
  <Paragraphs>149</Paragraphs>
  <TotalTime>10844</TotalTime>
  <ScaleCrop>false</ScaleCrop>
  <LinksUpToDate>false</LinksUpToDate>
  <CharactersWithSpaces>31838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2021-10-21T06:56:00Z</dcterms:created>
  <dc:creator>lhj</dc:creator>
  <cp:lastModifiedBy>彬</cp:lastModifiedBy>
  <cp:lastPrinted>2021-05-30T10:03:00Z</cp:lastPrinted>
  <dcterms:modified xsi:type="dcterms:W3CDTF">2025-04-22T05:09:12Z</dcterms:modified>
  <dc:title>附件2</dc:title>
  <cp:revision>2036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eyJoZGlkIjoiMTMyM2VhMjBmM2YyZDY4MGZiMGE2NTg2M2Y4ZjQzMTMiLCJ1c2VySWQiOiIzMDg0ODQ5NDgifQ==</vt:lpwstr>
  </property>
  <property fmtid="{D5CDD505-2E9C-101B-9397-08002B2CF9AE}" pid="4" name="ICV">
    <vt:lpwstr>2F9CBCB761B84C24B56592D88EB2DCFD_12</vt:lpwstr>
  </property>
</Properties>
</file>