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950E05">
      <w:pPr>
        <w:rPr>
          <w:rFonts w:hint="eastAsia" w:ascii="仿宋_GB2312" w:hAnsi="仿宋_GB2312" w:eastAsia="仿宋_GB2312" w:cs="仿宋_GB2312"/>
          <w:sz w:val="36"/>
          <w:szCs w:val="36"/>
        </w:rPr>
      </w:pPr>
    </w:p>
    <w:p w14:paraId="72E4A216">
      <w:pPr>
        <w:adjustRightInd w:val="0"/>
        <w:snapToGrid w:val="0"/>
        <w:jc w:val="center"/>
        <w:outlineLvl w:val="0"/>
        <w:rPr>
          <w:rFonts w:hint="eastAsia" w:ascii="方正小标宋_GBK" w:eastAsia="方正小标宋_GBK"/>
          <w:bCs/>
          <w:sz w:val="72"/>
          <w:szCs w:val="72"/>
        </w:rPr>
      </w:pPr>
      <w:r>
        <w:rPr>
          <w:rFonts w:hint="eastAsia" w:ascii="方正小标宋_GBK" w:eastAsia="方正小标宋_GBK"/>
          <w:bCs/>
          <w:sz w:val="72"/>
          <w:szCs w:val="72"/>
        </w:rPr>
        <w:t>建设项目环境影响报告表</w:t>
      </w:r>
    </w:p>
    <w:p w14:paraId="54E70DDD">
      <w:pPr>
        <w:adjustRightInd w:val="0"/>
        <w:snapToGrid w:val="0"/>
        <w:spacing w:beforeLines="80"/>
        <w:jc w:val="center"/>
        <w:rPr>
          <w:rFonts w:hint="eastAsia" w:ascii="楷体_GB2312" w:eastAsia="楷体_GB2312"/>
          <w:bCs/>
          <w:sz w:val="48"/>
          <w:szCs w:val="48"/>
        </w:rPr>
      </w:pPr>
      <w:r>
        <w:rPr>
          <w:rFonts w:hint="eastAsia" w:ascii="楷体_GB2312" w:eastAsia="楷体_GB2312"/>
          <w:bCs/>
          <w:sz w:val="48"/>
          <w:szCs w:val="48"/>
        </w:rPr>
        <w:t>（污染影响类）</w:t>
      </w:r>
    </w:p>
    <w:p w14:paraId="60B1C588">
      <w:pPr>
        <w:adjustRightInd w:val="0"/>
        <w:snapToGrid w:val="0"/>
        <w:spacing w:line="288" w:lineRule="auto"/>
        <w:jc w:val="center"/>
        <w:outlineLvl w:val="0"/>
        <w:rPr>
          <w:rFonts w:ascii="楷体_GB2312" w:eastAsia="楷体_GB2312"/>
          <w:bCs/>
          <w:sz w:val="48"/>
          <w:szCs w:val="48"/>
        </w:rPr>
      </w:pPr>
    </w:p>
    <w:p w14:paraId="478E44C3">
      <w:pPr>
        <w:adjustRightInd w:val="0"/>
        <w:snapToGrid w:val="0"/>
        <w:spacing w:line="288" w:lineRule="auto"/>
        <w:jc w:val="center"/>
        <w:outlineLvl w:val="0"/>
        <w:rPr>
          <w:rFonts w:hint="eastAsia" w:ascii="华文仿宋" w:hAnsi="华文仿宋" w:eastAsia="华文仿宋" w:cs="华文仿宋"/>
          <w:kern w:val="44"/>
          <w:sz w:val="44"/>
          <w:szCs w:val="44"/>
        </w:rPr>
      </w:pPr>
    </w:p>
    <w:p w14:paraId="0D8691BB">
      <w:pPr>
        <w:pStyle w:val="2"/>
        <w:rPr>
          <w:rFonts w:hint="eastAsia"/>
        </w:rPr>
      </w:pPr>
    </w:p>
    <w:p w14:paraId="49A33C4D">
      <w:pPr>
        <w:rPr>
          <w:rFonts w:hint="eastAsia"/>
        </w:rPr>
      </w:pPr>
    </w:p>
    <w:p w14:paraId="3CAE8CC8">
      <w:pPr>
        <w:pStyle w:val="2"/>
        <w:rPr>
          <w:rFonts w:hint="eastAsia"/>
        </w:rPr>
      </w:pPr>
    </w:p>
    <w:p w14:paraId="7AE0CD50">
      <w:pPr>
        <w:rPr>
          <w:rFonts w:hint="eastAsia"/>
        </w:rPr>
      </w:pPr>
    </w:p>
    <w:p w14:paraId="056F8A7C">
      <w:pPr>
        <w:pStyle w:val="2"/>
        <w:rPr>
          <w:rFonts w:hint="eastAsia"/>
        </w:rPr>
      </w:pPr>
    </w:p>
    <w:p w14:paraId="1522CB10">
      <w:pPr>
        <w:rPr>
          <w:rFonts w:hint="eastAsia"/>
        </w:rPr>
      </w:pPr>
    </w:p>
    <w:p w14:paraId="0FFC89A4">
      <w:pPr>
        <w:pStyle w:val="2"/>
        <w:rPr>
          <w:rFonts w:hint="eastAsia"/>
        </w:rPr>
      </w:pPr>
    </w:p>
    <w:p w14:paraId="3EA486EF">
      <w:pPr>
        <w:rPr>
          <w:rFonts w:hint="eastAsia"/>
        </w:rPr>
      </w:pPr>
    </w:p>
    <w:p w14:paraId="25223BE5">
      <w:pPr>
        <w:jc w:val="center"/>
        <w:rPr>
          <w:rFonts w:eastAsia="仿宋"/>
          <w:sz w:val="52"/>
          <w:szCs w:val="52"/>
        </w:rPr>
      </w:pPr>
    </w:p>
    <w:p w14:paraId="56CAD083">
      <w:pPr>
        <w:rPr>
          <w:rFonts w:hint="eastAsia" w:eastAsia="仿宋"/>
          <w:sz w:val="44"/>
          <w:szCs w:val="44"/>
        </w:rPr>
      </w:pPr>
    </w:p>
    <w:p w14:paraId="4D4D51C3">
      <w:pPr>
        <w:ind w:firstLine="1040"/>
        <w:rPr>
          <w:rFonts w:eastAsia="仿宋"/>
          <w:sz w:val="44"/>
          <w:szCs w:val="44"/>
        </w:rPr>
      </w:pPr>
    </w:p>
    <w:p w14:paraId="3D485E51">
      <w:pPr>
        <w:adjustRightInd w:val="0"/>
        <w:snapToGrid w:val="0"/>
        <w:spacing w:line="288" w:lineRule="auto"/>
        <w:rPr>
          <w:rFonts w:ascii="仿宋_GB2312" w:eastAsia="仿宋_GB2312"/>
          <w:sz w:val="36"/>
          <w:szCs w:val="36"/>
          <w:u w:val="single"/>
        </w:rPr>
      </w:pPr>
      <w:r>
        <w:rPr>
          <w:rFonts w:hint="eastAsia" w:ascii="仿宋_GB2312" w:eastAsia="仿宋_GB2312"/>
          <w:sz w:val="36"/>
          <w:szCs w:val="36"/>
        </w:rPr>
        <w:t xml:space="preserve">项目名称： </w:t>
      </w:r>
      <w:r>
        <w:rPr>
          <w:rFonts w:hint="eastAsia" w:ascii="仿宋_GB2312" w:eastAsia="仿宋_GB2312"/>
          <w:sz w:val="36"/>
          <w:szCs w:val="36"/>
          <w:u w:val="single"/>
        </w:rPr>
        <w:t xml:space="preserve">     李渡工业园区环城西路加油站      </w:t>
      </w:r>
    </w:p>
    <w:p w14:paraId="1D1B18B6">
      <w:pPr>
        <w:adjustRightInd w:val="0"/>
        <w:snapToGrid w:val="0"/>
        <w:spacing w:line="288" w:lineRule="auto"/>
        <w:rPr>
          <w:rFonts w:hint="eastAsia" w:ascii="仿宋_GB2312" w:eastAsia="仿宋_GB2312"/>
          <w:sz w:val="36"/>
          <w:szCs w:val="36"/>
          <w:u w:val="single"/>
        </w:rPr>
      </w:pPr>
      <w:r>
        <w:rPr>
          <w:rFonts w:hint="eastAsia" w:ascii="仿宋_GB2312" w:eastAsia="仿宋_GB2312"/>
          <w:sz w:val="36"/>
          <w:szCs w:val="36"/>
        </w:rPr>
        <w:t>建设单位（盖章）：</w:t>
      </w:r>
      <w:r>
        <w:rPr>
          <w:rFonts w:hint="eastAsia" w:ascii="仿宋_GB2312" w:eastAsia="仿宋_GB2312"/>
          <w:sz w:val="36"/>
          <w:szCs w:val="36"/>
          <w:u w:val="single"/>
        </w:rPr>
        <w:t xml:space="preserve"> 重庆市涪陵区永天商贸有限公司 </w:t>
      </w:r>
    </w:p>
    <w:p w14:paraId="6D8FE040">
      <w:pPr>
        <w:adjustRightInd w:val="0"/>
        <w:snapToGrid w:val="0"/>
        <w:spacing w:line="288" w:lineRule="auto"/>
        <w:rPr>
          <w:rFonts w:ascii="仿宋_GB2312" w:eastAsia="仿宋_GB2312"/>
          <w:sz w:val="36"/>
          <w:szCs w:val="36"/>
          <w:u w:val="single"/>
        </w:rPr>
      </w:pPr>
      <w:r>
        <w:rPr>
          <w:rFonts w:hint="eastAsia" w:ascii="仿宋_GB2312" w:eastAsia="仿宋_GB2312"/>
          <w:sz w:val="36"/>
          <w:szCs w:val="36"/>
        </w:rPr>
        <w:t>编制日期：</w:t>
      </w:r>
      <w:r>
        <w:rPr>
          <w:rFonts w:hint="eastAsia" w:ascii="仿宋_GB2312" w:eastAsia="仿宋_GB2312"/>
          <w:sz w:val="36"/>
          <w:szCs w:val="36"/>
          <w:u w:val="single"/>
        </w:rPr>
        <w:t xml:space="preserve">            二〇二二年七月            </w:t>
      </w:r>
    </w:p>
    <w:p w14:paraId="03805727">
      <w:pPr>
        <w:adjustRightInd w:val="0"/>
        <w:snapToGrid w:val="0"/>
        <w:spacing w:line="288" w:lineRule="auto"/>
        <w:ind w:firstLine="1040"/>
        <w:rPr>
          <w:rFonts w:ascii="仿宋_GB2312" w:eastAsia="仿宋_GB2312"/>
          <w:sz w:val="36"/>
          <w:szCs w:val="36"/>
          <w:u w:val="single"/>
        </w:rPr>
      </w:pPr>
      <w:bookmarkStart w:id="0" w:name="_Hlk57884087"/>
    </w:p>
    <w:p w14:paraId="50BB5825">
      <w:pPr>
        <w:adjustRightInd w:val="0"/>
        <w:snapToGrid w:val="0"/>
        <w:spacing w:line="288" w:lineRule="auto"/>
        <w:ind w:firstLine="1040"/>
        <w:rPr>
          <w:rFonts w:hint="eastAsia" w:ascii="仿宋_GB2312" w:eastAsia="仿宋_GB2312"/>
          <w:sz w:val="36"/>
          <w:szCs w:val="36"/>
        </w:rPr>
      </w:pPr>
    </w:p>
    <w:p w14:paraId="7852449E">
      <w:pPr>
        <w:adjustRightInd w:val="0"/>
        <w:snapToGrid w:val="0"/>
        <w:spacing w:line="288" w:lineRule="auto"/>
        <w:ind w:firstLine="1040"/>
        <w:rPr>
          <w:rFonts w:hint="eastAsia" w:ascii="仿宋_GB2312" w:eastAsia="仿宋_GB2312"/>
          <w:sz w:val="36"/>
          <w:szCs w:val="36"/>
        </w:rPr>
      </w:pPr>
    </w:p>
    <w:bookmarkEnd w:id="0"/>
    <w:p w14:paraId="5B7B7F15">
      <w:pPr>
        <w:adjustRightInd w:val="0"/>
        <w:snapToGrid w:val="0"/>
        <w:spacing w:line="288" w:lineRule="auto"/>
        <w:jc w:val="center"/>
        <w:rPr>
          <w:rFonts w:hint="eastAsia" w:ascii="楷体_GB2312" w:eastAsia="楷体_GB2312"/>
          <w:sz w:val="36"/>
          <w:szCs w:val="36"/>
        </w:rPr>
      </w:pPr>
      <w:r>
        <w:rPr>
          <w:rFonts w:hint="eastAsia" w:ascii="楷体_GB2312" w:eastAsia="楷体_GB2312"/>
          <w:sz w:val="36"/>
          <w:szCs w:val="36"/>
        </w:rPr>
        <w:t>中华人民共和国生态环境部制</w:t>
      </w:r>
    </w:p>
    <w:p w14:paraId="02DAF7D6">
      <w:pPr>
        <w:adjustRightInd w:val="0"/>
        <w:snapToGrid w:val="0"/>
        <w:spacing w:line="288" w:lineRule="auto"/>
        <w:ind w:firstLine="1040"/>
        <w:rPr>
          <w:rFonts w:ascii="仿宋_GB2312" w:eastAsia="仿宋_GB2312"/>
          <w:sz w:val="36"/>
          <w:szCs w:val="36"/>
        </w:rPr>
        <w:sectPr>
          <w:footerReference r:id="rId3" w:type="default"/>
          <w:footerReference r:id="rId4" w:type="even"/>
          <w:pgSz w:w="11906" w:h="16838"/>
          <w:pgMar w:top="1701" w:right="1531" w:bottom="1701" w:left="1531" w:header="851" w:footer="1077" w:gutter="0"/>
          <w:pgNumType w:start="3"/>
          <w:cols w:space="720" w:num="1"/>
          <w:docGrid w:linePitch="312" w:charSpace="0"/>
        </w:sectPr>
      </w:pPr>
    </w:p>
    <w:p w14:paraId="6D651F5B">
      <w:pPr>
        <w:pStyle w:val="21"/>
        <w:jc w:val="center"/>
        <w:outlineLvl w:val="0"/>
        <w:rPr>
          <w:rFonts w:hint="eastAsia" w:ascii="黑体" w:hAnsi="黑体" w:eastAsia="黑体"/>
          <w:snapToGrid w:val="0"/>
          <w:sz w:val="30"/>
          <w:szCs w:val="30"/>
        </w:rPr>
      </w:pPr>
      <w:r>
        <w:rPr>
          <w:rFonts w:hint="eastAsia" w:ascii="黑体" w:hAnsi="黑体" w:eastAsia="黑体"/>
          <w:snapToGrid w:val="0"/>
          <w:sz w:val="30"/>
          <w:szCs w:val="30"/>
        </w:rPr>
        <w:t>一、建设项目基本情况</w:t>
      </w:r>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720"/>
        <w:gridCol w:w="1190"/>
        <w:gridCol w:w="2280"/>
        <w:gridCol w:w="2041"/>
        <w:gridCol w:w="2639"/>
      </w:tblGrid>
      <w:tr w14:paraId="1630FF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10" w:type="dxa"/>
            <w:gridSpan w:val="2"/>
            <w:tcMar>
              <w:top w:w="16" w:type="dxa"/>
              <w:left w:w="16" w:type="dxa"/>
              <w:right w:w="16" w:type="dxa"/>
            </w:tcMar>
            <w:vAlign w:val="center"/>
          </w:tcPr>
          <w:p w14:paraId="74504CE9">
            <w:pPr>
              <w:adjustRightInd w:val="0"/>
              <w:snapToGrid w:val="0"/>
              <w:jc w:val="center"/>
              <w:rPr>
                <w:rFonts w:ascii="宋体" w:hAnsi="宋体" w:cs="宋体"/>
                <w:szCs w:val="21"/>
              </w:rPr>
            </w:pPr>
            <w:r>
              <w:rPr>
                <w:rFonts w:hint="eastAsia" w:ascii="宋体" w:hAnsi="宋体" w:cs="宋体"/>
                <w:szCs w:val="21"/>
              </w:rPr>
              <w:t>建设项目名称</w:t>
            </w:r>
          </w:p>
        </w:tc>
        <w:tc>
          <w:tcPr>
            <w:tcW w:w="6960" w:type="dxa"/>
            <w:gridSpan w:val="3"/>
            <w:vAlign w:val="center"/>
          </w:tcPr>
          <w:p w14:paraId="34499B69">
            <w:pPr>
              <w:adjustRightInd w:val="0"/>
              <w:snapToGrid w:val="0"/>
              <w:jc w:val="center"/>
              <w:rPr>
                <w:rFonts w:hint="eastAsia" w:ascii="宋体" w:hAnsi="宋体" w:cs="宋体"/>
                <w:szCs w:val="21"/>
              </w:rPr>
            </w:pPr>
            <w:r>
              <w:rPr>
                <w:rFonts w:hint="eastAsia" w:ascii="宋体" w:hAnsi="宋体" w:cs="宋体"/>
                <w:szCs w:val="21"/>
              </w:rPr>
              <w:t>李渡工业园区环城西路加油站</w:t>
            </w:r>
          </w:p>
        </w:tc>
      </w:tr>
      <w:tr w14:paraId="1C94C9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10" w:type="dxa"/>
            <w:gridSpan w:val="2"/>
            <w:tcMar>
              <w:top w:w="16" w:type="dxa"/>
              <w:left w:w="16" w:type="dxa"/>
              <w:right w:w="16" w:type="dxa"/>
            </w:tcMar>
            <w:vAlign w:val="center"/>
          </w:tcPr>
          <w:p w14:paraId="18239DB8">
            <w:pPr>
              <w:adjustRightInd w:val="0"/>
              <w:snapToGrid w:val="0"/>
              <w:jc w:val="center"/>
              <w:rPr>
                <w:rFonts w:ascii="宋体" w:hAnsi="宋体" w:cs="宋体"/>
                <w:color w:val="000000"/>
                <w:szCs w:val="21"/>
              </w:rPr>
            </w:pPr>
            <w:r>
              <w:rPr>
                <w:rFonts w:hint="eastAsia" w:ascii="宋体" w:hAnsi="宋体" w:cs="宋体"/>
                <w:color w:val="000000"/>
                <w:szCs w:val="21"/>
              </w:rPr>
              <w:t>项目代码</w:t>
            </w:r>
          </w:p>
        </w:tc>
        <w:tc>
          <w:tcPr>
            <w:tcW w:w="6960" w:type="dxa"/>
            <w:gridSpan w:val="3"/>
            <w:vAlign w:val="center"/>
          </w:tcPr>
          <w:p w14:paraId="7C11DEF7">
            <w:pPr>
              <w:adjustRightInd w:val="0"/>
              <w:snapToGrid w:val="0"/>
              <w:jc w:val="center"/>
              <w:rPr>
                <w:rFonts w:ascii="宋体" w:hAnsi="宋体" w:cs="宋体"/>
                <w:color w:val="000000"/>
                <w:szCs w:val="21"/>
              </w:rPr>
            </w:pPr>
            <w:r>
              <w:rPr>
                <w:rFonts w:hint="eastAsia" w:ascii="宋体" w:hAnsi="宋体" w:cs="宋体"/>
                <w:color w:val="000000"/>
                <w:szCs w:val="21"/>
              </w:rPr>
              <w:t>2019-500102-52-03-076030</w:t>
            </w:r>
          </w:p>
        </w:tc>
      </w:tr>
      <w:tr w14:paraId="12DDD2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10" w:type="dxa"/>
            <w:gridSpan w:val="2"/>
            <w:tcMar>
              <w:top w:w="16" w:type="dxa"/>
              <w:left w:w="16" w:type="dxa"/>
              <w:right w:w="16" w:type="dxa"/>
            </w:tcMar>
            <w:vAlign w:val="center"/>
          </w:tcPr>
          <w:p w14:paraId="1D2B1B81">
            <w:pPr>
              <w:adjustRightInd w:val="0"/>
              <w:snapToGrid w:val="0"/>
              <w:jc w:val="center"/>
              <w:rPr>
                <w:rFonts w:hint="eastAsia" w:ascii="宋体" w:hAnsi="宋体" w:cs="宋体"/>
                <w:color w:val="000000"/>
                <w:szCs w:val="21"/>
              </w:rPr>
            </w:pPr>
            <w:r>
              <w:rPr>
                <w:rFonts w:hint="eastAsia" w:ascii="宋体" w:hAnsi="宋体" w:cs="宋体"/>
                <w:color w:val="000000"/>
                <w:szCs w:val="21"/>
              </w:rPr>
              <w:t>建设单位联系人</w:t>
            </w:r>
          </w:p>
        </w:tc>
        <w:tc>
          <w:tcPr>
            <w:tcW w:w="2280" w:type="dxa"/>
            <w:vAlign w:val="center"/>
          </w:tcPr>
          <w:p w14:paraId="7EA414BB">
            <w:pPr>
              <w:adjustRightInd w:val="0"/>
              <w:snapToGrid w:val="0"/>
              <w:jc w:val="center"/>
              <w:rPr>
                <w:rFonts w:hint="eastAsia" w:ascii="宋体" w:hAnsi="宋体" w:cs="宋体"/>
                <w:color w:val="000000"/>
                <w:szCs w:val="21"/>
              </w:rPr>
            </w:pPr>
            <w:r>
              <w:rPr>
                <w:rFonts w:hint="eastAsia" w:ascii="宋体" w:hAnsi="宋体" w:cs="宋体"/>
                <w:color w:val="000000"/>
                <w:szCs w:val="21"/>
              </w:rPr>
              <w:t>代叶晗</w:t>
            </w:r>
          </w:p>
        </w:tc>
        <w:tc>
          <w:tcPr>
            <w:tcW w:w="2041" w:type="dxa"/>
            <w:vAlign w:val="center"/>
          </w:tcPr>
          <w:p w14:paraId="518FEA66">
            <w:pPr>
              <w:adjustRightInd w:val="0"/>
              <w:snapToGrid w:val="0"/>
              <w:jc w:val="center"/>
              <w:rPr>
                <w:rFonts w:ascii="宋体" w:hAnsi="宋体" w:cs="宋体"/>
                <w:szCs w:val="21"/>
              </w:rPr>
            </w:pPr>
            <w:r>
              <w:rPr>
                <w:rFonts w:hint="eastAsia" w:ascii="宋体" w:hAnsi="宋体" w:cs="宋体"/>
                <w:szCs w:val="21"/>
              </w:rPr>
              <w:t>联系方式</w:t>
            </w:r>
          </w:p>
        </w:tc>
        <w:tc>
          <w:tcPr>
            <w:tcW w:w="2639" w:type="dxa"/>
            <w:vAlign w:val="center"/>
          </w:tcPr>
          <w:p w14:paraId="13A44988">
            <w:pPr>
              <w:adjustRightInd w:val="0"/>
              <w:snapToGrid w:val="0"/>
              <w:jc w:val="center"/>
              <w:rPr>
                <w:rFonts w:ascii="宋体" w:hAnsi="宋体" w:cs="宋体"/>
                <w:color w:val="FF0000"/>
                <w:szCs w:val="21"/>
              </w:rPr>
            </w:pPr>
            <w:r>
              <w:rPr>
                <w:rFonts w:hint="eastAsia" w:ascii="宋体" w:hAnsi="宋体" w:cs="宋体"/>
                <w:color w:val="000000"/>
                <w:szCs w:val="21"/>
              </w:rPr>
              <w:t>13668096570</w:t>
            </w:r>
          </w:p>
        </w:tc>
      </w:tr>
      <w:tr w14:paraId="36ED4C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10" w:type="dxa"/>
            <w:gridSpan w:val="2"/>
            <w:tcMar>
              <w:top w:w="16" w:type="dxa"/>
              <w:left w:w="16" w:type="dxa"/>
              <w:right w:w="16" w:type="dxa"/>
            </w:tcMar>
            <w:vAlign w:val="center"/>
          </w:tcPr>
          <w:p w14:paraId="34837D78">
            <w:pPr>
              <w:adjustRightInd w:val="0"/>
              <w:snapToGrid w:val="0"/>
              <w:jc w:val="center"/>
              <w:rPr>
                <w:rFonts w:ascii="宋体" w:hAnsi="宋体" w:cs="宋体"/>
                <w:szCs w:val="21"/>
              </w:rPr>
            </w:pPr>
            <w:r>
              <w:rPr>
                <w:rFonts w:hint="eastAsia" w:ascii="宋体" w:hAnsi="宋体" w:cs="宋体"/>
                <w:szCs w:val="21"/>
              </w:rPr>
              <w:t>建设地点</w:t>
            </w:r>
          </w:p>
        </w:tc>
        <w:tc>
          <w:tcPr>
            <w:tcW w:w="6960" w:type="dxa"/>
            <w:gridSpan w:val="3"/>
            <w:vAlign w:val="center"/>
          </w:tcPr>
          <w:p w14:paraId="2A35BDE8">
            <w:pPr>
              <w:adjustRightInd w:val="0"/>
              <w:snapToGrid w:val="0"/>
              <w:jc w:val="center"/>
              <w:rPr>
                <w:rFonts w:ascii="宋体" w:hAnsi="宋体" w:cs="宋体"/>
                <w:color w:val="000000"/>
                <w:szCs w:val="21"/>
              </w:rPr>
            </w:pPr>
            <w:r>
              <w:rPr>
                <w:rFonts w:ascii="宋体" w:hAnsi="宋体" w:cs="宋体"/>
                <w:color w:val="000000"/>
                <w:szCs w:val="21"/>
              </w:rPr>
              <w:t xml:space="preserve">  </w:t>
            </w:r>
            <w:r>
              <w:rPr>
                <w:rFonts w:hint="eastAsia" w:ascii="宋体" w:hAnsi="宋体" w:cs="宋体"/>
                <w:color w:val="000000"/>
                <w:szCs w:val="21"/>
              </w:rPr>
              <w:t>重庆市涪陵区李渡工业园区双溪居委郑家湾F</w:t>
            </w:r>
            <w:r>
              <w:rPr>
                <w:rFonts w:ascii="宋体" w:hAnsi="宋体" w:cs="宋体"/>
                <w:color w:val="000000"/>
                <w:szCs w:val="21"/>
              </w:rPr>
              <w:t>L2018-06-18</w:t>
            </w:r>
            <w:r>
              <w:rPr>
                <w:rFonts w:hint="eastAsia" w:ascii="宋体" w:hAnsi="宋体" w:cs="宋体"/>
                <w:color w:val="000000"/>
                <w:szCs w:val="21"/>
              </w:rPr>
              <w:t>号地块</w:t>
            </w:r>
          </w:p>
        </w:tc>
      </w:tr>
      <w:tr w14:paraId="4E08A3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10" w:type="dxa"/>
            <w:gridSpan w:val="2"/>
            <w:tcMar>
              <w:top w:w="16" w:type="dxa"/>
              <w:left w:w="16" w:type="dxa"/>
              <w:right w:w="16" w:type="dxa"/>
            </w:tcMar>
            <w:vAlign w:val="center"/>
          </w:tcPr>
          <w:p w14:paraId="31032823">
            <w:pPr>
              <w:adjustRightInd w:val="0"/>
              <w:snapToGrid w:val="0"/>
              <w:jc w:val="center"/>
              <w:rPr>
                <w:rFonts w:ascii="宋体" w:hAnsi="宋体" w:cs="宋体"/>
                <w:szCs w:val="21"/>
              </w:rPr>
            </w:pPr>
            <w:r>
              <w:rPr>
                <w:rFonts w:hint="eastAsia" w:ascii="宋体" w:hAnsi="宋体" w:cs="宋体"/>
                <w:szCs w:val="21"/>
              </w:rPr>
              <w:t>地理坐标</w:t>
            </w:r>
          </w:p>
        </w:tc>
        <w:tc>
          <w:tcPr>
            <w:tcW w:w="6960" w:type="dxa"/>
            <w:gridSpan w:val="3"/>
            <w:vAlign w:val="center"/>
          </w:tcPr>
          <w:p w14:paraId="5A9AC87E">
            <w:pPr>
              <w:jc w:val="center"/>
              <w:rPr>
                <w:rFonts w:hint="eastAsia" w:ascii="宋体" w:hAnsi="宋体" w:cs="宋体"/>
                <w:color w:val="000000"/>
                <w:szCs w:val="21"/>
              </w:rPr>
            </w:pPr>
            <w:r>
              <w:rPr>
                <w:rFonts w:hint="eastAsia" w:ascii="宋体" w:hAnsi="宋体" w:cs="宋体"/>
                <w:color w:val="000000"/>
                <w:szCs w:val="21"/>
              </w:rPr>
              <w:t>（</w:t>
            </w:r>
            <w:r>
              <w:rPr>
                <w:rFonts w:hint="eastAsia" w:ascii="宋体" w:hAnsi="宋体" w:cs="宋体"/>
                <w:color w:val="000000"/>
                <w:szCs w:val="21"/>
                <w:u w:val="single"/>
              </w:rPr>
              <w:t>107</w:t>
            </w:r>
            <w:r>
              <w:rPr>
                <w:rFonts w:hint="eastAsia" w:ascii="宋体" w:hAnsi="宋体" w:cs="宋体"/>
                <w:color w:val="000000"/>
                <w:szCs w:val="21"/>
              </w:rPr>
              <w:t>度</w:t>
            </w:r>
            <w:r>
              <w:rPr>
                <w:rFonts w:hint="eastAsia" w:ascii="宋体" w:hAnsi="宋体" w:cs="宋体"/>
                <w:color w:val="000000"/>
                <w:szCs w:val="21"/>
                <w:u w:val="single"/>
              </w:rPr>
              <w:t>15</w:t>
            </w:r>
            <w:r>
              <w:rPr>
                <w:rFonts w:hint="eastAsia" w:ascii="宋体" w:hAnsi="宋体" w:cs="宋体"/>
                <w:color w:val="000000"/>
                <w:szCs w:val="21"/>
              </w:rPr>
              <w:t>分</w:t>
            </w:r>
            <w:r>
              <w:rPr>
                <w:rFonts w:hint="eastAsia" w:ascii="宋体" w:hAnsi="宋体" w:cs="宋体"/>
                <w:color w:val="000000"/>
                <w:szCs w:val="21"/>
                <w:u w:val="single"/>
              </w:rPr>
              <w:t>20.65404</w:t>
            </w:r>
            <w:r>
              <w:rPr>
                <w:rFonts w:hint="eastAsia" w:ascii="宋体" w:hAnsi="宋体" w:cs="宋体"/>
                <w:color w:val="000000"/>
                <w:szCs w:val="21"/>
              </w:rPr>
              <w:t>秒，</w:t>
            </w:r>
            <w:r>
              <w:rPr>
                <w:rFonts w:hint="eastAsia" w:ascii="宋体" w:hAnsi="宋体" w:cs="宋体"/>
                <w:color w:val="000000"/>
                <w:szCs w:val="21"/>
                <w:u w:val="single"/>
              </w:rPr>
              <w:t>29</w:t>
            </w:r>
            <w:r>
              <w:rPr>
                <w:rFonts w:hint="eastAsia" w:ascii="宋体" w:hAnsi="宋体" w:cs="宋体"/>
                <w:color w:val="000000"/>
                <w:szCs w:val="21"/>
              </w:rPr>
              <w:t>度</w:t>
            </w:r>
            <w:r>
              <w:rPr>
                <w:rFonts w:hint="eastAsia" w:ascii="宋体" w:hAnsi="宋体" w:cs="宋体"/>
                <w:color w:val="000000"/>
                <w:szCs w:val="21"/>
                <w:u w:val="single"/>
              </w:rPr>
              <w:t>43</w:t>
            </w:r>
            <w:r>
              <w:rPr>
                <w:rFonts w:hint="eastAsia" w:ascii="宋体" w:hAnsi="宋体" w:cs="宋体"/>
                <w:color w:val="000000"/>
                <w:szCs w:val="21"/>
              </w:rPr>
              <w:t>分</w:t>
            </w:r>
            <w:r>
              <w:rPr>
                <w:rFonts w:hint="eastAsia" w:ascii="宋体" w:hAnsi="宋体" w:cs="宋体"/>
                <w:color w:val="000000"/>
                <w:szCs w:val="21"/>
                <w:u w:val="single"/>
              </w:rPr>
              <w:t>53.79820</w:t>
            </w:r>
            <w:r>
              <w:rPr>
                <w:rFonts w:hint="eastAsia" w:ascii="宋体" w:hAnsi="宋体" w:cs="宋体"/>
                <w:color w:val="000000"/>
                <w:szCs w:val="21"/>
              </w:rPr>
              <w:t>秒）</w:t>
            </w:r>
          </w:p>
        </w:tc>
      </w:tr>
      <w:tr w14:paraId="325E4F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910" w:type="dxa"/>
            <w:gridSpan w:val="2"/>
            <w:tcMar>
              <w:top w:w="16" w:type="dxa"/>
              <w:left w:w="16" w:type="dxa"/>
              <w:right w:w="16" w:type="dxa"/>
            </w:tcMar>
            <w:vAlign w:val="center"/>
          </w:tcPr>
          <w:p w14:paraId="7074B932">
            <w:pPr>
              <w:adjustRightInd w:val="0"/>
              <w:snapToGrid w:val="0"/>
              <w:jc w:val="center"/>
              <w:rPr>
                <w:rFonts w:hint="eastAsia" w:ascii="宋体" w:hAnsi="宋体" w:cs="宋体"/>
                <w:szCs w:val="21"/>
              </w:rPr>
            </w:pPr>
            <w:r>
              <w:rPr>
                <w:rFonts w:hint="eastAsia" w:ascii="宋体" w:hAnsi="宋体" w:cs="宋体"/>
                <w:szCs w:val="21"/>
              </w:rPr>
              <w:t>国民经济</w:t>
            </w:r>
          </w:p>
          <w:p w14:paraId="1D5B4F49">
            <w:pPr>
              <w:adjustRightInd w:val="0"/>
              <w:snapToGrid w:val="0"/>
              <w:jc w:val="center"/>
              <w:rPr>
                <w:rFonts w:ascii="宋体" w:hAnsi="宋体" w:cs="宋体"/>
                <w:szCs w:val="21"/>
              </w:rPr>
            </w:pPr>
            <w:r>
              <w:rPr>
                <w:rFonts w:hint="eastAsia" w:ascii="宋体" w:hAnsi="宋体" w:cs="宋体"/>
                <w:szCs w:val="21"/>
              </w:rPr>
              <w:t>行业类别</w:t>
            </w:r>
          </w:p>
        </w:tc>
        <w:tc>
          <w:tcPr>
            <w:tcW w:w="2280" w:type="dxa"/>
            <w:vAlign w:val="center"/>
          </w:tcPr>
          <w:p w14:paraId="0D89380C">
            <w:pPr>
              <w:adjustRightInd w:val="0"/>
              <w:snapToGrid w:val="0"/>
              <w:jc w:val="center"/>
              <w:rPr>
                <w:rFonts w:ascii="宋体" w:hAnsi="宋体" w:cs="宋体"/>
                <w:szCs w:val="21"/>
              </w:rPr>
            </w:pPr>
            <w:r>
              <w:rPr>
                <w:rFonts w:hint="eastAsia" w:ascii="宋体" w:hAnsi="宋体" w:cs="宋体"/>
                <w:szCs w:val="21"/>
              </w:rPr>
              <w:t>F5265机动车燃油零售</w:t>
            </w:r>
          </w:p>
        </w:tc>
        <w:tc>
          <w:tcPr>
            <w:tcW w:w="2041" w:type="dxa"/>
            <w:vAlign w:val="center"/>
          </w:tcPr>
          <w:p w14:paraId="1130CA6A">
            <w:pPr>
              <w:adjustRightInd w:val="0"/>
              <w:snapToGrid w:val="0"/>
              <w:jc w:val="center"/>
              <w:rPr>
                <w:rFonts w:ascii="宋体" w:hAnsi="宋体" w:cs="宋体"/>
                <w:szCs w:val="21"/>
              </w:rPr>
            </w:pPr>
            <w:bookmarkStart w:id="1" w:name="_Hlk49843745"/>
            <w:r>
              <w:rPr>
                <w:rFonts w:hint="eastAsia" w:ascii="宋体" w:hAnsi="宋体" w:cs="宋体"/>
                <w:szCs w:val="21"/>
              </w:rPr>
              <w:t>建设项目</w:t>
            </w:r>
          </w:p>
          <w:p w14:paraId="20A69E50">
            <w:pPr>
              <w:adjustRightInd w:val="0"/>
              <w:snapToGrid w:val="0"/>
              <w:jc w:val="center"/>
              <w:rPr>
                <w:rFonts w:ascii="宋体" w:hAnsi="宋体" w:cs="宋体"/>
                <w:szCs w:val="21"/>
              </w:rPr>
            </w:pPr>
            <w:r>
              <w:rPr>
                <w:rFonts w:hint="eastAsia" w:ascii="宋体" w:hAnsi="宋体" w:cs="宋体"/>
                <w:szCs w:val="21"/>
              </w:rPr>
              <w:t>行业类别</w:t>
            </w:r>
            <w:bookmarkEnd w:id="1"/>
          </w:p>
        </w:tc>
        <w:tc>
          <w:tcPr>
            <w:tcW w:w="2639" w:type="dxa"/>
            <w:vAlign w:val="center"/>
          </w:tcPr>
          <w:p w14:paraId="77C3F983">
            <w:pPr>
              <w:adjustRightInd w:val="0"/>
              <w:snapToGrid w:val="0"/>
              <w:rPr>
                <w:rFonts w:ascii="宋体" w:hAnsi="宋体" w:cs="宋体"/>
                <w:szCs w:val="21"/>
              </w:rPr>
            </w:pPr>
            <w:r>
              <w:rPr>
                <w:rFonts w:hint="eastAsia" w:ascii="宋体" w:hAnsi="宋体" w:cs="宋体"/>
                <w:szCs w:val="21"/>
              </w:rPr>
              <w:t>五十、 社会事业与服务业 119加油、加气站</w:t>
            </w:r>
          </w:p>
        </w:tc>
      </w:tr>
      <w:tr w14:paraId="40547F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910" w:type="dxa"/>
            <w:gridSpan w:val="2"/>
            <w:tcMar>
              <w:top w:w="16" w:type="dxa"/>
              <w:left w:w="16" w:type="dxa"/>
              <w:right w:w="16" w:type="dxa"/>
            </w:tcMar>
            <w:vAlign w:val="center"/>
          </w:tcPr>
          <w:p w14:paraId="7BE561A5">
            <w:pPr>
              <w:adjustRightInd w:val="0"/>
              <w:snapToGrid w:val="0"/>
              <w:jc w:val="center"/>
              <w:rPr>
                <w:rFonts w:ascii="宋体" w:hAnsi="宋体" w:cs="宋体"/>
                <w:szCs w:val="21"/>
              </w:rPr>
            </w:pPr>
            <w:r>
              <w:rPr>
                <w:rFonts w:hint="eastAsia" w:ascii="宋体" w:hAnsi="宋体" w:cs="宋体"/>
                <w:szCs w:val="21"/>
              </w:rPr>
              <w:t>建设性质</w:t>
            </w:r>
          </w:p>
        </w:tc>
        <w:tc>
          <w:tcPr>
            <w:tcW w:w="2280" w:type="dxa"/>
            <w:vAlign w:val="center"/>
          </w:tcPr>
          <w:p w14:paraId="604DE7B8">
            <w:pPr>
              <w:jc w:val="left"/>
              <w:rPr>
                <w:rFonts w:ascii="宋体" w:hAnsi="宋体" w:cs="宋体"/>
                <w:szCs w:val="21"/>
              </w:rPr>
            </w:pPr>
            <w:r>
              <w:rPr>
                <w:rFonts w:hint="eastAsia" w:ascii="宋体" w:hAnsi="宋体" w:cs="宋体"/>
                <w:szCs w:val="21"/>
              </w:rPr>
              <w:sym w:font="Wingdings 2" w:char="0052"/>
            </w:r>
            <w:r>
              <w:rPr>
                <w:rFonts w:hint="eastAsia" w:ascii="宋体" w:hAnsi="宋体" w:cs="宋体"/>
                <w:szCs w:val="21"/>
              </w:rPr>
              <w:t>新建（迁建）</w:t>
            </w:r>
          </w:p>
          <w:p w14:paraId="5484EB50">
            <w:pPr>
              <w:jc w:val="left"/>
              <w:rPr>
                <w:rFonts w:hint="eastAsia" w:ascii="宋体" w:hAnsi="宋体" w:cs="宋体"/>
                <w:szCs w:val="21"/>
              </w:rPr>
            </w:pPr>
            <w:r>
              <w:rPr>
                <w:rFonts w:hint="eastAsia" w:ascii="宋体" w:hAnsi="宋体" w:cs="宋体"/>
                <w:szCs w:val="21"/>
              </w:rPr>
              <w:t>□改建</w:t>
            </w:r>
          </w:p>
          <w:p w14:paraId="7D867470">
            <w:pPr>
              <w:jc w:val="left"/>
              <w:rPr>
                <w:rFonts w:hint="eastAsia" w:ascii="宋体" w:hAnsi="宋体" w:cs="宋体"/>
                <w:szCs w:val="21"/>
              </w:rPr>
            </w:pPr>
            <w:r>
              <w:rPr>
                <w:rFonts w:hint="eastAsia" w:ascii="宋体" w:hAnsi="宋体" w:cs="宋体"/>
                <w:szCs w:val="21"/>
              </w:rPr>
              <w:t>□扩建</w:t>
            </w:r>
          </w:p>
          <w:p w14:paraId="5DE60E90">
            <w:pPr>
              <w:jc w:val="left"/>
              <w:rPr>
                <w:rFonts w:ascii="宋体" w:hAnsi="宋体" w:cs="宋体"/>
                <w:szCs w:val="21"/>
              </w:rPr>
            </w:pPr>
            <w:r>
              <w:rPr>
                <w:rFonts w:hint="eastAsia" w:ascii="宋体" w:hAnsi="宋体" w:cs="宋体"/>
                <w:szCs w:val="21"/>
              </w:rPr>
              <w:t>□技术改造</w:t>
            </w:r>
          </w:p>
        </w:tc>
        <w:tc>
          <w:tcPr>
            <w:tcW w:w="2041" w:type="dxa"/>
            <w:vAlign w:val="center"/>
          </w:tcPr>
          <w:p w14:paraId="2B04FB67">
            <w:pPr>
              <w:adjustRightInd w:val="0"/>
              <w:snapToGrid w:val="0"/>
              <w:jc w:val="center"/>
              <w:rPr>
                <w:rFonts w:hint="eastAsia" w:ascii="宋体" w:hAnsi="宋体" w:cs="宋体"/>
                <w:szCs w:val="21"/>
              </w:rPr>
            </w:pPr>
            <w:r>
              <w:rPr>
                <w:rFonts w:hint="eastAsia" w:ascii="宋体" w:hAnsi="宋体" w:cs="宋体"/>
                <w:szCs w:val="21"/>
              </w:rPr>
              <w:t>建设项目</w:t>
            </w:r>
          </w:p>
          <w:p w14:paraId="0635A4D6">
            <w:pPr>
              <w:adjustRightInd w:val="0"/>
              <w:snapToGrid w:val="0"/>
              <w:jc w:val="center"/>
              <w:rPr>
                <w:rFonts w:ascii="宋体" w:hAnsi="宋体" w:cs="宋体"/>
                <w:szCs w:val="21"/>
              </w:rPr>
            </w:pPr>
            <w:r>
              <w:rPr>
                <w:rFonts w:hint="eastAsia" w:ascii="宋体" w:hAnsi="宋体" w:cs="宋体"/>
                <w:szCs w:val="21"/>
              </w:rPr>
              <w:t>申报情形</w:t>
            </w:r>
          </w:p>
        </w:tc>
        <w:tc>
          <w:tcPr>
            <w:tcW w:w="2639" w:type="dxa"/>
            <w:vAlign w:val="center"/>
          </w:tcPr>
          <w:p w14:paraId="7C2BAF1A">
            <w:pPr>
              <w:jc w:val="left"/>
              <w:rPr>
                <w:rFonts w:ascii="宋体" w:hAnsi="宋体" w:cs="宋体"/>
                <w:szCs w:val="21"/>
              </w:rPr>
            </w:pPr>
            <w:r>
              <w:rPr>
                <w:rFonts w:hint="eastAsia" w:ascii="宋体" w:hAnsi="宋体" w:cs="宋体"/>
                <w:szCs w:val="21"/>
              </w:rPr>
              <w:sym w:font="Wingdings 2" w:char="0052"/>
            </w:r>
            <w:r>
              <w:rPr>
                <w:rFonts w:hint="eastAsia" w:ascii="宋体" w:hAnsi="宋体" w:cs="宋体"/>
                <w:szCs w:val="21"/>
              </w:rPr>
              <w:t>首次申报项目</w:t>
            </w:r>
            <w:r>
              <w:rPr>
                <w:rFonts w:ascii="宋体" w:hAnsi="宋体" w:cs="宋体"/>
                <w:szCs w:val="21"/>
              </w:rPr>
              <w:t xml:space="preserve">             </w:t>
            </w:r>
          </w:p>
          <w:p w14:paraId="1C53B546">
            <w:pPr>
              <w:jc w:val="left"/>
              <w:rPr>
                <w:rFonts w:ascii="宋体" w:hAnsi="宋体" w:cs="宋体"/>
                <w:szCs w:val="21"/>
              </w:rPr>
            </w:pPr>
            <w:r>
              <w:rPr>
                <w:rFonts w:hint="eastAsia" w:ascii="宋体" w:hAnsi="宋体" w:cs="宋体"/>
                <w:szCs w:val="21"/>
              </w:rPr>
              <w:t>□不予批准后再次申报项目</w:t>
            </w:r>
          </w:p>
          <w:p w14:paraId="3E9D6099">
            <w:pPr>
              <w:jc w:val="left"/>
              <w:rPr>
                <w:rFonts w:ascii="宋体" w:hAnsi="宋体" w:cs="宋体"/>
                <w:szCs w:val="21"/>
              </w:rPr>
            </w:pPr>
            <w:r>
              <w:rPr>
                <w:rFonts w:hint="eastAsia" w:ascii="宋体" w:hAnsi="宋体" w:cs="宋体"/>
                <w:szCs w:val="21"/>
              </w:rPr>
              <w:sym w:font="Wingdings 2" w:char="00A3"/>
            </w:r>
            <w:r>
              <w:rPr>
                <w:rFonts w:hint="eastAsia" w:ascii="宋体" w:hAnsi="宋体" w:cs="宋体"/>
                <w:szCs w:val="21"/>
              </w:rPr>
              <w:t>超五年重新审核项目</w:t>
            </w:r>
            <w:r>
              <w:rPr>
                <w:rFonts w:ascii="宋体" w:hAnsi="宋体" w:cs="宋体"/>
                <w:szCs w:val="21"/>
              </w:rPr>
              <w:t xml:space="preserve">     </w:t>
            </w:r>
          </w:p>
          <w:p w14:paraId="4748E876">
            <w:pPr>
              <w:jc w:val="left"/>
              <w:rPr>
                <w:rFonts w:ascii="宋体" w:hAnsi="宋体" w:cs="宋体"/>
                <w:szCs w:val="21"/>
              </w:rPr>
            </w:pPr>
            <w:r>
              <w:rPr>
                <w:rFonts w:hint="eastAsia" w:ascii="宋体" w:hAnsi="宋体" w:cs="宋体"/>
                <w:szCs w:val="21"/>
              </w:rPr>
              <w:t>□重大变动重新报批项目</w:t>
            </w:r>
          </w:p>
        </w:tc>
      </w:tr>
      <w:tr w14:paraId="56D864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910" w:type="dxa"/>
            <w:gridSpan w:val="2"/>
            <w:tcMar>
              <w:top w:w="16" w:type="dxa"/>
              <w:left w:w="16" w:type="dxa"/>
              <w:right w:w="16" w:type="dxa"/>
            </w:tcMar>
            <w:vAlign w:val="center"/>
          </w:tcPr>
          <w:p w14:paraId="25EE45B7">
            <w:pPr>
              <w:adjustRightInd w:val="0"/>
              <w:snapToGrid w:val="0"/>
              <w:jc w:val="center"/>
              <w:rPr>
                <w:rFonts w:hint="eastAsia" w:ascii="宋体" w:hAnsi="宋体" w:cs="宋体"/>
                <w:szCs w:val="21"/>
              </w:rPr>
            </w:pPr>
            <w:r>
              <w:rPr>
                <w:rFonts w:hint="eastAsia" w:ascii="宋体" w:hAnsi="宋体" w:cs="宋体"/>
                <w:szCs w:val="21"/>
              </w:rPr>
              <w:t>项目审批（核准</w:t>
            </w:r>
            <w:r>
              <w:rPr>
                <w:rFonts w:ascii="宋体" w:hAnsi="宋体" w:cs="宋体"/>
                <w:szCs w:val="21"/>
              </w:rPr>
              <w:t>/</w:t>
            </w:r>
          </w:p>
          <w:p w14:paraId="7ECDAE5B">
            <w:pPr>
              <w:adjustRightInd w:val="0"/>
              <w:snapToGrid w:val="0"/>
              <w:jc w:val="center"/>
              <w:rPr>
                <w:rFonts w:ascii="宋体" w:hAnsi="宋体" w:cs="宋体"/>
                <w:szCs w:val="21"/>
              </w:rPr>
            </w:pPr>
            <w:r>
              <w:rPr>
                <w:rFonts w:hint="eastAsia" w:ascii="宋体" w:hAnsi="宋体" w:cs="宋体"/>
                <w:szCs w:val="21"/>
              </w:rPr>
              <w:t>备案）部门（选填）</w:t>
            </w:r>
          </w:p>
        </w:tc>
        <w:tc>
          <w:tcPr>
            <w:tcW w:w="2280" w:type="dxa"/>
            <w:vAlign w:val="center"/>
          </w:tcPr>
          <w:p w14:paraId="300AB766">
            <w:pPr>
              <w:adjustRightInd w:val="0"/>
              <w:snapToGrid w:val="0"/>
              <w:jc w:val="center"/>
              <w:rPr>
                <w:rFonts w:hint="eastAsia" w:ascii="宋体" w:hAnsi="宋体" w:cs="宋体"/>
                <w:szCs w:val="21"/>
              </w:rPr>
            </w:pPr>
            <w:r>
              <w:rPr>
                <w:rFonts w:hint="eastAsia" w:ascii="宋体" w:hAnsi="宋体" w:cs="宋体"/>
                <w:szCs w:val="21"/>
              </w:rPr>
              <w:t>重庆市涪陵区发展和改革委员会</w:t>
            </w:r>
          </w:p>
        </w:tc>
        <w:tc>
          <w:tcPr>
            <w:tcW w:w="2041" w:type="dxa"/>
            <w:vAlign w:val="center"/>
          </w:tcPr>
          <w:p w14:paraId="5E9DADEE">
            <w:pPr>
              <w:adjustRightInd w:val="0"/>
              <w:snapToGrid w:val="0"/>
              <w:jc w:val="center"/>
              <w:rPr>
                <w:rFonts w:hint="eastAsia" w:ascii="宋体" w:hAnsi="宋体" w:cs="宋体"/>
                <w:szCs w:val="21"/>
              </w:rPr>
            </w:pPr>
            <w:r>
              <w:rPr>
                <w:rFonts w:hint="eastAsia" w:ascii="宋体" w:hAnsi="宋体" w:cs="宋体"/>
                <w:szCs w:val="21"/>
              </w:rPr>
              <w:t>项目审批（核准</w:t>
            </w:r>
            <w:r>
              <w:rPr>
                <w:rFonts w:ascii="宋体" w:hAnsi="宋体" w:cs="宋体"/>
                <w:szCs w:val="21"/>
              </w:rPr>
              <w:t>/</w:t>
            </w:r>
          </w:p>
          <w:p w14:paraId="0A382EAD">
            <w:pPr>
              <w:adjustRightInd w:val="0"/>
              <w:snapToGrid w:val="0"/>
              <w:jc w:val="center"/>
              <w:rPr>
                <w:rFonts w:hint="eastAsia" w:ascii="宋体" w:hAnsi="宋体" w:cs="宋体"/>
                <w:szCs w:val="21"/>
              </w:rPr>
            </w:pPr>
            <w:r>
              <w:rPr>
                <w:rFonts w:hint="eastAsia" w:ascii="宋体" w:hAnsi="宋体" w:cs="宋体"/>
                <w:szCs w:val="21"/>
              </w:rPr>
              <w:t>备案）文号（选填）</w:t>
            </w:r>
          </w:p>
        </w:tc>
        <w:tc>
          <w:tcPr>
            <w:tcW w:w="2639" w:type="dxa"/>
            <w:vAlign w:val="center"/>
          </w:tcPr>
          <w:p w14:paraId="654F3C7E">
            <w:pPr>
              <w:adjustRightInd w:val="0"/>
              <w:snapToGrid w:val="0"/>
              <w:jc w:val="center"/>
              <w:rPr>
                <w:rFonts w:ascii="宋体" w:hAnsi="宋体" w:cs="宋体"/>
                <w:szCs w:val="21"/>
              </w:rPr>
            </w:pPr>
            <w:r>
              <w:rPr>
                <w:rFonts w:hint="eastAsia" w:ascii="宋体" w:hAnsi="宋体" w:cs="宋体"/>
                <w:szCs w:val="21"/>
              </w:rPr>
              <w:t>2019-500102-52-03-076030</w:t>
            </w:r>
          </w:p>
        </w:tc>
      </w:tr>
      <w:tr w14:paraId="221589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10" w:type="dxa"/>
            <w:gridSpan w:val="2"/>
            <w:tcMar>
              <w:top w:w="16" w:type="dxa"/>
              <w:left w:w="16" w:type="dxa"/>
              <w:right w:w="16" w:type="dxa"/>
            </w:tcMar>
            <w:vAlign w:val="center"/>
          </w:tcPr>
          <w:p w14:paraId="3E7275F4">
            <w:pPr>
              <w:adjustRightInd w:val="0"/>
              <w:snapToGrid w:val="0"/>
              <w:jc w:val="center"/>
              <w:rPr>
                <w:rFonts w:ascii="宋体" w:hAnsi="宋体" w:cs="宋体"/>
                <w:szCs w:val="21"/>
              </w:rPr>
            </w:pPr>
            <w:r>
              <w:rPr>
                <w:rFonts w:hint="eastAsia" w:ascii="宋体" w:hAnsi="宋体" w:cs="宋体"/>
                <w:szCs w:val="21"/>
              </w:rPr>
              <w:t>总投资（万元）</w:t>
            </w:r>
          </w:p>
        </w:tc>
        <w:tc>
          <w:tcPr>
            <w:tcW w:w="2280" w:type="dxa"/>
            <w:vAlign w:val="center"/>
          </w:tcPr>
          <w:p w14:paraId="00CF879C">
            <w:pPr>
              <w:adjustRightInd w:val="0"/>
              <w:snapToGrid w:val="0"/>
              <w:jc w:val="center"/>
              <w:rPr>
                <w:rFonts w:ascii="宋体" w:hAnsi="宋体" w:cs="宋体"/>
                <w:szCs w:val="21"/>
              </w:rPr>
            </w:pPr>
            <w:r>
              <w:rPr>
                <w:rFonts w:ascii="宋体" w:hAnsi="宋体" w:cs="宋体"/>
                <w:szCs w:val="21"/>
              </w:rPr>
              <w:t>1700</w:t>
            </w:r>
          </w:p>
        </w:tc>
        <w:tc>
          <w:tcPr>
            <w:tcW w:w="2041" w:type="dxa"/>
            <w:tcMar>
              <w:top w:w="16" w:type="dxa"/>
              <w:left w:w="16" w:type="dxa"/>
              <w:right w:w="16" w:type="dxa"/>
            </w:tcMar>
            <w:vAlign w:val="center"/>
          </w:tcPr>
          <w:p w14:paraId="75BFC2F4">
            <w:pPr>
              <w:adjustRightInd w:val="0"/>
              <w:snapToGrid w:val="0"/>
              <w:jc w:val="center"/>
              <w:rPr>
                <w:rFonts w:ascii="宋体" w:hAnsi="宋体" w:cs="宋体"/>
                <w:szCs w:val="21"/>
              </w:rPr>
            </w:pPr>
            <w:r>
              <w:rPr>
                <w:rFonts w:hint="eastAsia" w:ascii="宋体" w:hAnsi="宋体" w:cs="宋体"/>
                <w:szCs w:val="21"/>
              </w:rPr>
              <w:t>环保投资（万元）</w:t>
            </w:r>
          </w:p>
        </w:tc>
        <w:tc>
          <w:tcPr>
            <w:tcW w:w="2639" w:type="dxa"/>
            <w:vAlign w:val="center"/>
          </w:tcPr>
          <w:p w14:paraId="5807E901">
            <w:pPr>
              <w:adjustRightInd w:val="0"/>
              <w:snapToGrid w:val="0"/>
              <w:jc w:val="center"/>
              <w:rPr>
                <w:rFonts w:ascii="宋体" w:hAnsi="宋体" w:cs="宋体"/>
                <w:color w:val="FF0000"/>
                <w:szCs w:val="21"/>
              </w:rPr>
            </w:pPr>
            <w:r>
              <w:rPr>
                <w:rFonts w:hint="eastAsia" w:ascii="宋体" w:hAnsi="宋体" w:cs="宋体"/>
                <w:color w:val="000000"/>
                <w:szCs w:val="21"/>
              </w:rPr>
              <w:t>50</w:t>
            </w:r>
          </w:p>
        </w:tc>
      </w:tr>
      <w:tr w14:paraId="272E09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10" w:type="dxa"/>
            <w:gridSpan w:val="2"/>
            <w:tcMar>
              <w:top w:w="16" w:type="dxa"/>
              <w:left w:w="16" w:type="dxa"/>
              <w:right w:w="16" w:type="dxa"/>
            </w:tcMar>
            <w:vAlign w:val="center"/>
          </w:tcPr>
          <w:p w14:paraId="71721BE9">
            <w:pPr>
              <w:adjustRightInd w:val="0"/>
              <w:snapToGrid w:val="0"/>
              <w:jc w:val="center"/>
              <w:rPr>
                <w:rFonts w:ascii="宋体" w:hAnsi="宋体" w:cs="宋体"/>
                <w:color w:val="000000"/>
                <w:szCs w:val="21"/>
              </w:rPr>
            </w:pPr>
            <w:r>
              <w:rPr>
                <w:rFonts w:hint="eastAsia" w:ascii="宋体" w:hAnsi="宋体" w:cs="宋体"/>
                <w:color w:val="000000"/>
                <w:szCs w:val="21"/>
              </w:rPr>
              <w:t>环保投资占比（</w:t>
            </w:r>
            <w:r>
              <w:rPr>
                <w:rFonts w:ascii="宋体" w:hAnsi="宋体" w:cs="宋体"/>
                <w:color w:val="000000"/>
                <w:szCs w:val="21"/>
              </w:rPr>
              <w:t>%</w:t>
            </w:r>
            <w:r>
              <w:rPr>
                <w:rFonts w:hint="eastAsia" w:ascii="宋体" w:hAnsi="宋体" w:cs="宋体"/>
                <w:color w:val="000000"/>
                <w:szCs w:val="21"/>
              </w:rPr>
              <w:t>）</w:t>
            </w:r>
          </w:p>
        </w:tc>
        <w:tc>
          <w:tcPr>
            <w:tcW w:w="2280" w:type="dxa"/>
            <w:vAlign w:val="center"/>
          </w:tcPr>
          <w:p w14:paraId="10E80328">
            <w:pPr>
              <w:adjustRightInd w:val="0"/>
              <w:snapToGrid w:val="0"/>
              <w:jc w:val="center"/>
              <w:rPr>
                <w:rFonts w:ascii="宋体" w:hAnsi="宋体" w:cs="宋体"/>
                <w:color w:val="000000"/>
                <w:szCs w:val="21"/>
              </w:rPr>
            </w:pPr>
            <w:r>
              <w:rPr>
                <w:rFonts w:hint="eastAsia" w:ascii="宋体" w:hAnsi="宋体" w:cs="宋体"/>
                <w:color w:val="000000"/>
                <w:szCs w:val="21"/>
              </w:rPr>
              <w:t>2.94</w:t>
            </w:r>
          </w:p>
        </w:tc>
        <w:tc>
          <w:tcPr>
            <w:tcW w:w="2041" w:type="dxa"/>
            <w:tcMar>
              <w:top w:w="16" w:type="dxa"/>
              <w:left w:w="16" w:type="dxa"/>
              <w:right w:w="16" w:type="dxa"/>
            </w:tcMar>
            <w:vAlign w:val="center"/>
          </w:tcPr>
          <w:p w14:paraId="7BD5F639">
            <w:pPr>
              <w:adjustRightInd w:val="0"/>
              <w:snapToGrid w:val="0"/>
              <w:jc w:val="center"/>
              <w:rPr>
                <w:rFonts w:ascii="宋体" w:hAnsi="宋体" w:cs="宋体"/>
                <w:szCs w:val="21"/>
              </w:rPr>
            </w:pPr>
            <w:r>
              <w:rPr>
                <w:rFonts w:hint="eastAsia" w:ascii="宋体" w:hAnsi="宋体" w:cs="宋体"/>
                <w:szCs w:val="21"/>
              </w:rPr>
              <w:t>施工工期</w:t>
            </w:r>
          </w:p>
        </w:tc>
        <w:tc>
          <w:tcPr>
            <w:tcW w:w="2639" w:type="dxa"/>
            <w:vAlign w:val="center"/>
          </w:tcPr>
          <w:p w14:paraId="11C28ACA">
            <w:pPr>
              <w:adjustRightInd w:val="0"/>
              <w:snapToGrid w:val="0"/>
              <w:jc w:val="center"/>
              <w:rPr>
                <w:rFonts w:ascii="宋体" w:hAnsi="宋体" w:cs="宋体"/>
                <w:szCs w:val="21"/>
              </w:rPr>
            </w:pPr>
            <w:r>
              <w:rPr>
                <w:rFonts w:hint="eastAsia" w:ascii="宋体" w:hAnsi="宋体" w:cs="宋体"/>
                <w:szCs w:val="21"/>
              </w:rPr>
              <w:t>5个月</w:t>
            </w:r>
          </w:p>
        </w:tc>
      </w:tr>
      <w:tr w14:paraId="3C1C9E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10" w:type="dxa"/>
            <w:gridSpan w:val="2"/>
            <w:tcMar>
              <w:top w:w="16" w:type="dxa"/>
              <w:left w:w="16" w:type="dxa"/>
              <w:right w:w="16" w:type="dxa"/>
            </w:tcMar>
            <w:vAlign w:val="center"/>
          </w:tcPr>
          <w:p w14:paraId="06CCD1B7">
            <w:pPr>
              <w:adjustRightInd w:val="0"/>
              <w:snapToGrid w:val="0"/>
              <w:jc w:val="center"/>
              <w:rPr>
                <w:rFonts w:hint="eastAsia" w:ascii="宋体" w:hAnsi="宋体" w:cs="宋体"/>
                <w:szCs w:val="21"/>
              </w:rPr>
            </w:pPr>
            <w:r>
              <w:rPr>
                <w:rFonts w:hint="eastAsia" w:ascii="宋体" w:hAnsi="宋体" w:cs="宋体"/>
                <w:szCs w:val="21"/>
              </w:rPr>
              <w:t>是否开工建设</w:t>
            </w:r>
          </w:p>
        </w:tc>
        <w:tc>
          <w:tcPr>
            <w:tcW w:w="2280" w:type="dxa"/>
            <w:vAlign w:val="center"/>
          </w:tcPr>
          <w:p w14:paraId="3FDE59B1">
            <w:pPr>
              <w:adjustRightInd w:val="0"/>
              <w:snapToGrid w:val="0"/>
              <w:rPr>
                <w:rFonts w:ascii="宋体" w:hAnsi="宋体" w:cs="宋体"/>
                <w:szCs w:val="21"/>
              </w:rPr>
            </w:pPr>
            <w:r>
              <w:rPr>
                <w:rFonts w:hint="eastAsia" w:ascii="宋体" w:hAnsi="宋体" w:cs="宋体"/>
                <w:szCs w:val="21"/>
              </w:rPr>
              <w:sym w:font="Wingdings 2" w:char="0052"/>
            </w:r>
            <w:r>
              <w:rPr>
                <w:rFonts w:hint="eastAsia" w:ascii="宋体" w:hAnsi="宋体" w:cs="宋体"/>
                <w:szCs w:val="21"/>
              </w:rPr>
              <w:t>否</w:t>
            </w:r>
          </w:p>
          <w:p w14:paraId="0E4849B0">
            <w:pPr>
              <w:adjustRightInd w:val="0"/>
              <w:snapToGrid w:val="0"/>
              <w:rPr>
                <w:rFonts w:ascii="宋体" w:hAnsi="宋体" w:cs="宋体"/>
                <w:szCs w:val="21"/>
              </w:rPr>
            </w:pPr>
            <w:r>
              <w:rPr>
                <w:rFonts w:hint="eastAsia" w:ascii="宋体" w:hAnsi="宋体" w:cs="宋体"/>
                <w:szCs w:val="21"/>
              </w:rPr>
              <w:sym w:font="Wingdings 2" w:char="00A3"/>
            </w:r>
            <w:r>
              <w:rPr>
                <w:rFonts w:hint="eastAsia" w:ascii="宋体" w:hAnsi="宋体" w:cs="宋体"/>
                <w:szCs w:val="21"/>
              </w:rPr>
              <w:t>是：</w:t>
            </w:r>
            <w:r>
              <w:rPr>
                <w:rFonts w:hint="eastAsia" w:ascii="宋体" w:hAnsi="宋体" w:cs="宋体"/>
                <w:szCs w:val="21"/>
                <w:u w:val="single"/>
              </w:rPr>
              <w:t xml:space="preserve">             </w:t>
            </w:r>
          </w:p>
        </w:tc>
        <w:tc>
          <w:tcPr>
            <w:tcW w:w="2041" w:type="dxa"/>
            <w:tcMar>
              <w:top w:w="16" w:type="dxa"/>
              <w:left w:w="16" w:type="dxa"/>
              <w:right w:w="16" w:type="dxa"/>
            </w:tcMar>
            <w:vAlign w:val="center"/>
          </w:tcPr>
          <w:p w14:paraId="05CD05A8">
            <w:pPr>
              <w:adjustRightInd w:val="0"/>
              <w:snapToGrid w:val="0"/>
              <w:jc w:val="center"/>
              <w:rPr>
                <w:rFonts w:ascii="宋体" w:hAnsi="宋体" w:cs="宋体"/>
                <w:spacing w:val="-6"/>
                <w:szCs w:val="21"/>
              </w:rPr>
            </w:pPr>
            <w:r>
              <w:rPr>
                <w:rFonts w:hint="eastAsia" w:ascii="宋体" w:hAnsi="宋体" w:cs="宋体"/>
                <w:spacing w:val="-6"/>
                <w:szCs w:val="21"/>
              </w:rPr>
              <w:t>用地（用海）</w:t>
            </w:r>
          </w:p>
          <w:p w14:paraId="0CC1FADE">
            <w:pPr>
              <w:adjustRightInd w:val="0"/>
              <w:snapToGrid w:val="0"/>
              <w:jc w:val="center"/>
              <w:rPr>
                <w:rFonts w:hint="eastAsia" w:ascii="宋体" w:hAnsi="宋体" w:cs="宋体"/>
                <w:szCs w:val="21"/>
              </w:rPr>
            </w:pPr>
            <w:r>
              <w:rPr>
                <w:rFonts w:hint="eastAsia" w:ascii="宋体" w:hAnsi="宋体" w:cs="宋体"/>
                <w:spacing w:val="-6"/>
                <w:szCs w:val="21"/>
              </w:rPr>
              <w:t>面积（</w:t>
            </w:r>
            <w:r>
              <w:rPr>
                <w:rFonts w:ascii="宋体" w:hAnsi="宋体" w:cs="宋体"/>
                <w:spacing w:val="-6"/>
                <w:szCs w:val="21"/>
              </w:rPr>
              <w:t>m</w:t>
            </w:r>
            <w:r>
              <w:rPr>
                <w:rFonts w:ascii="宋体" w:hAnsi="宋体" w:cs="宋体"/>
                <w:spacing w:val="-6"/>
                <w:szCs w:val="21"/>
                <w:vertAlign w:val="superscript"/>
              </w:rPr>
              <w:t>2</w:t>
            </w:r>
            <w:r>
              <w:rPr>
                <w:rFonts w:hint="eastAsia" w:ascii="宋体" w:hAnsi="宋体" w:cs="宋体"/>
                <w:spacing w:val="-6"/>
                <w:szCs w:val="21"/>
              </w:rPr>
              <w:t>）</w:t>
            </w:r>
          </w:p>
        </w:tc>
        <w:tc>
          <w:tcPr>
            <w:tcW w:w="2639" w:type="dxa"/>
            <w:vAlign w:val="center"/>
          </w:tcPr>
          <w:p w14:paraId="63C04A03">
            <w:pPr>
              <w:adjustRightInd w:val="0"/>
              <w:snapToGrid w:val="0"/>
              <w:jc w:val="center"/>
              <w:rPr>
                <w:rFonts w:ascii="宋体" w:hAnsi="宋体" w:cs="宋体"/>
                <w:szCs w:val="21"/>
              </w:rPr>
            </w:pPr>
            <w:r>
              <w:rPr>
                <w:rFonts w:ascii="宋体" w:hAnsi="宋体" w:cs="宋体"/>
                <w:szCs w:val="21"/>
              </w:rPr>
              <w:t>2006</w:t>
            </w:r>
          </w:p>
        </w:tc>
      </w:tr>
      <w:tr w14:paraId="347197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10" w:type="dxa"/>
            <w:gridSpan w:val="2"/>
            <w:vAlign w:val="center"/>
          </w:tcPr>
          <w:p w14:paraId="241167F2">
            <w:pPr>
              <w:autoSpaceDE w:val="0"/>
              <w:autoSpaceDN w:val="0"/>
              <w:adjustRightInd w:val="0"/>
              <w:snapToGrid w:val="0"/>
              <w:jc w:val="center"/>
              <w:rPr>
                <w:rFonts w:ascii="宋体" w:hAnsi="宋体" w:cs="宋体"/>
                <w:kern w:val="0"/>
                <w:szCs w:val="21"/>
              </w:rPr>
            </w:pPr>
            <w:r>
              <w:rPr>
                <w:rFonts w:hint="eastAsia" w:ascii="宋体" w:hAnsi="宋体" w:cs="宋体"/>
                <w:kern w:val="0"/>
                <w:szCs w:val="21"/>
              </w:rPr>
              <w:t>专项评价设置情况</w:t>
            </w:r>
          </w:p>
        </w:tc>
        <w:tc>
          <w:tcPr>
            <w:tcW w:w="6960" w:type="dxa"/>
            <w:gridSpan w:val="3"/>
            <w:vAlign w:val="center"/>
          </w:tcPr>
          <w:p w14:paraId="406C6285">
            <w:pPr>
              <w:autoSpaceDE w:val="0"/>
              <w:autoSpaceDN w:val="0"/>
              <w:adjustRightInd w:val="0"/>
              <w:snapToGrid w:val="0"/>
              <w:jc w:val="center"/>
              <w:rPr>
                <w:rFonts w:hint="eastAsia"/>
              </w:rPr>
            </w:pPr>
            <w:r>
              <w:rPr>
                <w:rFonts w:hint="eastAsia" w:ascii="黑体" w:hAnsi="黑体" w:eastAsia="黑体" w:cs="黑体"/>
                <w:color w:val="000000"/>
                <w:kern w:val="0"/>
                <w:sz w:val="24"/>
              </w:rPr>
              <w:t>表1-1  专项评价设置原则表</w:t>
            </w:r>
          </w:p>
          <w:tbl>
            <w:tblPr>
              <w:tblStyle w:val="2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8"/>
              <w:gridCol w:w="2616"/>
              <w:gridCol w:w="2412"/>
              <w:gridCol w:w="1104"/>
            </w:tblGrid>
            <w:tr w14:paraId="7EE6B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 w:type="pct"/>
                  <w:vAlign w:val="center"/>
                </w:tcPr>
                <w:p w14:paraId="176A601B">
                  <w:pPr>
                    <w:autoSpaceDE w:val="0"/>
                    <w:autoSpaceDN w:val="0"/>
                    <w:adjustRightInd w:val="0"/>
                    <w:snapToGrid w:val="0"/>
                    <w:jc w:val="center"/>
                    <w:rPr>
                      <w:rStyle w:val="27"/>
                      <w:kern w:val="0"/>
                      <w:szCs w:val="20"/>
                    </w:rPr>
                  </w:pPr>
                  <w:r>
                    <w:rPr>
                      <w:rStyle w:val="27"/>
                      <w:rFonts w:hint="eastAsia"/>
                      <w:kern w:val="0"/>
                      <w:szCs w:val="20"/>
                    </w:rPr>
                    <w:t>类别</w:t>
                  </w:r>
                </w:p>
              </w:tc>
              <w:tc>
                <w:tcPr>
                  <w:tcW w:w="1943" w:type="pct"/>
                  <w:vAlign w:val="center"/>
                </w:tcPr>
                <w:p w14:paraId="2429F2AE">
                  <w:pPr>
                    <w:autoSpaceDE w:val="0"/>
                    <w:autoSpaceDN w:val="0"/>
                    <w:adjustRightInd w:val="0"/>
                    <w:snapToGrid w:val="0"/>
                    <w:jc w:val="center"/>
                    <w:rPr>
                      <w:rStyle w:val="27"/>
                      <w:rFonts w:hint="eastAsia"/>
                      <w:kern w:val="0"/>
                      <w:szCs w:val="20"/>
                    </w:rPr>
                  </w:pPr>
                  <w:r>
                    <w:rPr>
                      <w:rStyle w:val="27"/>
                      <w:rFonts w:hint="eastAsia"/>
                      <w:kern w:val="0"/>
                      <w:szCs w:val="20"/>
                    </w:rPr>
                    <w:t>设置原则</w:t>
                  </w:r>
                </w:p>
              </w:tc>
              <w:tc>
                <w:tcPr>
                  <w:tcW w:w="1791" w:type="pct"/>
                  <w:vAlign w:val="center"/>
                </w:tcPr>
                <w:p w14:paraId="1E87BDFD">
                  <w:pPr>
                    <w:autoSpaceDE w:val="0"/>
                    <w:autoSpaceDN w:val="0"/>
                    <w:adjustRightInd w:val="0"/>
                    <w:snapToGrid w:val="0"/>
                    <w:jc w:val="center"/>
                    <w:rPr>
                      <w:rStyle w:val="27"/>
                      <w:rFonts w:hint="eastAsia"/>
                      <w:kern w:val="0"/>
                      <w:szCs w:val="20"/>
                    </w:rPr>
                  </w:pPr>
                  <w:r>
                    <w:rPr>
                      <w:rStyle w:val="27"/>
                      <w:rFonts w:hint="eastAsia"/>
                      <w:kern w:val="0"/>
                      <w:szCs w:val="20"/>
                    </w:rPr>
                    <w:t>拟建项目情况</w:t>
                  </w:r>
                </w:p>
              </w:tc>
              <w:tc>
                <w:tcPr>
                  <w:tcW w:w="820" w:type="pct"/>
                  <w:vAlign w:val="center"/>
                </w:tcPr>
                <w:p w14:paraId="30A1F814">
                  <w:pPr>
                    <w:autoSpaceDE w:val="0"/>
                    <w:autoSpaceDN w:val="0"/>
                    <w:adjustRightInd w:val="0"/>
                    <w:snapToGrid w:val="0"/>
                    <w:jc w:val="center"/>
                    <w:rPr>
                      <w:rStyle w:val="27"/>
                      <w:rFonts w:hint="eastAsia"/>
                      <w:kern w:val="0"/>
                      <w:szCs w:val="20"/>
                    </w:rPr>
                  </w:pPr>
                  <w:r>
                    <w:rPr>
                      <w:rStyle w:val="27"/>
                      <w:rFonts w:hint="eastAsia"/>
                      <w:kern w:val="0"/>
                      <w:szCs w:val="20"/>
                    </w:rPr>
                    <w:t>是否设置专项评价</w:t>
                  </w:r>
                </w:p>
              </w:tc>
            </w:tr>
            <w:tr w14:paraId="5A37A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 w:type="dxa"/>
                  <w:vAlign w:val="center"/>
                </w:tcPr>
                <w:p w14:paraId="0BDF7F8B">
                  <w:pPr>
                    <w:jc w:val="center"/>
                    <w:rPr>
                      <w:rStyle w:val="27"/>
                      <w:rFonts w:hint="eastAsia"/>
                      <w:kern w:val="0"/>
                      <w:szCs w:val="20"/>
                    </w:rPr>
                  </w:pPr>
                  <w:r>
                    <w:rPr>
                      <w:rFonts w:hint="eastAsia"/>
                      <w:szCs w:val="21"/>
                      <w:lang w:val="zh-CN"/>
                    </w:rPr>
                    <w:t>大气</w:t>
                  </w:r>
                </w:p>
              </w:tc>
              <w:tc>
                <w:tcPr>
                  <w:tcW w:w="2616" w:type="dxa"/>
                  <w:vAlign w:val="center"/>
                </w:tcPr>
                <w:p w14:paraId="59B15115">
                  <w:pPr>
                    <w:jc w:val="center"/>
                    <w:rPr>
                      <w:rStyle w:val="27"/>
                      <w:kern w:val="0"/>
                      <w:szCs w:val="20"/>
                    </w:rPr>
                  </w:pPr>
                  <w:r>
                    <w:rPr>
                      <w:rFonts w:hint="eastAsia"/>
                      <w:szCs w:val="21"/>
                      <w:lang w:val="zh-CN"/>
                    </w:rPr>
                    <w:t>排放废气有毒有害污染物，二噁英、苯并[a]芘、氰化物、氯气且厂界</w:t>
                  </w:r>
                  <w:r>
                    <w:rPr>
                      <w:rFonts w:hint="eastAsia"/>
                      <w:szCs w:val="21"/>
                    </w:rPr>
                    <w:t>500m范围内有环境空气保护目标的建设项目</w:t>
                  </w:r>
                  <w:r>
                    <w:rPr>
                      <w:rFonts w:hint="eastAsia"/>
                      <w:szCs w:val="21"/>
                      <w:lang w:val="zh-CN"/>
                    </w:rPr>
                    <w:t>排放</w:t>
                  </w:r>
                </w:p>
              </w:tc>
              <w:tc>
                <w:tcPr>
                  <w:tcW w:w="1791" w:type="pct"/>
                  <w:vAlign w:val="center"/>
                </w:tcPr>
                <w:p w14:paraId="3386580F">
                  <w:pPr>
                    <w:autoSpaceDE w:val="0"/>
                    <w:autoSpaceDN w:val="0"/>
                    <w:adjustRightInd w:val="0"/>
                    <w:snapToGrid w:val="0"/>
                    <w:jc w:val="center"/>
                    <w:rPr>
                      <w:rStyle w:val="27"/>
                      <w:rFonts w:hint="eastAsia"/>
                      <w:kern w:val="0"/>
                      <w:szCs w:val="20"/>
                    </w:rPr>
                  </w:pPr>
                  <w:r>
                    <w:rPr>
                      <w:rStyle w:val="27"/>
                      <w:rFonts w:hint="eastAsia"/>
                      <w:kern w:val="0"/>
                      <w:szCs w:val="20"/>
                    </w:rPr>
                    <w:t>拟建项目排放废气主要为无组织非甲烷总烃</w:t>
                  </w:r>
                </w:p>
              </w:tc>
              <w:tc>
                <w:tcPr>
                  <w:tcW w:w="820" w:type="pct"/>
                  <w:vAlign w:val="center"/>
                </w:tcPr>
                <w:p w14:paraId="51F19AF5">
                  <w:pPr>
                    <w:autoSpaceDE w:val="0"/>
                    <w:autoSpaceDN w:val="0"/>
                    <w:adjustRightInd w:val="0"/>
                    <w:snapToGrid w:val="0"/>
                    <w:jc w:val="center"/>
                    <w:rPr>
                      <w:rStyle w:val="27"/>
                      <w:rFonts w:hint="eastAsia"/>
                      <w:kern w:val="0"/>
                      <w:szCs w:val="20"/>
                    </w:rPr>
                  </w:pPr>
                  <w:r>
                    <w:rPr>
                      <w:rStyle w:val="27"/>
                      <w:rFonts w:hint="eastAsia"/>
                      <w:kern w:val="0"/>
                      <w:szCs w:val="20"/>
                    </w:rPr>
                    <w:t>否</w:t>
                  </w:r>
                </w:p>
              </w:tc>
            </w:tr>
            <w:tr w14:paraId="15857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 w:type="dxa"/>
                  <w:vAlign w:val="center"/>
                </w:tcPr>
                <w:p w14:paraId="0A61FD08">
                  <w:pPr>
                    <w:jc w:val="center"/>
                    <w:rPr>
                      <w:rStyle w:val="27"/>
                      <w:rFonts w:hint="eastAsia"/>
                      <w:kern w:val="0"/>
                      <w:szCs w:val="20"/>
                    </w:rPr>
                  </w:pPr>
                  <w:r>
                    <w:rPr>
                      <w:rFonts w:hint="eastAsia"/>
                      <w:szCs w:val="21"/>
                      <w:lang w:val="zh-CN"/>
                    </w:rPr>
                    <w:t>地表水</w:t>
                  </w:r>
                </w:p>
              </w:tc>
              <w:tc>
                <w:tcPr>
                  <w:tcW w:w="2616" w:type="dxa"/>
                  <w:vAlign w:val="center"/>
                </w:tcPr>
                <w:p w14:paraId="4F006E44">
                  <w:pPr>
                    <w:jc w:val="center"/>
                    <w:rPr>
                      <w:rStyle w:val="27"/>
                      <w:rFonts w:hint="eastAsia"/>
                      <w:kern w:val="0"/>
                      <w:szCs w:val="20"/>
                    </w:rPr>
                  </w:pPr>
                  <w:r>
                    <w:rPr>
                      <w:szCs w:val="21"/>
                    </w:rPr>
                    <w:t>新增工业废水直排建设项目（槽罐车外送污水处理厂的除外）；</w:t>
                  </w:r>
                  <w:r>
                    <w:rPr>
                      <w:rFonts w:hint="eastAsia"/>
                      <w:szCs w:val="21"/>
                    </w:rPr>
                    <w:t>新增废水直排的污水集中处理厂</w:t>
                  </w:r>
                </w:p>
              </w:tc>
              <w:tc>
                <w:tcPr>
                  <w:tcW w:w="1791" w:type="pct"/>
                  <w:vAlign w:val="center"/>
                </w:tcPr>
                <w:p w14:paraId="0790AB58">
                  <w:pPr>
                    <w:autoSpaceDE w:val="0"/>
                    <w:autoSpaceDN w:val="0"/>
                    <w:adjustRightInd w:val="0"/>
                    <w:snapToGrid w:val="0"/>
                    <w:jc w:val="center"/>
                    <w:rPr>
                      <w:rStyle w:val="27"/>
                      <w:rFonts w:hint="eastAsia"/>
                      <w:kern w:val="0"/>
                      <w:szCs w:val="20"/>
                    </w:rPr>
                  </w:pPr>
                  <w:r>
                    <w:rPr>
                      <w:rStyle w:val="27"/>
                      <w:rFonts w:hint="eastAsia"/>
                      <w:kern w:val="0"/>
                      <w:szCs w:val="20"/>
                    </w:rPr>
                    <w:t>拟建项目生活污水经生化池处理后接入园区污水管网，场地冲洗废水经隔油沉砂后排入园区污水管网，不直排</w:t>
                  </w:r>
                </w:p>
              </w:tc>
              <w:tc>
                <w:tcPr>
                  <w:tcW w:w="820" w:type="pct"/>
                  <w:vAlign w:val="center"/>
                </w:tcPr>
                <w:p w14:paraId="47C609E6">
                  <w:pPr>
                    <w:autoSpaceDE w:val="0"/>
                    <w:autoSpaceDN w:val="0"/>
                    <w:adjustRightInd w:val="0"/>
                    <w:snapToGrid w:val="0"/>
                    <w:jc w:val="center"/>
                    <w:rPr>
                      <w:rStyle w:val="27"/>
                      <w:rFonts w:hint="eastAsia"/>
                      <w:kern w:val="0"/>
                      <w:szCs w:val="20"/>
                    </w:rPr>
                  </w:pPr>
                  <w:r>
                    <w:rPr>
                      <w:rStyle w:val="27"/>
                      <w:rFonts w:hint="eastAsia"/>
                      <w:kern w:val="0"/>
                      <w:szCs w:val="20"/>
                    </w:rPr>
                    <w:t>否</w:t>
                  </w:r>
                </w:p>
              </w:tc>
            </w:tr>
            <w:tr w14:paraId="670BD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 w:type="dxa"/>
                  <w:vAlign w:val="center"/>
                </w:tcPr>
                <w:p w14:paraId="011263E2">
                  <w:pPr>
                    <w:jc w:val="center"/>
                    <w:rPr>
                      <w:rStyle w:val="27"/>
                      <w:rFonts w:hint="eastAsia"/>
                      <w:kern w:val="0"/>
                      <w:szCs w:val="20"/>
                    </w:rPr>
                  </w:pPr>
                  <w:r>
                    <w:rPr>
                      <w:rFonts w:hint="eastAsia"/>
                      <w:szCs w:val="21"/>
                      <w:lang w:val="zh-CN"/>
                    </w:rPr>
                    <w:t>环境风险</w:t>
                  </w:r>
                </w:p>
              </w:tc>
              <w:tc>
                <w:tcPr>
                  <w:tcW w:w="2616" w:type="dxa"/>
                  <w:vAlign w:val="center"/>
                </w:tcPr>
                <w:p w14:paraId="1A79AC53">
                  <w:pPr>
                    <w:jc w:val="center"/>
                    <w:rPr>
                      <w:rStyle w:val="27"/>
                      <w:rFonts w:hint="eastAsia"/>
                      <w:kern w:val="0"/>
                      <w:szCs w:val="20"/>
                    </w:rPr>
                  </w:pPr>
                  <w:r>
                    <w:rPr>
                      <w:szCs w:val="21"/>
                    </w:rPr>
                    <w:t>有毒有害和易燃易爆危险物质存储量超过临界量</w:t>
                  </w:r>
                  <w:r>
                    <w:rPr>
                      <w:rFonts w:hint="eastAsia"/>
                      <w:szCs w:val="21"/>
                    </w:rPr>
                    <w:t>的建设项目</w:t>
                  </w:r>
                </w:p>
              </w:tc>
              <w:tc>
                <w:tcPr>
                  <w:tcW w:w="1791" w:type="pct"/>
                  <w:vAlign w:val="center"/>
                </w:tcPr>
                <w:p w14:paraId="39187348">
                  <w:pPr>
                    <w:autoSpaceDE w:val="0"/>
                    <w:autoSpaceDN w:val="0"/>
                    <w:adjustRightInd w:val="0"/>
                    <w:snapToGrid w:val="0"/>
                    <w:jc w:val="center"/>
                    <w:rPr>
                      <w:rStyle w:val="27"/>
                      <w:rFonts w:hint="eastAsia"/>
                      <w:kern w:val="0"/>
                      <w:szCs w:val="20"/>
                    </w:rPr>
                  </w:pPr>
                  <w:r>
                    <w:rPr>
                      <w:rStyle w:val="27"/>
                      <w:rFonts w:hint="eastAsia"/>
                      <w:kern w:val="0"/>
                      <w:szCs w:val="20"/>
                    </w:rPr>
                    <w:t>拟建项目有毒有害和易燃易爆危险物质存储量低于临界量</w:t>
                  </w:r>
                </w:p>
              </w:tc>
              <w:tc>
                <w:tcPr>
                  <w:tcW w:w="820" w:type="pct"/>
                  <w:vAlign w:val="center"/>
                </w:tcPr>
                <w:p w14:paraId="31654C42">
                  <w:pPr>
                    <w:autoSpaceDE w:val="0"/>
                    <w:autoSpaceDN w:val="0"/>
                    <w:adjustRightInd w:val="0"/>
                    <w:snapToGrid w:val="0"/>
                    <w:jc w:val="center"/>
                    <w:rPr>
                      <w:rStyle w:val="27"/>
                      <w:rFonts w:hint="eastAsia"/>
                      <w:kern w:val="0"/>
                      <w:szCs w:val="20"/>
                    </w:rPr>
                  </w:pPr>
                  <w:r>
                    <w:rPr>
                      <w:rStyle w:val="27"/>
                      <w:rFonts w:hint="eastAsia"/>
                      <w:kern w:val="0"/>
                      <w:szCs w:val="20"/>
                    </w:rPr>
                    <w:t>否</w:t>
                  </w:r>
                </w:p>
              </w:tc>
            </w:tr>
            <w:tr w14:paraId="0173A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 w:type="dxa"/>
                  <w:vAlign w:val="center"/>
                </w:tcPr>
                <w:p w14:paraId="34BA7697">
                  <w:pPr>
                    <w:jc w:val="center"/>
                    <w:rPr>
                      <w:rStyle w:val="27"/>
                      <w:rFonts w:hint="eastAsia"/>
                      <w:kern w:val="0"/>
                      <w:szCs w:val="20"/>
                    </w:rPr>
                  </w:pPr>
                  <w:r>
                    <w:rPr>
                      <w:rFonts w:hint="eastAsia"/>
                      <w:szCs w:val="21"/>
                      <w:lang w:val="zh-CN"/>
                    </w:rPr>
                    <w:t>生态</w:t>
                  </w:r>
                </w:p>
              </w:tc>
              <w:tc>
                <w:tcPr>
                  <w:tcW w:w="2616" w:type="dxa"/>
                  <w:vAlign w:val="center"/>
                </w:tcPr>
                <w:p w14:paraId="28325A8F">
                  <w:pPr>
                    <w:jc w:val="center"/>
                    <w:rPr>
                      <w:rStyle w:val="27"/>
                      <w:rFonts w:hint="eastAsia"/>
                      <w:kern w:val="0"/>
                      <w:szCs w:val="20"/>
                    </w:rPr>
                  </w:pPr>
                  <w:r>
                    <w:rPr>
                      <w:szCs w:val="21"/>
                    </w:rPr>
                    <w:t>取水口下游</w:t>
                  </w:r>
                  <w:r>
                    <w:rPr>
                      <w:rFonts w:hint="eastAsia"/>
                      <w:szCs w:val="21"/>
                    </w:rPr>
                    <w:t> 500 米范围内有重要水生生物的自然产卵场、索饵场、越冬场和洄游通道的新增河道取水的污染类建设项目</w:t>
                  </w:r>
                </w:p>
              </w:tc>
              <w:tc>
                <w:tcPr>
                  <w:tcW w:w="2412" w:type="dxa"/>
                  <w:vAlign w:val="center"/>
                </w:tcPr>
                <w:p w14:paraId="7A144106">
                  <w:pPr>
                    <w:jc w:val="center"/>
                    <w:rPr>
                      <w:rStyle w:val="27"/>
                      <w:rFonts w:hint="eastAsia"/>
                      <w:kern w:val="0"/>
                      <w:szCs w:val="20"/>
                    </w:rPr>
                  </w:pPr>
                  <w:r>
                    <w:rPr>
                      <w:rFonts w:hint="eastAsia"/>
                      <w:szCs w:val="21"/>
                      <w:lang w:val="zh-CN"/>
                    </w:rPr>
                    <w:t>本项目不属于取水口下游500米范围内有重要水生生物的自然产卵场、索饵场、越冬场和洄游通道的新增河道取水的污染类建设项目</w:t>
                  </w:r>
                </w:p>
              </w:tc>
              <w:tc>
                <w:tcPr>
                  <w:tcW w:w="820" w:type="pct"/>
                  <w:vAlign w:val="center"/>
                </w:tcPr>
                <w:p w14:paraId="1783EC37">
                  <w:pPr>
                    <w:autoSpaceDE w:val="0"/>
                    <w:autoSpaceDN w:val="0"/>
                    <w:adjustRightInd w:val="0"/>
                    <w:snapToGrid w:val="0"/>
                    <w:jc w:val="center"/>
                    <w:rPr>
                      <w:rStyle w:val="27"/>
                      <w:rFonts w:hint="eastAsia"/>
                      <w:kern w:val="0"/>
                      <w:szCs w:val="20"/>
                    </w:rPr>
                  </w:pPr>
                  <w:r>
                    <w:rPr>
                      <w:rStyle w:val="27"/>
                      <w:rFonts w:hint="eastAsia"/>
                      <w:kern w:val="0"/>
                      <w:szCs w:val="20"/>
                    </w:rPr>
                    <w:t>否</w:t>
                  </w:r>
                </w:p>
              </w:tc>
            </w:tr>
            <w:tr w14:paraId="7868C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 w:type="dxa"/>
                  <w:vAlign w:val="center"/>
                </w:tcPr>
                <w:p w14:paraId="563866C9">
                  <w:pPr>
                    <w:jc w:val="center"/>
                    <w:rPr>
                      <w:rStyle w:val="27"/>
                      <w:rFonts w:hint="eastAsia"/>
                      <w:kern w:val="0"/>
                      <w:szCs w:val="20"/>
                    </w:rPr>
                  </w:pPr>
                  <w:r>
                    <w:rPr>
                      <w:rFonts w:hint="eastAsia"/>
                      <w:szCs w:val="21"/>
                      <w:lang w:val="zh-CN"/>
                    </w:rPr>
                    <w:t>海洋</w:t>
                  </w:r>
                </w:p>
              </w:tc>
              <w:tc>
                <w:tcPr>
                  <w:tcW w:w="2616" w:type="dxa"/>
                  <w:vAlign w:val="center"/>
                </w:tcPr>
                <w:p w14:paraId="74B09C66">
                  <w:pPr>
                    <w:jc w:val="center"/>
                    <w:rPr>
                      <w:rStyle w:val="27"/>
                      <w:rFonts w:hint="eastAsia"/>
                      <w:kern w:val="0"/>
                      <w:szCs w:val="20"/>
                    </w:rPr>
                  </w:pPr>
                  <w:r>
                    <w:rPr>
                      <w:szCs w:val="21"/>
                    </w:rPr>
                    <w:t>直接向海排放污染物的海洋工程建设项目</w:t>
                  </w:r>
                </w:p>
              </w:tc>
              <w:tc>
                <w:tcPr>
                  <w:tcW w:w="2412" w:type="dxa"/>
                  <w:vAlign w:val="center"/>
                </w:tcPr>
                <w:p w14:paraId="7C0F2D99">
                  <w:pPr>
                    <w:jc w:val="center"/>
                    <w:rPr>
                      <w:rStyle w:val="27"/>
                      <w:rFonts w:hint="eastAsia"/>
                      <w:kern w:val="0"/>
                      <w:szCs w:val="20"/>
                    </w:rPr>
                  </w:pPr>
                  <w:r>
                    <w:rPr>
                      <w:rFonts w:hint="eastAsia"/>
                      <w:szCs w:val="21"/>
                      <w:lang w:val="zh-CN"/>
                    </w:rPr>
                    <w:t>本项目不属于海洋工程建设项目</w:t>
                  </w:r>
                </w:p>
              </w:tc>
              <w:tc>
                <w:tcPr>
                  <w:tcW w:w="820" w:type="pct"/>
                  <w:vAlign w:val="center"/>
                </w:tcPr>
                <w:p w14:paraId="30471882">
                  <w:pPr>
                    <w:autoSpaceDE w:val="0"/>
                    <w:autoSpaceDN w:val="0"/>
                    <w:adjustRightInd w:val="0"/>
                    <w:snapToGrid w:val="0"/>
                    <w:jc w:val="center"/>
                    <w:rPr>
                      <w:rStyle w:val="27"/>
                      <w:rFonts w:hint="eastAsia"/>
                      <w:kern w:val="0"/>
                      <w:szCs w:val="20"/>
                    </w:rPr>
                  </w:pPr>
                  <w:r>
                    <w:rPr>
                      <w:rStyle w:val="27"/>
                      <w:rFonts w:hint="eastAsia"/>
                      <w:kern w:val="0"/>
                      <w:szCs w:val="20"/>
                    </w:rPr>
                    <w:t xml:space="preserve">否 </w:t>
                  </w:r>
                </w:p>
              </w:tc>
            </w:tr>
          </w:tbl>
          <w:p w14:paraId="7471FDC3">
            <w:pPr>
              <w:autoSpaceDE w:val="0"/>
              <w:autoSpaceDN w:val="0"/>
              <w:adjustRightInd w:val="0"/>
              <w:snapToGrid w:val="0"/>
              <w:rPr>
                <w:rFonts w:hint="eastAsia"/>
              </w:rPr>
            </w:pPr>
          </w:p>
        </w:tc>
      </w:tr>
      <w:tr w14:paraId="64A37D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83" w:hRule="atLeast"/>
          <w:jc w:val="center"/>
        </w:trPr>
        <w:tc>
          <w:tcPr>
            <w:tcW w:w="720" w:type="dxa"/>
            <w:vAlign w:val="center"/>
          </w:tcPr>
          <w:p w14:paraId="0D1A8358">
            <w:pPr>
              <w:autoSpaceDE w:val="0"/>
              <w:autoSpaceDN w:val="0"/>
              <w:adjustRightInd w:val="0"/>
              <w:snapToGrid w:val="0"/>
              <w:spacing w:line="360" w:lineRule="auto"/>
              <w:jc w:val="center"/>
              <w:rPr>
                <w:rFonts w:hint="eastAsia" w:ascii="宋体" w:hAnsi="宋体" w:cs="宋体"/>
                <w:kern w:val="0"/>
                <w:sz w:val="24"/>
              </w:rPr>
            </w:pPr>
            <w:r>
              <w:rPr>
                <w:rFonts w:hint="eastAsia" w:ascii="宋体" w:hAnsi="宋体" w:cs="宋体"/>
                <w:sz w:val="24"/>
              </w:rPr>
              <w:t>规划情况</w:t>
            </w:r>
          </w:p>
        </w:tc>
        <w:tc>
          <w:tcPr>
            <w:tcW w:w="8150" w:type="dxa"/>
            <w:gridSpan w:val="4"/>
            <w:vAlign w:val="center"/>
          </w:tcPr>
          <w:p w14:paraId="57DDD0A8">
            <w:pPr>
              <w:autoSpaceDE w:val="0"/>
              <w:autoSpaceDN w:val="0"/>
              <w:adjustRightInd w:val="0"/>
              <w:snapToGrid w:val="0"/>
              <w:spacing w:line="360" w:lineRule="auto"/>
              <w:ind w:firstLine="480" w:firstLineChars="200"/>
              <w:rPr>
                <w:rFonts w:hint="eastAsia" w:ascii="宋体" w:hAnsi="宋体" w:cs="宋体"/>
                <w:color w:val="000000"/>
                <w:kern w:val="0"/>
                <w:sz w:val="24"/>
              </w:rPr>
            </w:pPr>
            <w:r>
              <w:rPr>
                <w:rFonts w:hint="eastAsia" w:ascii="宋体" w:hAnsi="宋体" w:cs="宋体"/>
                <w:kern w:val="0"/>
                <w:sz w:val="24"/>
              </w:rPr>
              <w:t>规划名称：重庆涪陵工业园区李渡组团规划</w:t>
            </w:r>
          </w:p>
        </w:tc>
      </w:tr>
      <w:tr w14:paraId="33A065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83" w:hRule="atLeast"/>
          <w:jc w:val="center"/>
        </w:trPr>
        <w:tc>
          <w:tcPr>
            <w:tcW w:w="720" w:type="dxa"/>
            <w:vAlign w:val="center"/>
          </w:tcPr>
          <w:p w14:paraId="6F53B10E">
            <w:pPr>
              <w:adjustRightInd w:val="0"/>
              <w:snapToGrid w:val="0"/>
              <w:spacing w:line="360" w:lineRule="auto"/>
              <w:jc w:val="center"/>
              <w:rPr>
                <w:rFonts w:ascii="宋体" w:hAnsi="宋体" w:cs="宋体"/>
                <w:sz w:val="24"/>
              </w:rPr>
            </w:pPr>
            <w:r>
              <w:rPr>
                <w:rFonts w:hint="eastAsia" w:ascii="宋体" w:hAnsi="宋体" w:cs="宋体"/>
                <w:sz w:val="24"/>
              </w:rPr>
              <w:t>规划环境影响</w:t>
            </w:r>
          </w:p>
          <w:p w14:paraId="3427E31F">
            <w:pPr>
              <w:adjustRightInd w:val="0"/>
              <w:snapToGrid w:val="0"/>
              <w:spacing w:line="360" w:lineRule="auto"/>
              <w:jc w:val="center"/>
              <w:rPr>
                <w:rFonts w:hint="eastAsia" w:ascii="宋体" w:hAnsi="宋体" w:cs="宋体"/>
                <w:sz w:val="24"/>
              </w:rPr>
            </w:pPr>
            <w:r>
              <w:rPr>
                <w:rFonts w:hint="eastAsia" w:ascii="宋体" w:hAnsi="宋体" w:cs="宋体"/>
                <w:sz w:val="24"/>
              </w:rPr>
              <w:t>评价情况</w:t>
            </w:r>
          </w:p>
        </w:tc>
        <w:tc>
          <w:tcPr>
            <w:tcW w:w="8150" w:type="dxa"/>
            <w:gridSpan w:val="4"/>
            <w:vAlign w:val="center"/>
          </w:tcPr>
          <w:p w14:paraId="31D0CDBD">
            <w:pPr>
              <w:autoSpaceDE w:val="0"/>
              <w:autoSpaceDN w:val="0"/>
              <w:adjustRightInd w:val="0"/>
              <w:snapToGrid w:val="0"/>
              <w:spacing w:line="360" w:lineRule="auto"/>
              <w:jc w:val="left"/>
              <w:rPr>
                <w:rFonts w:hint="eastAsia" w:ascii="宋体" w:hAnsi="宋体" w:cs="宋体"/>
                <w:kern w:val="0"/>
                <w:sz w:val="24"/>
              </w:rPr>
            </w:pPr>
            <w:r>
              <w:rPr>
                <w:rFonts w:hint="eastAsia" w:ascii="宋体" w:hAnsi="宋体" w:cs="宋体"/>
                <w:b/>
                <w:bCs/>
                <w:kern w:val="0"/>
                <w:sz w:val="24"/>
              </w:rPr>
              <w:t>规划环境影响评价文件名称：</w:t>
            </w:r>
            <w:r>
              <w:rPr>
                <w:rFonts w:hint="eastAsia" w:ascii="宋体" w:hAnsi="宋体" w:cs="宋体"/>
                <w:kern w:val="0"/>
                <w:sz w:val="24"/>
              </w:rPr>
              <w:t>《重庆涪陵工业园区李渡组团规划环境影响报告书》（中煤科工集团重庆设计研究院有限公司，2016年5月）</w:t>
            </w:r>
          </w:p>
          <w:p w14:paraId="0B85B168">
            <w:pPr>
              <w:autoSpaceDE w:val="0"/>
              <w:autoSpaceDN w:val="0"/>
              <w:adjustRightInd w:val="0"/>
              <w:snapToGrid w:val="0"/>
              <w:spacing w:line="360" w:lineRule="auto"/>
              <w:jc w:val="left"/>
              <w:rPr>
                <w:rFonts w:hint="eastAsia" w:ascii="宋体" w:hAnsi="宋体" w:cs="宋体"/>
                <w:kern w:val="0"/>
                <w:sz w:val="24"/>
              </w:rPr>
            </w:pPr>
            <w:r>
              <w:rPr>
                <w:rFonts w:hint="eastAsia" w:ascii="宋体" w:hAnsi="宋体" w:cs="宋体"/>
                <w:b/>
                <w:bCs/>
                <w:kern w:val="0"/>
                <w:sz w:val="24"/>
              </w:rPr>
              <w:t>召集审查机关：</w:t>
            </w:r>
            <w:r>
              <w:rPr>
                <w:rFonts w:hint="eastAsia" w:ascii="宋体" w:hAnsi="宋体" w:cs="宋体"/>
                <w:kern w:val="0"/>
                <w:sz w:val="24"/>
              </w:rPr>
              <w:t>重庆市生态环境局</w:t>
            </w:r>
          </w:p>
          <w:p w14:paraId="1601F608">
            <w:pPr>
              <w:autoSpaceDE w:val="0"/>
              <w:autoSpaceDN w:val="0"/>
              <w:adjustRightInd w:val="0"/>
              <w:snapToGrid w:val="0"/>
              <w:spacing w:line="360" w:lineRule="auto"/>
              <w:jc w:val="left"/>
              <w:rPr>
                <w:rFonts w:hint="eastAsia"/>
                <w:color w:val="FF0000"/>
              </w:rPr>
            </w:pPr>
            <w:r>
              <w:rPr>
                <w:rFonts w:hint="eastAsia" w:ascii="宋体" w:hAnsi="宋体" w:cs="宋体"/>
                <w:b/>
                <w:bCs/>
                <w:kern w:val="0"/>
                <w:sz w:val="24"/>
              </w:rPr>
              <w:t>审查文件名称及文号：</w:t>
            </w:r>
            <w:r>
              <w:rPr>
                <w:rFonts w:hint="eastAsia" w:ascii="宋体" w:hAnsi="宋体" w:cs="宋体"/>
                <w:kern w:val="0"/>
                <w:sz w:val="24"/>
              </w:rPr>
              <w:t>《重庆市环境保护局&lt;关于重庆涪陵工业园区李渡组团规划环境影响报告书审查意见的函&gt;》（渝环函〔2016〕816号）</w:t>
            </w:r>
          </w:p>
        </w:tc>
      </w:tr>
      <w:tr w14:paraId="118BE3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720" w:type="dxa"/>
            <w:vAlign w:val="center"/>
          </w:tcPr>
          <w:p w14:paraId="57E3A321">
            <w:pPr>
              <w:autoSpaceDE w:val="0"/>
              <w:autoSpaceDN w:val="0"/>
              <w:adjustRightInd w:val="0"/>
              <w:snapToGrid w:val="0"/>
              <w:spacing w:line="360" w:lineRule="auto"/>
              <w:jc w:val="center"/>
              <w:rPr>
                <w:rFonts w:ascii="宋体" w:hAnsi="宋体" w:cs="宋体"/>
                <w:kern w:val="0"/>
                <w:sz w:val="24"/>
              </w:rPr>
            </w:pPr>
            <w:r>
              <w:rPr>
                <w:rFonts w:hint="eastAsia" w:ascii="宋体" w:hAnsi="宋体" w:cs="宋体"/>
                <w:kern w:val="0"/>
                <w:sz w:val="24"/>
              </w:rPr>
              <w:t>规划及规划环境影响评价符合性分析</w:t>
            </w:r>
          </w:p>
        </w:tc>
        <w:tc>
          <w:tcPr>
            <w:tcW w:w="8150" w:type="dxa"/>
            <w:gridSpan w:val="4"/>
            <w:vAlign w:val="center"/>
          </w:tcPr>
          <w:p w14:paraId="7B1944E2">
            <w:pPr>
              <w:autoSpaceDE w:val="0"/>
              <w:autoSpaceDN w:val="0"/>
              <w:adjustRightInd w:val="0"/>
              <w:snapToGrid w:val="0"/>
              <w:spacing w:line="360" w:lineRule="auto"/>
              <w:rPr>
                <w:rFonts w:hint="eastAsia" w:ascii="宋体" w:hAnsi="宋体" w:cs="宋体"/>
                <w:b/>
                <w:color w:val="000000"/>
                <w:kern w:val="0"/>
                <w:sz w:val="24"/>
              </w:rPr>
            </w:pPr>
            <w:r>
              <w:rPr>
                <w:rFonts w:ascii="宋体" w:hAnsi="宋体" w:cs="宋体"/>
                <w:b/>
                <w:color w:val="000000"/>
                <w:kern w:val="0"/>
                <w:sz w:val="24"/>
              </w:rPr>
              <w:t>1.1</w:t>
            </w:r>
            <w:r>
              <w:rPr>
                <w:rFonts w:hint="eastAsia" w:ascii="宋体" w:hAnsi="宋体" w:cs="宋体"/>
                <w:b/>
                <w:bCs/>
                <w:kern w:val="0"/>
                <w:sz w:val="24"/>
              </w:rPr>
              <w:t>项目用地及城市规划符合性分析</w:t>
            </w:r>
          </w:p>
          <w:p w14:paraId="29A32FBA">
            <w:pPr>
              <w:autoSpaceDE w:val="0"/>
              <w:autoSpaceDN w:val="0"/>
              <w:adjustRightInd w:val="0"/>
              <w:snapToGrid w:val="0"/>
              <w:spacing w:line="360" w:lineRule="auto"/>
              <w:ind w:firstLine="480" w:firstLineChars="200"/>
              <w:rPr>
                <w:rFonts w:hint="eastAsia" w:ascii="宋体" w:hAnsi="宋体" w:cs="宋体"/>
                <w:color w:val="000000"/>
                <w:kern w:val="0"/>
                <w:sz w:val="24"/>
              </w:rPr>
            </w:pPr>
            <w:r>
              <w:rPr>
                <w:rFonts w:hint="eastAsia" w:ascii="宋体" w:hAnsi="宋体" w:cs="宋体"/>
                <w:color w:val="000000"/>
                <w:kern w:val="0"/>
                <w:sz w:val="24"/>
              </w:rPr>
              <w:t>本项目选址于重庆市涪陵区李渡工业园区双溪居委郑家湾FL2018-06-18号地块，位于《重庆市涪陵区城乡总体规划（2015-2035年）》划范围内；同时建设单位于2019年8月6日取得了重庆市涪陵区规划和自然资源局《建设用地规划许可证》（地字第500102201900541号），明确项目土地用途为商服用地，因此，项目用地符合国土空间规划和用途管制要求。</w:t>
            </w:r>
          </w:p>
          <w:p w14:paraId="2CC47705">
            <w:pPr>
              <w:autoSpaceDE w:val="0"/>
              <w:autoSpaceDN w:val="0"/>
              <w:adjustRightInd w:val="0"/>
              <w:snapToGrid w:val="0"/>
              <w:spacing w:line="360" w:lineRule="auto"/>
              <w:rPr>
                <w:rFonts w:hint="eastAsia" w:ascii="宋体" w:hAnsi="宋体" w:cs="宋体"/>
                <w:b/>
                <w:color w:val="000000"/>
                <w:kern w:val="0"/>
                <w:sz w:val="24"/>
              </w:rPr>
            </w:pPr>
            <w:r>
              <w:rPr>
                <w:rFonts w:hint="eastAsia" w:ascii="宋体" w:hAnsi="宋体" w:cs="宋体"/>
                <w:b/>
                <w:color w:val="000000"/>
                <w:kern w:val="0"/>
                <w:sz w:val="24"/>
              </w:rPr>
              <w:t>1</w:t>
            </w:r>
            <w:r>
              <w:rPr>
                <w:rFonts w:ascii="宋体" w:hAnsi="宋体" w:cs="宋体"/>
                <w:b/>
                <w:color w:val="000000"/>
                <w:kern w:val="0"/>
                <w:sz w:val="24"/>
              </w:rPr>
              <w:t>.2</w:t>
            </w:r>
            <w:r>
              <w:rPr>
                <w:rFonts w:hint="eastAsia" w:ascii="宋体" w:hAnsi="宋体" w:cs="宋体"/>
                <w:b/>
                <w:bCs/>
                <w:kern w:val="0"/>
                <w:sz w:val="24"/>
              </w:rPr>
              <w:t>与重庆涪陵工业园区李渡组团规划环评及审查意见的符合性分析</w:t>
            </w:r>
          </w:p>
          <w:p w14:paraId="4F432759">
            <w:pPr>
              <w:autoSpaceDE w:val="0"/>
              <w:autoSpaceDN w:val="0"/>
              <w:adjustRightInd w:val="0"/>
              <w:snapToGrid w:val="0"/>
              <w:spacing w:line="360" w:lineRule="auto"/>
              <w:ind w:firstLine="482" w:firstLineChars="200"/>
              <w:rPr>
                <w:rFonts w:hint="eastAsia" w:ascii="宋体" w:hAnsi="宋体" w:cs="宋体"/>
                <w:b/>
                <w:bCs/>
                <w:color w:val="000000"/>
                <w:kern w:val="0"/>
                <w:sz w:val="24"/>
              </w:rPr>
            </w:pPr>
            <w:r>
              <w:rPr>
                <w:rFonts w:hint="eastAsia" w:ascii="宋体" w:hAnsi="宋体" w:cs="宋体"/>
                <w:b/>
                <w:bCs/>
                <w:color w:val="000000"/>
                <w:kern w:val="0"/>
                <w:sz w:val="24"/>
              </w:rPr>
              <w:t>（1）与《重庆涪陵工业园区李渡组团规划环境影响报告书》的符合性分析</w:t>
            </w:r>
          </w:p>
          <w:p w14:paraId="36183269">
            <w:pPr>
              <w:autoSpaceDE w:val="0"/>
              <w:autoSpaceDN w:val="0"/>
              <w:adjustRightInd w:val="0"/>
              <w:snapToGrid w:val="0"/>
              <w:spacing w:line="360" w:lineRule="auto"/>
              <w:ind w:firstLine="480" w:firstLineChars="200"/>
              <w:rPr>
                <w:rFonts w:ascii="宋体" w:hAnsi="宋体" w:cs="宋体"/>
                <w:color w:val="000000"/>
                <w:kern w:val="0"/>
                <w:sz w:val="24"/>
              </w:rPr>
            </w:pPr>
            <w:r>
              <w:rPr>
                <w:rFonts w:ascii="宋体" w:hAnsi="宋体" w:cs="宋体"/>
                <w:color w:val="000000"/>
                <w:kern w:val="0"/>
                <w:sz w:val="24"/>
              </w:rPr>
              <w:t>拟建项目与规划环评符合性见分析下表。</w:t>
            </w:r>
          </w:p>
          <w:p w14:paraId="7D7D36F4">
            <w:pPr>
              <w:pStyle w:val="68"/>
              <w:spacing w:line="240" w:lineRule="auto"/>
              <w:rPr>
                <w:rFonts w:ascii="黑体" w:hAnsi="黑体" w:eastAsia="黑体" w:cs="黑体"/>
                <w:b w:val="0"/>
                <w:bCs w:val="0"/>
              </w:rPr>
            </w:pPr>
            <w:r>
              <w:rPr>
                <w:rFonts w:ascii="黑体" w:hAnsi="黑体" w:eastAsia="黑体" w:cs="黑体"/>
                <w:b w:val="0"/>
                <w:bCs w:val="0"/>
              </w:rPr>
              <w:t>表1</w:t>
            </w:r>
            <w:r>
              <w:rPr>
                <w:rFonts w:hint="eastAsia" w:ascii="黑体" w:hAnsi="黑体" w:eastAsia="黑体" w:cs="黑体"/>
                <w:b w:val="0"/>
                <w:bCs w:val="0"/>
              </w:rPr>
              <w:t>-2</w:t>
            </w:r>
            <w:r>
              <w:rPr>
                <w:rFonts w:ascii="黑体" w:hAnsi="黑体" w:eastAsia="黑体" w:cs="黑体"/>
                <w:b w:val="0"/>
                <w:bCs w:val="0"/>
              </w:rPr>
              <w:t xml:space="preserve">  规划环评入园控制条件符合性分析</w:t>
            </w:r>
          </w:p>
          <w:tbl>
            <w:tblPr>
              <w:tblStyle w:val="23"/>
              <w:tblW w:w="4996"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49"/>
              <w:gridCol w:w="5121"/>
              <w:gridCol w:w="1752"/>
              <w:gridCol w:w="606"/>
            </w:tblGrid>
            <w:tr w14:paraId="221983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3" w:type="pct"/>
                  <w:vAlign w:val="center"/>
                </w:tcPr>
                <w:p w14:paraId="23A9AA14">
                  <w:pPr>
                    <w:jc w:val="center"/>
                    <w:rPr>
                      <w:rFonts w:hint="eastAsia" w:ascii="宋体" w:hAnsi="宋体" w:cs="宋体"/>
                      <w:szCs w:val="21"/>
                    </w:rPr>
                  </w:pPr>
                  <w:r>
                    <w:rPr>
                      <w:rFonts w:hint="eastAsia" w:ascii="宋体" w:hAnsi="宋体" w:cs="宋体"/>
                      <w:szCs w:val="21"/>
                    </w:rPr>
                    <w:t>序号</w:t>
                  </w:r>
                </w:p>
              </w:tc>
              <w:tc>
                <w:tcPr>
                  <w:tcW w:w="3230" w:type="pct"/>
                  <w:vAlign w:val="center"/>
                </w:tcPr>
                <w:p w14:paraId="2AE6E6C7">
                  <w:pPr>
                    <w:jc w:val="center"/>
                    <w:rPr>
                      <w:rFonts w:hint="eastAsia" w:ascii="宋体" w:hAnsi="宋体" w:cs="宋体"/>
                      <w:szCs w:val="21"/>
                    </w:rPr>
                  </w:pPr>
                  <w:r>
                    <w:rPr>
                      <w:rFonts w:hint="eastAsia" w:ascii="宋体" w:hAnsi="宋体" w:cs="宋体"/>
                      <w:szCs w:val="21"/>
                    </w:rPr>
                    <w:t>入园控制条件</w:t>
                  </w:r>
                </w:p>
              </w:tc>
              <w:tc>
                <w:tcPr>
                  <w:tcW w:w="1105" w:type="pct"/>
                  <w:vAlign w:val="center"/>
                </w:tcPr>
                <w:p w14:paraId="4A9A2B28">
                  <w:pPr>
                    <w:jc w:val="center"/>
                    <w:rPr>
                      <w:rFonts w:hint="eastAsia" w:ascii="宋体" w:hAnsi="宋体" w:cs="宋体"/>
                      <w:szCs w:val="21"/>
                    </w:rPr>
                  </w:pPr>
                  <w:r>
                    <w:rPr>
                      <w:rFonts w:hint="eastAsia" w:ascii="宋体" w:hAnsi="宋体" w:cs="宋体"/>
                      <w:szCs w:val="21"/>
                    </w:rPr>
                    <w:t>本项目情况</w:t>
                  </w:r>
                </w:p>
              </w:tc>
              <w:tc>
                <w:tcPr>
                  <w:tcW w:w="382" w:type="pct"/>
                  <w:vAlign w:val="center"/>
                </w:tcPr>
                <w:p w14:paraId="7C3DB886">
                  <w:pPr>
                    <w:jc w:val="center"/>
                    <w:rPr>
                      <w:rFonts w:hint="eastAsia" w:ascii="宋体" w:hAnsi="宋体" w:cs="宋体"/>
                      <w:szCs w:val="21"/>
                    </w:rPr>
                  </w:pPr>
                  <w:r>
                    <w:rPr>
                      <w:rFonts w:hint="eastAsia" w:ascii="宋体" w:hAnsi="宋体" w:cs="宋体"/>
                      <w:szCs w:val="21"/>
                    </w:rPr>
                    <w:t>符合性</w:t>
                  </w:r>
                </w:p>
              </w:tc>
            </w:tr>
            <w:tr w14:paraId="745CB2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3" w:type="pct"/>
                  <w:vAlign w:val="center"/>
                </w:tcPr>
                <w:p w14:paraId="1CC088B0">
                  <w:pPr>
                    <w:jc w:val="center"/>
                    <w:rPr>
                      <w:rFonts w:hint="eastAsia" w:ascii="宋体" w:hAnsi="宋体" w:cs="宋体"/>
                      <w:szCs w:val="21"/>
                    </w:rPr>
                  </w:pPr>
                  <w:r>
                    <w:rPr>
                      <w:rFonts w:hint="eastAsia" w:ascii="宋体" w:hAnsi="宋体" w:cs="宋体"/>
                      <w:szCs w:val="21"/>
                    </w:rPr>
                    <w:t>1</w:t>
                  </w:r>
                </w:p>
              </w:tc>
              <w:tc>
                <w:tcPr>
                  <w:tcW w:w="3230" w:type="pct"/>
                  <w:vAlign w:val="center"/>
                </w:tcPr>
                <w:p w14:paraId="1A8FD685">
                  <w:pPr>
                    <w:jc w:val="center"/>
                    <w:rPr>
                      <w:rFonts w:hint="eastAsia" w:ascii="宋体" w:hAnsi="宋体" w:cs="宋体"/>
                      <w:szCs w:val="21"/>
                    </w:rPr>
                  </w:pPr>
                  <w:r>
                    <w:rPr>
                      <w:rFonts w:hint="eastAsia" w:ascii="宋体" w:hAnsi="宋体" w:cs="宋体"/>
                      <w:szCs w:val="21"/>
                    </w:rPr>
                    <w:t>所有建设项目在环境保护方面要做到高起点、高标准、严要求，实行严格的污染物排放总量控制制度和排污许可制度。</w:t>
                  </w:r>
                </w:p>
              </w:tc>
              <w:tc>
                <w:tcPr>
                  <w:tcW w:w="1105" w:type="pct"/>
                  <w:vAlign w:val="center"/>
                </w:tcPr>
                <w:p w14:paraId="3A8BBEB1">
                  <w:pPr>
                    <w:jc w:val="center"/>
                    <w:rPr>
                      <w:rFonts w:ascii="宋体" w:hAnsi="宋体" w:cs="宋体"/>
                      <w:szCs w:val="21"/>
                    </w:rPr>
                  </w:pPr>
                  <w:r>
                    <w:rPr>
                      <w:rFonts w:hint="eastAsia" w:ascii="宋体" w:hAnsi="宋体" w:cs="宋体"/>
                      <w:szCs w:val="21"/>
                    </w:rPr>
                    <w:t>本项目严格落实各项环境保护措施，严格落实污染物排放总量控制制度和排污许可制度</w:t>
                  </w:r>
                </w:p>
              </w:tc>
              <w:tc>
                <w:tcPr>
                  <w:tcW w:w="382" w:type="pct"/>
                  <w:vAlign w:val="center"/>
                </w:tcPr>
                <w:p w14:paraId="4F4A6DB2">
                  <w:pPr>
                    <w:jc w:val="center"/>
                    <w:rPr>
                      <w:rFonts w:hint="eastAsia" w:ascii="宋体" w:hAnsi="宋体" w:cs="宋体"/>
                      <w:szCs w:val="21"/>
                    </w:rPr>
                  </w:pPr>
                  <w:r>
                    <w:rPr>
                      <w:rFonts w:hint="eastAsia" w:ascii="宋体" w:hAnsi="宋体" w:cs="宋体"/>
                      <w:szCs w:val="21"/>
                    </w:rPr>
                    <w:t>符合</w:t>
                  </w:r>
                </w:p>
              </w:tc>
            </w:tr>
            <w:tr w14:paraId="3034E1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3" w:type="pct"/>
                  <w:vAlign w:val="center"/>
                </w:tcPr>
                <w:p w14:paraId="2E9C0C98">
                  <w:pPr>
                    <w:jc w:val="center"/>
                    <w:rPr>
                      <w:rFonts w:hint="eastAsia" w:ascii="宋体" w:hAnsi="宋体" w:cs="宋体"/>
                      <w:szCs w:val="21"/>
                    </w:rPr>
                  </w:pPr>
                  <w:r>
                    <w:rPr>
                      <w:rFonts w:hint="eastAsia" w:ascii="宋体" w:hAnsi="宋体" w:cs="宋体"/>
                      <w:szCs w:val="21"/>
                    </w:rPr>
                    <w:t>2</w:t>
                  </w:r>
                </w:p>
              </w:tc>
              <w:tc>
                <w:tcPr>
                  <w:tcW w:w="3230" w:type="pct"/>
                  <w:vAlign w:val="center"/>
                </w:tcPr>
                <w:p w14:paraId="0A4AD415">
                  <w:pPr>
                    <w:jc w:val="center"/>
                    <w:rPr>
                      <w:rFonts w:hint="eastAsia" w:ascii="宋体" w:hAnsi="宋体" w:cs="宋体"/>
                      <w:szCs w:val="21"/>
                    </w:rPr>
                  </w:pPr>
                  <w:r>
                    <w:rPr>
                      <w:rFonts w:hint="eastAsia" w:ascii="宋体" w:hAnsi="宋体" w:cs="宋体"/>
                      <w:szCs w:val="21"/>
                    </w:rPr>
                    <w:t>符合当前国家重点鼓励发展的产业、产品和技术目录要求；与李渡组团工业片区的产业定位相吻合，项目的筛选应贯彻循环经济，考虑上、下游产品的关联性，尽可能延长产业链。</w:t>
                  </w:r>
                </w:p>
              </w:tc>
              <w:tc>
                <w:tcPr>
                  <w:tcW w:w="1105" w:type="pct"/>
                  <w:vAlign w:val="center"/>
                </w:tcPr>
                <w:p w14:paraId="45A56575">
                  <w:pPr>
                    <w:jc w:val="center"/>
                    <w:rPr>
                      <w:rFonts w:hint="eastAsia" w:ascii="宋体" w:hAnsi="宋体" w:cs="宋体"/>
                      <w:szCs w:val="21"/>
                    </w:rPr>
                  </w:pPr>
                  <w:r>
                    <w:rPr>
                      <w:rFonts w:hint="eastAsia" w:ascii="宋体" w:hAnsi="宋体" w:cs="宋体"/>
                      <w:szCs w:val="21"/>
                    </w:rPr>
                    <w:t>本项目为加油站项目，与李渡组团工业片区的产业定位相符</w:t>
                  </w:r>
                </w:p>
              </w:tc>
              <w:tc>
                <w:tcPr>
                  <w:tcW w:w="382" w:type="pct"/>
                  <w:vAlign w:val="center"/>
                </w:tcPr>
                <w:p w14:paraId="539F4148">
                  <w:pPr>
                    <w:jc w:val="center"/>
                    <w:rPr>
                      <w:rFonts w:hint="eastAsia" w:ascii="宋体" w:hAnsi="宋体" w:cs="宋体"/>
                      <w:szCs w:val="21"/>
                    </w:rPr>
                  </w:pPr>
                  <w:r>
                    <w:rPr>
                      <w:rFonts w:hint="eastAsia" w:ascii="宋体" w:hAnsi="宋体" w:cs="宋体"/>
                      <w:szCs w:val="21"/>
                    </w:rPr>
                    <w:t>符合</w:t>
                  </w:r>
                </w:p>
              </w:tc>
            </w:tr>
            <w:tr w14:paraId="449962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3" w:type="pct"/>
                  <w:vAlign w:val="center"/>
                </w:tcPr>
                <w:p w14:paraId="11209248">
                  <w:pPr>
                    <w:jc w:val="center"/>
                    <w:rPr>
                      <w:rFonts w:hint="eastAsia" w:ascii="宋体" w:hAnsi="宋体" w:cs="宋体"/>
                      <w:szCs w:val="21"/>
                    </w:rPr>
                  </w:pPr>
                  <w:r>
                    <w:rPr>
                      <w:rFonts w:hint="eastAsia" w:ascii="宋体" w:hAnsi="宋体" w:cs="宋体"/>
                      <w:szCs w:val="21"/>
                    </w:rPr>
                    <w:t>3</w:t>
                  </w:r>
                </w:p>
              </w:tc>
              <w:tc>
                <w:tcPr>
                  <w:tcW w:w="3230" w:type="pct"/>
                  <w:vAlign w:val="center"/>
                </w:tcPr>
                <w:p w14:paraId="7AF3FD2E">
                  <w:pPr>
                    <w:jc w:val="center"/>
                    <w:rPr>
                      <w:rFonts w:hint="eastAsia" w:ascii="宋体" w:hAnsi="宋体" w:cs="宋体"/>
                      <w:szCs w:val="21"/>
                    </w:rPr>
                  </w:pPr>
                  <w:r>
                    <w:rPr>
                      <w:rFonts w:hint="eastAsia" w:ascii="宋体" w:hAnsi="宋体" w:cs="宋体"/>
                      <w:szCs w:val="21"/>
                    </w:rPr>
                    <w:t>适合涪陵区经济、社会发展的基本情况，对产业结构优化升级有重大推动作用，符合可持续发展的要求的建设项目，优先入区；重点发展市场容量大，经济效益好的适销对路产品以及国内无法生产的高技术含量的产品，限制产品档次低、无市场需求的产品。</w:t>
                  </w:r>
                </w:p>
              </w:tc>
              <w:tc>
                <w:tcPr>
                  <w:tcW w:w="1105" w:type="pct"/>
                  <w:vAlign w:val="center"/>
                </w:tcPr>
                <w:p w14:paraId="142C170E">
                  <w:pPr>
                    <w:jc w:val="center"/>
                    <w:rPr>
                      <w:rFonts w:ascii="宋体" w:hAnsi="宋体" w:cs="宋体"/>
                      <w:szCs w:val="21"/>
                    </w:rPr>
                  </w:pPr>
                  <w:r>
                    <w:rPr>
                      <w:rFonts w:hint="eastAsia" w:ascii="宋体" w:hAnsi="宋体" w:cs="宋体"/>
                      <w:szCs w:val="21"/>
                    </w:rPr>
                    <w:t>本项目为加油站项目，不属于园区限制准入的建设项目</w:t>
                  </w:r>
                </w:p>
              </w:tc>
              <w:tc>
                <w:tcPr>
                  <w:tcW w:w="382" w:type="pct"/>
                  <w:vAlign w:val="center"/>
                </w:tcPr>
                <w:p w14:paraId="4A6EBABF">
                  <w:pPr>
                    <w:jc w:val="center"/>
                    <w:rPr>
                      <w:rFonts w:hint="eastAsia" w:ascii="宋体" w:hAnsi="宋体" w:cs="宋体"/>
                      <w:szCs w:val="21"/>
                    </w:rPr>
                  </w:pPr>
                  <w:r>
                    <w:rPr>
                      <w:rFonts w:hint="eastAsia" w:ascii="宋体" w:hAnsi="宋体" w:cs="宋体"/>
                      <w:szCs w:val="21"/>
                    </w:rPr>
                    <w:t>符合</w:t>
                  </w:r>
                </w:p>
              </w:tc>
            </w:tr>
            <w:tr w14:paraId="78DB41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3" w:type="pct"/>
                  <w:vAlign w:val="center"/>
                </w:tcPr>
                <w:p w14:paraId="6F48A64C">
                  <w:pPr>
                    <w:jc w:val="center"/>
                    <w:rPr>
                      <w:rFonts w:hint="eastAsia" w:ascii="宋体" w:hAnsi="宋体" w:cs="宋体"/>
                      <w:szCs w:val="21"/>
                    </w:rPr>
                  </w:pPr>
                  <w:r>
                    <w:rPr>
                      <w:rFonts w:hint="eastAsia" w:ascii="宋体" w:hAnsi="宋体" w:cs="宋体"/>
                      <w:szCs w:val="21"/>
                    </w:rPr>
                    <w:t>4</w:t>
                  </w:r>
                </w:p>
              </w:tc>
              <w:tc>
                <w:tcPr>
                  <w:tcW w:w="3230" w:type="pct"/>
                </w:tcPr>
                <w:p w14:paraId="6EDE74D8">
                  <w:pPr>
                    <w:jc w:val="center"/>
                    <w:rPr>
                      <w:rFonts w:hint="eastAsia" w:ascii="宋体" w:hAnsi="宋体" w:cs="宋体"/>
                      <w:szCs w:val="21"/>
                    </w:rPr>
                  </w:pPr>
                  <w:r>
                    <w:rPr>
                      <w:rFonts w:hint="eastAsia" w:ascii="宋体" w:hAnsi="宋体" w:cs="宋体"/>
                      <w:szCs w:val="21"/>
                    </w:rPr>
                    <w:t>鼓励大型、带动力强的工业企业入驻，促进区域经济结构优化，提高产业单位建设用地产出的经济总量，优先考虑具有知识密集型、技术密集型、资本密集型的企业入园，并为其提供充分的发展空间。同时充分发挥当地的人力优势，以解决农村转移劳动力的就业安置，提高其生活水平</w:t>
                  </w:r>
                </w:p>
              </w:tc>
              <w:tc>
                <w:tcPr>
                  <w:tcW w:w="1105" w:type="pct"/>
                  <w:vAlign w:val="center"/>
                </w:tcPr>
                <w:p w14:paraId="3A615AFD">
                  <w:pPr>
                    <w:jc w:val="center"/>
                    <w:rPr>
                      <w:rFonts w:ascii="宋体" w:hAnsi="宋体" w:cs="宋体"/>
                      <w:szCs w:val="21"/>
                    </w:rPr>
                  </w:pPr>
                  <w:r>
                    <w:rPr>
                      <w:rFonts w:hint="eastAsia" w:ascii="宋体" w:hAnsi="宋体" w:cs="宋体"/>
                      <w:szCs w:val="21"/>
                    </w:rPr>
                    <w:t>本项目为加油站项目，不涉及</w:t>
                  </w:r>
                </w:p>
              </w:tc>
              <w:tc>
                <w:tcPr>
                  <w:tcW w:w="382" w:type="pct"/>
                  <w:vAlign w:val="center"/>
                </w:tcPr>
                <w:p w14:paraId="479D4213">
                  <w:pPr>
                    <w:jc w:val="center"/>
                    <w:rPr>
                      <w:rFonts w:hint="eastAsia" w:ascii="宋体" w:hAnsi="宋体" w:cs="宋体"/>
                      <w:szCs w:val="21"/>
                    </w:rPr>
                  </w:pPr>
                  <w:r>
                    <w:rPr>
                      <w:rFonts w:hint="eastAsia" w:ascii="宋体" w:hAnsi="宋体" w:cs="宋体"/>
                      <w:szCs w:val="21"/>
                    </w:rPr>
                    <w:t>符合</w:t>
                  </w:r>
                </w:p>
              </w:tc>
            </w:tr>
            <w:tr w14:paraId="506EF5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3" w:type="pct"/>
                  <w:vAlign w:val="center"/>
                </w:tcPr>
                <w:p w14:paraId="5039F1A2">
                  <w:pPr>
                    <w:jc w:val="center"/>
                    <w:rPr>
                      <w:rFonts w:hint="eastAsia" w:ascii="宋体" w:hAnsi="宋体" w:cs="宋体"/>
                      <w:szCs w:val="21"/>
                    </w:rPr>
                  </w:pPr>
                  <w:r>
                    <w:rPr>
                      <w:rFonts w:hint="eastAsia" w:ascii="宋体" w:hAnsi="宋体" w:cs="宋体"/>
                      <w:szCs w:val="21"/>
                    </w:rPr>
                    <w:t>5</w:t>
                  </w:r>
                </w:p>
              </w:tc>
              <w:tc>
                <w:tcPr>
                  <w:tcW w:w="3230" w:type="pct"/>
                  <w:vAlign w:val="center"/>
                </w:tcPr>
                <w:p w14:paraId="05D15FF1">
                  <w:pPr>
                    <w:jc w:val="center"/>
                    <w:rPr>
                      <w:rFonts w:hint="eastAsia" w:ascii="宋体" w:hAnsi="宋体" w:cs="宋体"/>
                      <w:szCs w:val="21"/>
                    </w:rPr>
                  </w:pPr>
                  <w:r>
                    <w:rPr>
                      <w:rFonts w:hint="eastAsia" w:ascii="宋体" w:hAnsi="宋体" w:cs="宋体"/>
                      <w:szCs w:val="21"/>
                    </w:rPr>
                    <w:t>引进的企业必须符合《产业结构调整指导目录（2011年本）（修订）》、《重庆市工业项目环境准入规定（修订）》</w:t>
                  </w:r>
                  <w:bookmarkStart w:id="2" w:name="OLE_LINK14"/>
                  <w:bookmarkStart w:id="3" w:name="OLE_LINK2"/>
                  <w:r>
                    <w:rPr>
                      <w:rFonts w:hint="eastAsia" w:ascii="宋体" w:hAnsi="宋体" w:cs="宋体"/>
                      <w:szCs w:val="21"/>
                    </w:rPr>
                    <w:t>、行业准入</w:t>
                  </w:r>
                  <w:bookmarkEnd w:id="2"/>
                  <w:bookmarkEnd w:id="3"/>
                  <w:r>
                    <w:rPr>
                      <w:rFonts w:hint="eastAsia" w:ascii="宋体" w:hAnsi="宋体" w:cs="宋体"/>
                      <w:szCs w:val="21"/>
                    </w:rPr>
                    <w:t>条件等要求。</w:t>
                  </w:r>
                </w:p>
              </w:tc>
              <w:tc>
                <w:tcPr>
                  <w:tcW w:w="1105" w:type="pct"/>
                  <w:vAlign w:val="center"/>
                </w:tcPr>
                <w:p w14:paraId="323865EF">
                  <w:pPr>
                    <w:jc w:val="center"/>
                    <w:rPr>
                      <w:rFonts w:ascii="宋体" w:hAnsi="宋体" w:cs="宋体"/>
                      <w:szCs w:val="21"/>
                    </w:rPr>
                  </w:pPr>
                  <w:r>
                    <w:rPr>
                      <w:rFonts w:hint="eastAsia" w:ascii="宋体" w:hAnsi="宋体" w:cs="宋体"/>
                      <w:szCs w:val="21"/>
                    </w:rPr>
                    <w:t>本项目为加油站项目，符合行业准入条件要求</w:t>
                  </w:r>
                </w:p>
              </w:tc>
              <w:tc>
                <w:tcPr>
                  <w:tcW w:w="382" w:type="pct"/>
                  <w:vAlign w:val="center"/>
                </w:tcPr>
                <w:p w14:paraId="0D277465">
                  <w:pPr>
                    <w:jc w:val="center"/>
                    <w:rPr>
                      <w:rFonts w:hint="eastAsia" w:ascii="宋体" w:hAnsi="宋体" w:cs="宋体"/>
                      <w:szCs w:val="21"/>
                    </w:rPr>
                  </w:pPr>
                  <w:r>
                    <w:rPr>
                      <w:rFonts w:hint="eastAsia" w:ascii="宋体" w:hAnsi="宋体" w:cs="宋体"/>
                      <w:szCs w:val="21"/>
                    </w:rPr>
                    <w:t>符合</w:t>
                  </w:r>
                </w:p>
              </w:tc>
            </w:tr>
            <w:tr w14:paraId="693CEA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3" w:type="pct"/>
                  <w:vAlign w:val="center"/>
                </w:tcPr>
                <w:p w14:paraId="020D0468">
                  <w:pPr>
                    <w:jc w:val="center"/>
                    <w:rPr>
                      <w:rFonts w:hint="eastAsia" w:ascii="宋体" w:hAnsi="宋体" w:cs="宋体"/>
                      <w:szCs w:val="21"/>
                    </w:rPr>
                  </w:pPr>
                  <w:r>
                    <w:rPr>
                      <w:rFonts w:hint="eastAsia" w:ascii="宋体" w:hAnsi="宋体" w:cs="宋体"/>
                      <w:szCs w:val="21"/>
                    </w:rPr>
                    <w:t>6</w:t>
                  </w:r>
                </w:p>
              </w:tc>
              <w:tc>
                <w:tcPr>
                  <w:tcW w:w="3230" w:type="pct"/>
                  <w:vAlign w:val="center"/>
                </w:tcPr>
                <w:p w14:paraId="4B73D9C6">
                  <w:pPr>
                    <w:jc w:val="center"/>
                    <w:rPr>
                      <w:rFonts w:hint="eastAsia" w:ascii="宋体" w:hAnsi="宋体" w:cs="宋体"/>
                      <w:szCs w:val="21"/>
                    </w:rPr>
                  </w:pPr>
                  <w:r>
                    <w:rPr>
                      <w:rFonts w:hint="eastAsia" w:ascii="宋体" w:hAnsi="宋体" w:cs="宋体"/>
                      <w:szCs w:val="21"/>
                    </w:rPr>
                    <w:t>禁止发展印染业、原料药、造纸、水泥生产等重污染企业和其它不符合国家产业政策的项目进入，限制高耗水、水污染物排放强度高的工业企业进入（单位工业用地面积废水排放量大于3000m</w:t>
                  </w:r>
                  <w:r>
                    <w:rPr>
                      <w:rFonts w:hint="eastAsia" w:ascii="宋体" w:hAnsi="宋体" w:cs="宋体"/>
                      <w:szCs w:val="21"/>
                      <w:vertAlign w:val="superscript"/>
                    </w:rPr>
                    <w:t>3</w:t>
                  </w:r>
                  <w:r>
                    <w:rPr>
                      <w:rFonts w:hint="eastAsia" w:ascii="宋体" w:hAnsi="宋体" w:cs="宋体"/>
                      <w:szCs w:val="21"/>
                    </w:rPr>
                    <w:t>/km</w:t>
                  </w:r>
                  <w:r>
                    <w:rPr>
                      <w:rFonts w:hint="eastAsia" w:ascii="宋体" w:hAnsi="宋体" w:cs="宋体"/>
                      <w:szCs w:val="21"/>
                      <w:vertAlign w:val="superscript"/>
                    </w:rPr>
                    <w:t>2</w:t>
                  </w:r>
                  <w:r>
                    <w:rPr>
                      <w:rFonts w:hint="eastAsia" w:ascii="宋体" w:hAnsi="宋体" w:cs="宋体"/>
                      <w:szCs w:val="21"/>
                    </w:rPr>
                    <w:t>.d，根据目前已经入驻企业计算平均值）进入；鼓励大型、带动力强的企业入驻，促进区域经济结构优化，提高工业片区单位建设用地产出的经济总量，禁止新建产出强度低于100亿元/平方公里的工业项目。</w:t>
                  </w:r>
                </w:p>
              </w:tc>
              <w:tc>
                <w:tcPr>
                  <w:tcW w:w="1105" w:type="pct"/>
                  <w:vAlign w:val="center"/>
                </w:tcPr>
                <w:p w14:paraId="3CCEC9A0">
                  <w:pPr>
                    <w:jc w:val="center"/>
                    <w:rPr>
                      <w:rFonts w:ascii="宋体" w:hAnsi="宋体" w:cs="宋体"/>
                      <w:szCs w:val="21"/>
                    </w:rPr>
                  </w:pPr>
                  <w:r>
                    <w:rPr>
                      <w:rFonts w:hint="eastAsia" w:ascii="宋体" w:hAnsi="宋体" w:cs="宋体"/>
                      <w:szCs w:val="21"/>
                    </w:rPr>
                    <w:t>本项目为加油站项目，不属于禁止准入项目</w:t>
                  </w:r>
                </w:p>
              </w:tc>
              <w:tc>
                <w:tcPr>
                  <w:tcW w:w="382" w:type="pct"/>
                  <w:vAlign w:val="center"/>
                </w:tcPr>
                <w:p w14:paraId="477C908F">
                  <w:pPr>
                    <w:jc w:val="center"/>
                    <w:rPr>
                      <w:rFonts w:hint="eastAsia" w:ascii="宋体" w:hAnsi="宋体" w:cs="宋体"/>
                      <w:szCs w:val="21"/>
                    </w:rPr>
                  </w:pPr>
                  <w:r>
                    <w:rPr>
                      <w:rFonts w:hint="eastAsia" w:ascii="宋体" w:hAnsi="宋体" w:cs="宋体"/>
                      <w:szCs w:val="21"/>
                    </w:rPr>
                    <w:t>符合</w:t>
                  </w:r>
                </w:p>
              </w:tc>
            </w:tr>
            <w:tr w14:paraId="68B6A4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3" w:type="pct"/>
                  <w:vAlign w:val="center"/>
                </w:tcPr>
                <w:p w14:paraId="6528A3D0">
                  <w:pPr>
                    <w:jc w:val="center"/>
                    <w:rPr>
                      <w:rFonts w:hint="eastAsia" w:ascii="宋体" w:hAnsi="宋体" w:cs="宋体"/>
                      <w:szCs w:val="21"/>
                    </w:rPr>
                  </w:pPr>
                  <w:r>
                    <w:rPr>
                      <w:rFonts w:hint="eastAsia" w:ascii="宋体" w:hAnsi="宋体" w:cs="宋体"/>
                      <w:szCs w:val="21"/>
                    </w:rPr>
                    <w:t>7</w:t>
                  </w:r>
                </w:p>
              </w:tc>
              <w:tc>
                <w:tcPr>
                  <w:tcW w:w="3230" w:type="pct"/>
                  <w:vAlign w:val="center"/>
                </w:tcPr>
                <w:p w14:paraId="775C1F3F">
                  <w:pPr>
                    <w:jc w:val="center"/>
                    <w:rPr>
                      <w:rFonts w:hint="eastAsia" w:ascii="宋体" w:hAnsi="宋体" w:cs="宋体"/>
                      <w:szCs w:val="21"/>
                    </w:rPr>
                  </w:pPr>
                  <w:r>
                    <w:rPr>
                      <w:rFonts w:hint="eastAsia" w:ascii="宋体" w:hAnsi="宋体" w:cs="宋体"/>
                      <w:szCs w:val="21"/>
                    </w:rPr>
                    <w:t>按照走新型工业化道路的要求，入区的工业项目应符合国家和行业清洁生产标准要求，企业清洁生产水平必须达到国内或国际先进水平要求；在工艺技术水平上，要求入驻项目达到国内同行业领先水平、或具备国际先进水平；建设规模应符合国家产业政策的最小经济规模要求。</w:t>
                  </w:r>
                </w:p>
              </w:tc>
              <w:tc>
                <w:tcPr>
                  <w:tcW w:w="1105" w:type="pct"/>
                  <w:vAlign w:val="center"/>
                </w:tcPr>
                <w:p w14:paraId="49D851F8">
                  <w:pPr>
                    <w:jc w:val="center"/>
                    <w:rPr>
                      <w:rFonts w:hint="eastAsia" w:ascii="宋体" w:hAnsi="宋体" w:cs="宋体"/>
                      <w:szCs w:val="21"/>
                    </w:rPr>
                  </w:pPr>
                  <w:r>
                    <w:rPr>
                      <w:rFonts w:hint="eastAsia" w:ascii="宋体" w:hAnsi="宋体" w:cs="宋体"/>
                      <w:szCs w:val="21"/>
                    </w:rPr>
                    <w:t>本项目为加油站项目，属于社会事业与服务业</w:t>
                  </w:r>
                </w:p>
              </w:tc>
              <w:tc>
                <w:tcPr>
                  <w:tcW w:w="382" w:type="pct"/>
                  <w:vAlign w:val="center"/>
                </w:tcPr>
                <w:p w14:paraId="49CEE2B8">
                  <w:pPr>
                    <w:jc w:val="center"/>
                    <w:rPr>
                      <w:rFonts w:hint="eastAsia" w:ascii="宋体" w:hAnsi="宋体" w:cs="宋体"/>
                      <w:szCs w:val="21"/>
                    </w:rPr>
                  </w:pPr>
                  <w:r>
                    <w:rPr>
                      <w:rFonts w:hint="eastAsia" w:ascii="宋体" w:hAnsi="宋体" w:cs="宋体"/>
                      <w:szCs w:val="21"/>
                    </w:rPr>
                    <w:t>符合</w:t>
                  </w:r>
                </w:p>
              </w:tc>
            </w:tr>
            <w:tr w14:paraId="33914D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283" w:type="pct"/>
                  <w:vAlign w:val="center"/>
                </w:tcPr>
                <w:p w14:paraId="5FF4C388">
                  <w:pPr>
                    <w:jc w:val="center"/>
                    <w:rPr>
                      <w:rFonts w:hint="eastAsia" w:ascii="宋体" w:hAnsi="宋体" w:cs="宋体"/>
                      <w:szCs w:val="21"/>
                    </w:rPr>
                  </w:pPr>
                  <w:r>
                    <w:rPr>
                      <w:rFonts w:hint="eastAsia" w:ascii="宋体" w:hAnsi="宋体" w:cs="宋体"/>
                      <w:szCs w:val="21"/>
                    </w:rPr>
                    <w:t>8</w:t>
                  </w:r>
                </w:p>
              </w:tc>
              <w:tc>
                <w:tcPr>
                  <w:tcW w:w="3230" w:type="pct"/>
                  <w:vAlign w:val="center"/>
                </w:tcPr>
                <w:p w14:paraId="526E70F9">
                  <w:pPr>
                    <w:jc w:val="center"/>
                    <w:rPr>
                      <w:rFonts w:hint="eastAsia" w:ascii="宋体" w:hAnsi="宋体" w:cs="宋体"/>
                      <w:szCs w:val="21"/>
                    </w:rPr>
                  </w:pPr>
                  <w:r>
                    <w:rPr>
                      <w:rFonts w:hint="eastAsia" w:ascii="宋体" w:hAnsi="宋体" w:cs="宋体"/>
                      <w:szCs w:val="21"/>
                    </w:rPr>
                    <w:t>入区企业必须根据环保政策和区域环境容量进行环境影响分析，并尽可能做好工业节水和水的循环利用。同时入驻企业工艺生产采用清洁能源，以实现大气环境保护目标。</w:t>
                  </w:r>
                </w:p>
              </w:tc>
              <w:tc>
                <w:tcPr>
                  <w:tcW w:w="1105" w:type="pct"/>
                  <w:vAlign w:val="center"/>
                </w:tcPr>
                <w:p w14:paraId="4480DDAC">
                  <w:pPr>
                    <w:jc w:val="center"/>
                    <w:rPr>
                      <w:rFonts w:ascii="宋体" w:hAnsi="宋体" w:cs="宋体"/>
                      <w:szCs w:val="21"/>
                    </w:rPr>
                  </w:pPr>
                  <w:r>
                    <w:rPr>
                      <w:rFonts w:hint="eastAsia" w:ascii="宋体" w:hAnsi="宋体" w:cs="宋体"/>
                      <w:szCs w:val="21"/>
                    </w:rPr>
                    <w:t>本项目与相关环保政策相符，同时区域环境质量属于达标区，项目产生的废水较少，经处理后排至园污水管网进一步处理</w:t>
                  </w:r>
                </w:p>
              </w:tc>
              <w:tc>
                <w:tcPr>
                  <w:tcW w:w="382" w:type="pct"/>
                  <w:vAlign w:val="center"/>
                </w:tcPr>
                <w:p w14:paraId="07473B3F">
                  <w:pPr>
                    <w:jc w:val="center"/>
                    <w:rPr>
                      <w:rFonts w:hint="eastAsia" w:ascii="宋体" w:hAnsi="宋体" w:cs="宋体"/>
                      <w:szCs w:val="21"/>
                    </w:rPr>
                  </w:pPr>
                  <w:r>
                    <w:rPr>
                      <w:rFonts w:hint="eastAsia" w:ascii="宋体" w:hAnsi="宋体" w:cs="宋体"/>
                      <w:szCs w:val="21"/>
                    </w:rPr>
                    <w:t>符合</w:t>
                  </w:r>
                </w:p>
              </w:tc>
            </w:tr>
          </w:tbl>
          <w:p w14:paraId="2EFF48BE">
            <w:pPr>
              <w:autoSpaceDE w:val="0"/>
              <w:autoSpaceDN w:val="0"/>
              <w:adjustRightInd w:val="0"/>
              <w:snapToGrid w:val="0"/>
              <w:spacing w:line="360" w:lineRule="auto"/>
              <w:ind w:firstLine="480" w:firstLineChars="200"/>
              <w:jc w:val="left"/>
              <w:rPr>
                <w:rFonts w:hint="eastAsia" w:ascii="宋体" w:hAnsi="宋体" w:cs="宋体"/>
                <w:kern w:val="0"/>
                <w:sz w:val="24"/>
              </w:rPr>
            </w:pPr>
            <w:r>
              <w:rPr>
                <w:rFonts w:hint="eastAsia" w:ascii="宋体" w:hAnsi="宋体" w:cs="宋体"/>
                <w:kern w:val="0"/>
                <w:sz w:val="24"/>
              </w:rPr>
              <w:t>由上表可知，本项目符合《重庆涪陵工业园区李渡组团规划环境影响报告书》提出的企业入园条件。</w:t>
            </w:r>
          </w:p>
          <w:p w14:paraId="163F4AE4">
            <w:pPr>
              <w:autoSpaceDE w:val="0"/>
              <w:autoSpaceDN w:val="0"/>
              <w:adjustRightInd w:val="0"/>
              <w:snapToGrid w:val="0"/>
              <w:spacing w:line="360" w:lineRule="auto"/>
              <w:ind w:firstLine="482" w:firstLineChars="200"/>
              <w:jc w:val="left"/>
              <w:rPr>
                <w:rFonts w:hint="eastAsia" w:ascii="宋体" w:hAnsi="宋体" w:cs="宋体"/>
                <w:b/>
                <w:bCs/>
                <w:kern w:val="0"/>
                <w:sz w:val="24"/>
              </w:rPr>
            </w:pPr>
            <w:r>
              <w:rPr>
                <w:rFonts w:hint="eastAsia" w:ascii="宋体" w:hAnsi="宋体" w:cs="宋体"/>
                <w:b/>
                <w:bCs/>
                <w:kern w:val="0"/>
                <w:sz w:val="24"/>
              </w:rPr>
              <w:t>（2）规划环评审查意见符合性</w:t>
            </w:r>
          </w:p>
          <w:p w14:paraId="237AA2A0">
            <w:pPr>
              <w:autoSpaceDE w:val="0"/>
              <w:autoSpaceDN w:val="0"/>
              <w:adjustRightInd w:val="0"/>
              <w:snapToGrid w:val="0"/>
              <w:spacing w:line="360" w:lineRule="auto"/>
              <w:ind w:firstLine="480" w:firstLineChars="200"/>
              <w:jc w:val="left"/>
              <w:rPr>
                <w:rFonts w:hint="eastAsia" w:ascii="宋体" w:hAnsi="宋体" w:cs="宋体"/>
                <w:kern w:val="0"/>
                <w:sz w:val="24"/>
              </w:rPr>
            </w:pPr>
            <w:r>
              <w:rPr>
                <w:rFonts w:hint="eastAsia" w:ascii="宋体" w:hAnsi="宋体" w:cs="宋体"/>
                <w:kern w:val="0"/>
                <w:sz w:val="24"/>
              </w:rPr>
              <w:t>拟建项目与规划环评审查意见符合性分析见下表。</w:t>
            </w:r>
          </w:p>
          <w:p w14:paraId="6537D899">
            <w:pPr>
              <w:pStyle w:val="68"/>
              <w:spacing w:line="240" w:lineRule="auto"/>
              <w:rPr>
                <w:rFonts w:hint="eastAsia" w:ascii="黑体" w:hAnsi="黑体" w:eastAsia="黑体" w:cs="黑体"/>
                <w:b w:val="0"/>
                <w:bCs w:val="0"/>
              </w:rPr>
            </w:pPr>
            <w:r>
              <w:rPr>
                <w:rFonts w:hint="eastAsia" w:ascii="黑体" w:hAnsi="黑体" w:eastAsia="黑体" w:cs="黑体"/>
                <w:b w:val="0"/>
                <w:bCs w:val="0"/>
              </w:rPr>
              <w:t>表1-3  规划环评审查意见符合性分析</w:t>
            </w:r>
          </w:p>
          <w:tbl>
            <w:tblPr>
              <w:tblStyle w:val="23"/>
              <w:tblW w:w="4996"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49"/>
              <w:gridCol w:w="5118"/>
              <w:gridCol w:w="1755"/>
              <w:gridCol w:w="606"/>
            </w:tblGrid>
            <w:tr w14:paraId="77674E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3" w:type="pct"/>
                  <w:vAlign w:val="center"/>
                </w:tcPr>
                <w:p w14:paraId="0B4AA878">
                  <w:pPr>
                    <w:jc w:val="center"/>
                    <w:rPr>
                      <w:rFonts w:hint="eastAsia" w:ascii="宋体" w:hAnsi="宋体" w:cs="宋体"/>
                      <w:szCs w:val="21"/>
                    </w:rPr>
                  </w:pPr>
                  <w:r>
                    <w:rPr>
                      <w:rFonts w:hint="eastAsia" w:ascii="宋体" w:hAnsi="宋体" w:cs="宋体"/>
                      <w:szCs w:val="21"/>
                    </w:rPr>
                    <w:t>序号</w:t>
                  </w:r>
                </w:p>
              </w:tc>
              <w:tc>
                <w:tcPr>
                  <w:tcW w:w="3228" w:type="pct"/>
                  <w:vAlign w:val="center"/>
                </w:tcPr>
                <w:p w14:paraId="09875022">
                  <w:pPr>
                    <w:jc w:val="center"/>
                    <w:rPr>
                      <w:rFonts w:hint="eastAsia" w:ascii="宋体" w:hAnsi="宋体" w:cs="宋体"/>
                      <w:szCs w:val="21"/>
                    </w:rPr>
                  </w:pPr>
                  <w:r>
                    <w:rPr>
                      <w:rFonts w:hint="eastAsia" w:ascii="宋体" w:hAnsi="宋体" w:cs="宋体"/>
                      <w:bCs/>
                      <w:szCs w:val="21"/>
                    </w:rPr>
                    <w:t>渝环函〔2016〕816号</w:t>
                  </w:r>
                </w:p>
              </w:tc>
              <w:tc>
                <w:tcPr>
                  <w:tcW w:w="1107" w:type="pct"/>
                  <w:vAlign w:val="center"/>
                </w:tcPr>
                <w:p w14:paraId="1BA685A0">
                  <w:pPr>
                    <w:jc w:val="center"/>
                    <w:rPr>
                      <w:rFonts w:hint="eastAsia" w:ascii="宋体" w:hAnsi="宋体" w:cs="宋体"/>
                      <w:szCs w:val="21"/>
                    </w:rPr>
                  </w:pPr>
                  <w:r>
                    <w:rPr>
                      <w:rFonts w:hint="eastAsia" w:ascii="宋体" w:hAnsi="宋体" w:cs="宋体"/>
                      <w:szCs w:val="21"/>
                    </w:rPr>
                    <w:t>本项目情况</w:t>
                  </w:r>
                </w:p>
              </w:tc>
              <w:tc>
                <w:tcPr>
                  <w:tcW w:w="382" w:type="pct"/>
                  <w:vAlign w:val="center"/>
                </w:tcPr>
                <w:p w14:paraId="4F43CC27">
                  <w:pPr>
                    <w:jc w:val="center"/>
                    <w:rPr>
                      <w:rFonts w:hint="eastAsia" w:ascii="宋体" w:hAnsi="宋体" w:cs="宋体"/>
                      <w:szCs w:val="21"/>
                    </w:rPr>
                  </w:pPr>
                  <w:r>
                    <w:rPr>
                      <w:rFonts w:hint="eastAsia" w:ascii="宋体" w:hAnsi="宋体" w:cs="宋体"/>
                      <w:szCs w:val="21"/>
                    </w:rPr>
                    <w:t>符合性</w:t>
                  </w:r>
                </w:p>
              </w:tc>
            </w:tr>
            <w:tr w14:paraId="1EFCCC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3" w:type="pct"/>
                  <w:vAlign w:val="center"/>
                </w:tcPr>
                <w:p w14:paraId="19DF1B05">
                  <w:pPr>
                    <w:jc w:val="center"/>
                    <w:rPr>
                      <w:rFonts w:hint="eastAsia" w:ascii="宋体" w:hAnsi="宋体" w:cs="宋体"/>
                      <w:szCs w:val="21"/>
                    </w:rPr>
                  </w:pPr>
                  <w:r>
                    <w:rPr>
                      <w:rFonts w:hint="eastAsia" w:ascii="宋体" w:hAnsi="宋体" w:cs="宋体"/>
                      <w:szCs w:val="21"/>
                    </w:rPr>
                    <w:t>1</w:t>
                  </w:r>
                </w:p>
              </w:tc>
              <w:tc>
                <w:tcPr>
                  <w:tcW w:w="3228" w:type="pct"/>
                  <w:vAlign w:val="center"/>
                </w:tcPr>
                <w:p w14:paraId="5BE621F0">
                  <w:pPr>
                    <w:rPr>
                      <w:rFonts w:hint="eastAsia" w:ascii="宋体" w:hAnsi="宋体" w:cs="宋体"/>
                      <w:szCs w:val="21"/>
                    </w:rPr>
                  </w:pPr>
                  <w:r>
                    <w:rPr>
                      <w:rFonts w:hint="eastAsia"/>
                    </w:rPr>
                    <w:t xml:space="preserve"> </w:t>
                  </w:r>
                  <w:r>
                    <w:rPr>
                      <w:rFonts w:hint="eastAsia" w:ascii="宋体" w:hAnsi="宋体" w:cs="宋体"/>
                      <w:szCs w:val="21"/>
                    </w:rPr>
                    <w:t>(一）严格执行负面清单。</w:t>
                  </w:r>
                </w:p>
                <w:p w14:paraId="3EE75DEC">
                  <w:pPr>
                    <w:rPr>
                      <w:rFonts w:hint="eastAsia" w:ascii="宋体" w:hAnsi="宋体" w:cs="宋体"/>
                      <w:szCs w:val="21"/>
                    </w:rPr>
                  </w:pPr>
                  <w:r>
                    <w:rPr>
                      <w:rFonts w:hint="eastAsia" w:ascii="宋体" w:hAnsi="宋体" w:cs="宋体"/>
                      <w:szCs w:val="21"/>
                    </w:rPr>
                    <w:t>引进项目严格执行《报告书》提出的负面清单要求，不符合要求的企业项目禁止入园。禁止不符合国家产业政策的项目进入，限制高耗水、水污染物排放强度高的工业企业进入。大力发展循环经济，提高水资源重复利用率，减少废水排放量，提倡和鼓励企业进行中水回用：应禁止化学原料药企业，除已经批准电镀应急项目以外，规划区内不得再引入电镀项目；鉴于目前园区下游20km内分布有饮用水取水口，禁止新增排放重金属、剧毒物质和持久性有机污染物的企业。</w:t>
                  </w:r>
                </w:p>
              </w:tc>
              <w:tc>
                <w:tcPr>
                  <w:tcW w:w="1107" w:type="pct"/>
                  <w:vAlign w:val="center"/>
                </w:tcPr>
                <w:p w14:paraId="254BD889">
                  <w:pPr>
                    <w:jc w:val="center"/>
                    <w:rPr>
                      <w:rFonts w:hint="eastAsia" w:ascii="宋体" w:hAnsi="宋体" w:cs="宋体"/>
                      <w:szCs w:val="21"/>
                    </w:rPr>
                  </w:pPr>
                  <w:r>
                    <w:rPr>
                      <w:rFonts w:hint="eastAsia" w:ascii="宋体" w:hAnsi="宋体" w:cs="宋体"/>
                      <w:szCs w:val="21"/>
                    </w:rPr>
                    <w:t>本项目为加油站项目，符合《报告书》中入园准入要求。且废水产生较少，预处理后排至园区污水处理厂进行深度处理，不属于高耗水、水污染物排放的工业企业</w:t>
                  </w:r>
                </w:p>
              </w:tc>
              <w:tc>
                <w:tcPr>
                  <w:tcW w:w="382" w:type="pct"/>
                  <w:vAlign w:val="center"/>
                </w:tcPr>
                <w:p w14:paraId="34B004AE">
                  <w:pPr>
                    <w:jc w:val="center"/>
                    <w:rPr>
                      <w:rFonts w:hint="eastAsia" w:ascii="宋体" w:hAnsi="宋体" w:cs="宋体"/>
                      <w:szCs w:val="21"/>
                    </w:rPr>
                  </w:pPr>
                  <w:r>
                    <w:rPr>
                      <w:rFonts w:hint="eastAsia" w:ascii="宋体" w:hAnsi="宋体" w:cs="宋体"/>
                      <w:szCs w:val="21"/>
                    </w:rPr>
                    <w:t>符合</w:t>
                  </w:r>
                </w:p>
              </w:tc>
            </w:tr>
            <w:tr w14:paraId="4009A8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3" w:type="pct"/>
                  <w:vAlign w:val="center"/>
                </w:tcPr>
                <w:p w14:paraId="3A27E830">
                  <w:pPr>
                    <w:jc w:val="center"/>
                    <w:rPr>
                      <w:rFonts w:hint="eastAsia" w:ascii="宋体" w:hAnsi="宋体" w:cs="宋体"/>
                      <w:szCs w:val="21"/>
                    </w:rPr>
                  </w:pPr>
                  <w:r>
                    <w:rPr>
                      <w:rFonts w:hint="eastAsia" w:ascii="宋体" w:hAnsi="宋体" w:cs="宋体"/>
                      <w:szCs w:val="21"/>
                    </w:rPr>
                    <w:t>2</w:t>
                  </w:r>
                </w:p>
              </w:tc>
              <w:tc>
                <w:tcPr>
                  <w:tcW w:w="3228" w:type="pct"/>
                  <w:vAlign w:val="center"/>
                </w:tcPr>
                <w:p w14:paraId="2D3B8662">
                  <w:pPr>
                    <w:rPr>
                      <w:rFonts w:hint="eastAsia" w:ascii="宋体" w:hAnsi="宋体" w:cs="宋体"/>
                      <w:szCs w:val="21"/>
                    </w:rPr>
                  </w:pPr>
                  <w:r>
                    <w:rPr>
                      <w:rFonts w:hint="eastAsia" w:ascii="宋体" w:hAnsi="宋体" w:cs="宋体"/>
                      <w:szCs w:val="21"/>
                    </w:rPr>
                    <w:t>(二) 优化园区空间布局。</w:t>
                  </w:r>
                </w:p>
                <w:p w14:paraId="0D35C5DE">
                  <w:pPr>
                    <w:rPr>
                      <w:rFonts w:hint="eastAsia" w:ascii="宋体" w:hAnsi="宋体" w:cs="宋体"/>
                      <w:szCs w:val="21"/>
                    </w:rPr>
                  </w:pPr>
                  <w:r>
                    <w:rPr>
                      <w:rFonts w:hint="eastAsia" w:ascii="宋体" w:hAnsi="宋体" w:cs="宋体"/>
                      <w:szCs w:val="21"/>
                    </w:rPr>
                    <w:t>结合企业分布现状、气象条件、行业污染等特点，从环保角度进一步优化园区内产业用地布局。为避免工业、居佳混杂局面，临近工业用地的地块不宜规划为居住用地性质，现已规划而尚未实施的，应尽量调整土地利用性质，对无法调整的，应强化企业污染防治，禁止污染大、易扰民的行业布局，并设置防护带。</w:t>
                  </w:r>
                </w:p>
              </w:tc>
              <w:tc>
                <w:tcPr>
                  <w:tcW w:w="1107" w:type="pct"/>
                  <w:vAlign w:val="center"/>
                </w:tcPr>
                <w:p w14:paraId="7F95B4F0">
                  <w:pPr>
                    <w:jc w:val="center"/>
                    <w:rPr>
                      <w:rFonts w:hint="eastAsia" w:ascii="宋体" w:hAnsi="宋体" w:cs="宋体"/>
                      <w:color w:val="000000"/>
                      <w:szCs w:val="21"/>
                    </w:rPr>
                  </w:pPr>
                  <w:r>
                    <w:rPr>
                      <w:rFonts w:hint="eastAsia" w:ascii="宋体" w:hAnsi="宋体" w:cs="宋体"/>
                      <w:color w:val="000000"/>
                      <w:szCs w:val="21"/>
                    </w:rPr>
                    <w:t>本项目周边无居民居住</w:t>
                  </w:r>
                </w:p>
              </w:tc>
              <w:tc>
                <w:tcPr>
                  <w:tcW w:w="382" w:type="pct"/>
                  <w:vAlign w:val="center"/>
                </w:tcPr>
                <w:p w14:paraId="7138A296">
                  <w:pPr>
                    <w:jc w:val="center"/>
                    <w:rPr>
                      <w:rFonts w:hint="eastAsia" w:ascii="宋体" w:hAnsi="宋体" w:cs="宋体"/>
                      <w:szCs w:val="21"/>
                    </w:rPr>
                  </w:pPr>
                  <w:r>
                    <w:rPr>
                      <w:rFonts w:hint="eastAsia" w:ascii="宋体" w:hAnsi="宋体" w:cs="宋体"/>
                      <w:szCs w:val="21"/>
                    </w:rPr>
                    <w:t>符合</w:t>
                  </w:r>
                </w:p>
              </w:tc>
            </w:tr>
            <w:tr w14:paraId="6CAC02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3" w:type="pct"/>
                  <w:vAlign w:val="center"/>
                </w:tcPr>
                <w:p w14:paraId="52E6F99A">
                  <w:pPr>
                    <w:jc w:val="center"/>
                    <w:rPr>
                      <w:rFonts w:hint="eastAsia" w:ascii="宋体" w:hAnsi="宋体" w:cs="宋体"/>
                      <w:szCs w:val="21"/>
                    </w:rPr>
                  </w:pPr>
                  <w:r>
                    <w:rPr>
                      <w:rFonts w:hint="eastAsia" w:ascii="宋体" w:hAnsi="宋体" w:cs="宋体"/>
                      <w:szCs w:val="21"/>
                    </w:rPr>
                    <w:t>3</w:t>
                  </w:r>
                </w:p>
              </w:tc>
              <w:tc>
                <w:tcPr>
                  <w:tcW w:w="3228" w:type="pct"/>
                  <w:vAlign w:val="center"/>
                </w:tcPr>
                <w:p w14:paraId="27DC1647">
                  <w:pPr>
                    <w:rPr>
                      <w:rFonts w:hint="eastAsia" w:ascii="宋体" w:hAnsi="宋体" w:cs="宋体"/>
                      <w:szCs w:val="21"/>
                    </w:rPr>
                  </w:pPr>
                  <w:r>
                    <w:rPr>
                      <w:rFonts w:hint="eastAsia" w:ascii="宋体" w:hAnsi="宋体" w:cs="宋体"/>
                      <w:szCs w:val="21"/>
                    </w:rPr>
                    <w:t>(三)</w:t>
                  </w:r>
                  <w:r>
                    <w:rPr>
                      <w:rFonts w:hint="eastAsia"/>
                    </w:rPr>
                    <w:t xml:space="preserve"> </w:t>
                  </w:r>
                  <w:r>
                    <w:rPr>
                      <w:rFonts w:hint="eastAsia" w:ascii="宋体" w:hAnsi="宋体" w:cs="宋体"/>
                      <w:szCs w:val="21"/>
                    </w:rPr>
                    <w:t>加强大气污染防治。</w:t>
                  </w:r>
                </w:p>
                <w:p w14:paraId="7B54C3D4">
                  <w:pPr>
                    <w:rPr>
                      <w:rFonts w:hint="eastAsia" w:ascii="宋体" w:hAnsi="宋体" w:cs="宋体"/>
                      <w:szCs w:val="21"/>
                    </w:rPr>
                  </w:pPr>
                  <w:r>
                    <w:rPr>
                      <w:rFonts w:hint="eastAsia" w:ascii="宋体" w:hAnsi="宋体" w:cs="宋体"/>
                      <w:szCs w:val="21"/>
                    </w:rPr>
                    <w:t>加强工业企业大气污染综合治理，尤其是应推进挥发性有机物污染治理。规划区邻近涪陵新城区，提倡采用清洁能源，并势止新建燃煤设施；装备制造业涉及喷漆工艺的，鼓勋采用水性涂料、高固份涂料等环保涂料，其它涉及有机度气排放的，应加强有机废气防治，最大限度地减轻其影响。加强对区城内排放氧化氢企业的监管，落实污染防治措施，做到氧化氢的达标排放，减少无组织排放。</w:t>
                  </w:r>
                </w:p>
              </w:tc>
              <w:tc>
                <w:tcPr>
                  <w:tcW w:w="1107" w:type="pct"/>
                  <w:vAlign w:val="center"/>
                </w:tcPr>
                <w:p w14:paraId="0C851C88">
                  <w:pPr>
                    <w:widowControl/>
                    <w:autoSpaceDE w:val="0"/>
                    <w:spacing w:line="320" w:lineRule="exact"/>
                    <w:jc w:val="center"/>
                    <w:textAlignment w:val="center"/>
                    <w:rPr>
                      <w:rFonts w:hint="eastAsia" w:ascii="宋体" w:hAnsi="宋体" w:cs="宋体"/>
                      <w:szCs w:val="21"/>
                    </w:rPr>
                  </w:pPr>
                  <w:r>
                    <w:rPr>
                      <w:rFonts w:hint="eastAsia" w:ascii="宋体" w:hAnsi="宋体" w:cs="宋体"/>
                      <w:szCs w:val="21"/>
                    </w:rPr>
                    <w:t>本项目产生的挥发性有机物采用油气回收系统。且不涉及煤、涂料的使用</w:t>
                  </w:r>
                </w:p>
              </w:tc>
              <w:tc>
                <w:tcPr>
                  <w:tcW w:w="382" w:type="pct"/>
                  <w:vAlign w:val="center"/>
                </w:tcPr>
                <w:p w14:paraId="4DB0AAC6">
                  <w:pPr>
                    <w:jc w:val="center"/>
                    <w:rPr>
                      <w:rFonts w:hint="eastAsia" w:ascii="宋体" w:hAnsi="宋体" w:cs="宋体"/>
                      <w:szCs w:val="21"/>
                    </w:rPr>
                  </w:pPr>
                  <w:r>
                    <w:rPr>
                      <w:rFonts w:hint="eastAsia" w:ascii="宋体" w:hAnsi="宋体" w:cs="宋体"/>
                      <w:szCs w:val="21"/>
                    </w:rPr>
                    <w:t>符合</w:t>
                  </w:r>
                </w:p>
              </w:tc>
            </w:tr>
            <w:tr w14:paraId="5D4C03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3" w:type="pct"/>
                  <w:vAlign w:val="center"/>
                </w:tcPr>
                <w:p w14:paraId="4422DAE7">
                  <w:pPr>
                    <w:jc w:val="center"/>
                    <w:rPr>
                      <w:rFonts w:hint="eastAsia" w:ascii="宋体" w:hAnsi="宋体" w:cs="宋体"/>
                      <w:szCs w:val="21"/>
                    </w:rPr>
                  </w:pPr>
                  <w:r>
                    <w:rPr>
                      <w:rFonts w:hint="eastAsia" w:ascii="宋体" w:hAnsi="宋体" w:cs="宋体"/>
                      <w:szCs w:val="21"/>
                    </w:rPr>
                    <w:t>4</w:t>
                  </w:r>
                </w:p>
              </w:tc>
              <w:tc>
                <w:tcPr>
                  <w:tcW w:w="3228" w:type="pct"/>
                  <w:vAlign w:val="center"/>
                </w:tcPr>
                <w:p w14:paraId="7D9B7617">
                  <w:pPr>
                    <w:rPr>
                      <w:rFonts w:hint="eastAsia" w:ascii="宋体" w:hAnsi="宋体" w:cs="宋体"/>
                      <w:szCs w:val="21"/>
                    </w:rPr>
                  </w:pPr>
                  <w:r>
                    <w:rPr>
                      <w:rFonts w:hint="eastAsia" w:ascii="宋体" w:hAnsi="宋体" w:cs="宋体"/>
                      <w:szCs w:val="21"/>
                    </w:rPr>
                    <w:t>(四)加强水环境保护。</w:t>
                  </w:r>
                </w:p>
                <w:p w14:paraId="490F8E23">
                  <w:pPr>
                    <w:rPr>
                      <w:rFonts w:hint="eastAsia" w:ascii="宋体" w:hAnsi="宋体" w:cs="宋体"/>
                      <w:szCs w:val="21"/>
                    </w:rPr>
                  </w:pPr>
                  <w:r>
                    <w:rPr>
                      <w:rFonts w:hint="eastAsia" w:ascii="宋体" w:hAnsi="宋体" w:cs="宋体"/>
                      <w:szCs w:val="21"/>
                    </w:rPr>
                    <w:t>李渡组团宜进行整体规划和考患，合理确定大耍坝污水处理厂总规模；根据片区及周边区城开发进度、污水排放状况及时扩建大耍坝污水处理厂，污水处理厂厂界200m范围内的西侧及西南侧规划居住用地应暂缓建设实施，待污水厂远期卫生防护距离的具体范围确定后再行规划建设。加快园区内截污管网工程建设，同时，对破损管网进行修复改造，减少污水管网漏失，提高污水集中收集率、处理率。加强对园区污水处理厂的运行维护和管理，确保废水稳定达标排放。</w:t>
                  </w:r>
                </w:p>
              </w:tc>
              <w:tc>
                <w:tcPr>
                  <w:tcW w:w="1107" w:type="pct"/>
                  <w:vAlign w:val="center"/>
                </w:tcPr>
                <w:p w14:paraId="546E0F99">
                  <w:pPr>
                    <w:jc w:val="center"/>
                    <w:rPr>
                      <w:rFonts w:hint="eastAsia" w:ascii="宋体" w:hAnsi="宋体" w:cs="宋体"/>
                      <w:szCs w:val="21"/>
                    </w:rPr>
                  </w:pPr>
                  <w:r>
                    <w:rPr>
                      <w:rFonts w:hint="eastAsia" w:ascii="宋体" w:hAnsi="宋体" w:cs="宋体"/>
                      <w:szCs w:val="21"/>
                    </w:rPr>
                    <w:t>本项目废水集中收集预处理后排至园区污水处理厂进行</w:t>
                  </w:r>
                  <w:r>
                    <w:rPr>
                      <w:rFonts w:hint="eastAsia" w:ascii="宋体" w:hAnsi="宋体" w:cs="宋体"/>
                      <w:color w:val="000000"/>
                      <w:szCs w:val="21"/>
                    </w:rPr>
                    <w:t>深度处理，最终排至长江</w:t>
                  </w:r>
                </w:p>
              </w:tc>
              <w:tc>
                <w:tcPr>
                  <w:tcW w:w="382" w:type="pct"/>
                  <w:vAlign w:val="center"/>
                </w:tcPr>
                <w:p w14:paraId="13877446">
                  <w:pPr>
                    <w:jc w:val="center"/>
                    <w:rPr>
                      <w:rFonts w:hint="eastAsia" w:ascii="宋体" w:hAnsi="宋体" w:cs="宋体"/>
                      <w:szCs w:val="21"/>
                    </w:rPr>
                  </w:pPr>
                  <w:r>
                    <w:rPr>
                      <w:rFonts w:hint="eastAsia" w:ascii="宋体" w:hAnsi="宋体" w:cs="宋体"/>
                      <w:szCs w:val="21"/>
                    </w:rPr>
                    <w:t>符合</w:t>
                  </w:r>
                </w:p>
              </w:tc>
            </w:tr>
            <w:tr w14:paraId="1F7617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3" w:type="pct"/>
                  <w:vAlign w:val="center"/>
                </w:tcPr>
                <w:p w14:paraId="69F66D64">
                  <w:pPr>
                    <w:jc w:val="center"/>
                    <w:rPr>
                      <w:rFonts w:hint="eastAsia" w:ascii="宋体" w:hAnsi="宋体" w:cs="宋体"/>
                      <w:szCs w:val="21"/>
                    </w:rPr>
                  </w:pPr>
                  <w:r>
                    <w:rPr>
                      <w:rFonts w:hint="eastAsia" w:ascii="宋体" w:hAnsi="宋体" w:cs="宋体"/>
                      <w:szCs w:val="21"/>
                    </w:rPr>
                    <w:t>5</w:t>
                  </w:r>
                </w:p>
              </w:tc>
              <w:tc>
                <w:tcPr>
                  <w:tcW w:w="3228" w:type="pct"/>
                  <w:vAlign w:val="center"/>
                </w:tcPr>
                <w:p w14:paraId="078CA174">
                  <w:pPr>
                    <w:rPr>
                      <w:rFonts w:hint="eastAsia" w:ascii="宋体" w:hAnsi="宋体" w:cs="宋体"/>
                      <w:szCs w:val="21"/>
                    </w:rPr>
                  </w:pPr>
                  <w:r>
                    <w:rPr>
                      <w:rFonts w:hint="eastAsia" w:ascii="宋体" w:hAnsi="宋体" w:cs="宋体"/>
                      <w:szCs w:val="21"/>
                    </w:rPr>
                    <w:t>(五)妥善处理固体废物。</w:t>
                  </w:r>
                </w:p>
                <w:p w14:paraId="47DF11A1">
                  <w:pPr>
                    <w:rPr>
                      <w:rFonts w:hint="eastAsia" w:ascii="宋体" w:hAnsi="宋体" w:cs="宋体"/>
                      <w:szCs w:val="21"/>
                    </w:rPr>
                  </w:pPr>
                  <w:r>
                    <w:rPr>
                      <w:rFonts w:hint="eastAsia" w:ascii="宋体" w:hAnsi="宋体" w:cs="宋体"/>
                      <w:szCs w:val="21"/>
                    </w:rPr>
                    <w:t>李渡组团应根据固体度物产生情况实施一般工业固体废物处理设施建设，并按照《一般工业固体废物贮存、处置场污染控制标准》(GB18599-2001）及2013年修订要求进行一般工业固体废物贮存、处置场的选址、设计、运行管理等</w:t>
                  </w:r>
                </w:p>
              </w:tc>
              <w:tc>
                <w:tcPr>
                  <w:tcW w:w="1107" w:type="pct"/>
                  <w:vAlign w:val="center"/>
                </w:tcPr>
                <w:p w14:paraId="69B70FE6">
                  <w:pPr>
                    <w:jc w:val="center"/>
                    <w:rPr>
                      <w:rFonts w:hint="eastAsia" w:ascii="宋体" w:hAnsi="宋体" w:cs="宋体"/>
                      <w:szCs w:val="21"/>
                    </w:rPr>
                  </w:pPr>
                  <w:r>
                    <w:rPr>
                      <w:rFonts w:hint="eastAsia" w:ascii="宋体" w:hAnsi="宋体" w:cs="宋体"/>
                      <w:szCs w:val="21"/>
                    </w:rPr>
                    <w:t>本项目固废去向明确，不会对环境造成二次污染</w:t>
                  </w:r>
                </w:p>
              </w:tc>
              <w:tc>
                <w:tcPr>
                  <w:tcW w:w="382" w:type="pct"/>
                  <w:vAlign w:val="center"/>
                </w:tcPr>
                <w:p w14:paraId="3830993A">
                  <w:pPr>
                    <w:jc w:val="center"/>
                    <w:rPr>
                      <w:rFonts w:hint="eastAsia" w:ascii="宋体" w:hAnsi="宋体" w:cs="宋体"/>
                      <w:szCs w:val="21"/>
                    </w:rPr>
                  </w:pPr>
                  <w:r>
                    <w:rPr>
                      <w:rFonts w:hint="eastAsia" w:ascii="宋体" w:hAnsi="宋体" w:cs="宋体"/>
                      <w:szCs w:val="21"/>
                    </w:rPr>
                    <w:t>符合</w:t>
                  </w:r>
                </w:p>
              </w:tc>
            </w:tr>
            <w:tr w14:paraId="7915BE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3" w:type="pct"/>
                  <w:vAlign w:val="center"/>
                </w:tcPr>
                <w:p w14:paraId="4CCBFE3E">
                  <w:pPr>
                    <w:jc w:val="center"/>
                    <w:rPr>
                      <w:rFonts w:hint="eastAsia" w:ascii="宋体" w:hAnsi="宋体" w:cs="宋体"/>
                      <w:szCs w:val="21"/>
                    </w:rPr>
                  </w:pPr>
                  <w:r>
                    <w:rPr>
                      <w:rFonts w:hint="eastAsia" w:ascii="宋体" w:hAnsi="宋体" w:cs="宋体"/>
                      <w:szCs w:val="21"/>
                    </w:rPr>
                    <w:t>6</w:t>
                  </w:r>
                </w:p>
              </w:tc>
              <w:tc>
                <w:tcPr>
                  <w:tcW w:w="3228" w:type="pct"/>
                  <w:vAlign w:val="center"/>
                </w:tcPr>
                <w:p w14:paraId="396F40D6">
                  <w:pPr>
                    <w:rPr>
                      <w:rFonts w:hint="eastAsia" w:ascii="宋体" w:hAnsi="宋体" w:cs="宋体"/>
                      <w:szCs w:val="21"/>
                    </w:rPr>
                  </w:pPr>
                  <w:r>
                    <w:rPr>
                      <w:rFonts w:hint="eastAsia" w:ascii="宋体" w:hAnsi="宋体" w:cs="宋体"/>
                      <w:szCs w:val="21"/>
                    </w:rPr>
                    <w:t>(六)强化环境风险防范。</w:t>
                  </w:r>
                </w:p>
                <w:p w14:paraId="47AFD372">
                  <w:pPr>
                    <w:rPr>
                      <w:rFonts w:hint="eastAsia" w:ascii="宋体" w:hAnsi="宋体" w:cs="宋体"/>
                      <w:szCs w:val="21"/>
                    </w:rPr>
                  </w:pPr>
                  <w:r>
                    <w:rPr>
                      <w:rFonts w:hint="eastAsia" w:ascii="宋体" w:hAnsi="宋体" w:cs="宋体"/>
                      <w:szCs w:val="21"/>
                    </w:rPr>
                    <w:t>环境风险防范是重要的环保工作内容，应在现有基础上完善环境风险防范体系建设，防范突发性环境风险事故发生。</w:t>
                  </w:r>
                </w:p>
              </w:tc>
              <w:tc>
                <w:tcPr>
                  <w:tcW w:w="1107" w:type="pct"/>
                  <w:vAlign w:val="center"/>
                </w:tcPr>
                <w:p w14:paraId="027EBA5A">
                  <w:pPr>
                    <w:jc w:val="center"/>
                    <w:rPr>
                      <w:rFonts w:hint="eastAsia" w:ascii="宋体" w:hAnsi="宋体" w:cs="宋体"/>
                      <w:szCs w:val="21"/>
                    </w:rPr>
                  </w:pPr>
                  <w:r>
                    <w:rPr>
                      <w:rFonts w:hint="eastAsia" w:ascii="宋体" w:hAnsi="宋体" w:cs="宋体"/>
                      <w:szCs w:val="21"/>
                    </w:rPr>
                    <w:t>项目建成后组织编制事故风险应急预案，配备应急物资及器材，环境风险事故报警系统体系等</w:t>
                  </w:r>
                </w:p>
              </w:tc>
              <w:tc>
                <w:tcPr>
                  <w:tcW w:w="382" w:type="pct"/>
                  <w:vAlign w:val="center"/>
                </w:tcPr>
                <w:p w14:paraId="41407D4F">
                  <w:pPr>
                    <w:jc w:val="center"/>
                    <w:rPr>
                      <w:rFonts w:hint="eastAsia" w:ascii="宋体" w:hAnsi="宋体" w:cs="宋体"/>
                      <w:szCs w:val="21"/>
                    </w:rPr>
                  </w:pPr>
                  <w:r>
                    <w:rPr>
                      <w:rFonts w:hint="eastAsia" w:ascii="宋体" w:hAnsi="宋体" w:cs="宋体"/>
                      <w:szCs w:val="21"/>
                    </w:rPr>
                    <w:t>符合</w:t>
                  </w:r>
                </w:p>
              </w:tc>
            </w:tr>
            <w:tr w14:paraId="78EE79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3" w:type="pct"/>
                  <w:vAlign w:val="center"/>
                </w:tcPr>
                <w:p w14:paraId="2D924AA3">
                  <w:pPr>
                    <w:jc w:val="center"/>
                    <w:rPr>
                      <w:rFonts w:hint="eastAsia" w:ascii="宋体" w:hAnsi="宋体" w:cs="宋体"/>
                      <w:szCs w:val="21"/>
                    </w:rPr>
                  </w:pPr>
                  <w:r>
                    <w:rPr>
                      <w:rFonts w:hint="eastAsia" w:ascii="宋体" w:hAnsi="宋体" w:cs="宋体"/>
                      <w:szCs w:val="21"/>
                    </w:rPr>
                    <w:t>7</w:t>
                  </w:r>
                </w:p>
              </w:tc>
              <w:tc>
                <w:tcPr>
                  <w:tcW w:w="3228" w:type="pct"/>
                  <w:vAlign w:val="center"/>
                </w:tcPr>
                <w:p w14:paraId="696B0AD6">
                  <w:pPr>
                    <w:rPr>
                      <w:rFonts w:hint="eastAsia" w:ascii="宋体" w:hAnsi="宋体" w:cs="宋体"/>
                      <w:szCs w:val="21"/>
                    </w:rPr>
                  </w:pPr>
                  <w:r>
                    <w:rPr>
                      <w:rFonts w:hint="eastAsia" w:ascii="宋体" w:hAnsi="宋体" w:cs="宋体"/>
                      <w:szCs w:val="21"/>
                    </w:rPr>
                    <w:t>(七)</w:t>
                  </w:r>
                  <w:r>
                    <w:rPr>
                      <w:rFonts w:hint="eastAsia"/>
                    </w:rPr>
                    <w:t xml:space="preserve"> </w:t>
                  </w:r>
                  <w:r>
                    <w:rPr>
                      <w:rFonts w:hint="eastAsia" w:ascii="宋体" w:hAnsi="宋体" w:cs="宋体"/>
                      <w:szCs w:val="21"/>
                    </w:rPr>
                    <w:t>严格执行环评和“三同时”制度。</w:t>
                  </w:r>
                </w:p>
                <w:p w14:paraId="545BE32E">
                  <w:pPr>
                    <w:rPr>
                      <w:rFonts w:hint="eastAsia" w:ascii="宋体" w:hAnsi="宋体" w:cs="宋体"/>
                      <w:szCs w:val="21"/>
                    </w:rPr>
                  </w:pPr>
                  <w:r>
                    <w:rPr>
                      <w:rFonts w:hint="eastAsia" w:ascii="宋体" w:hAnsi="宋体" w:cs="宋体"/>
                      <w:szCs w:val="21"/>
                    </w:rPr>
                    <w:t>规划区的入驻建设项目应严格执行环境影响评价和环保“三同时”制度，按规定办理建设项目环评审批和环保验收手续。入园建设项目应符合规划环评结论要求。</w:t>
                  </w:r>
                </w:p>
              </w:tc>
              <w:tc>
                <w:tcPr>
                  <w:tcW w:w="1107" w:type="pct"/>
                  <w:vAlign w:val="center"/>
                </w:tcPr>
                <w:p w14:paraId="588A55A8">
                  <w:pPr>
                    <w:jc w:val="center"/>
                    <w:rPr>
                      <w:rFonts w:hint="eastAsia" w:ascii="宋体" w:hAnsi="宋体" w:cs="宋体"/>
                      <w:szCs w:val="21"/>
                    </w:rPr>
                  </w:pPr>
                  <w:r>
                    <w:rPr>
                      <w:rFonts w:hint="eastAsia" w:ascii="宋体" w:hAnsi="宋体" w:cs="宋体"/>
                      <w:szCs w:val="21"/>
                    </w:rPr>
                    <w:t>本单位正组织执行中</w:t>
                  </w:r>
                </w:p>
              </w:tc>
              <w:tc>
                <w:tcPr>
                  <w:tcW w:w="382" w:type="pct"/>
                  <w:vAlign w:val="center"/>
                </w:tcPr>
                <w:p w14:paraId="025FC30F">
                  <w:pPr>
                    <w:jc w:val="center"/>
                    <w:rPr>
                      <w:rFonts w:hint="eastAsia" w:ascii="宋体" w:hAnsi="宋体" w:cs="宋体"/>
                      <w:szCs w:val="21"/>
                    </w:rPr>
                  </w:pPr>
                  <w:r>
                    <w:rPr>
                      <w:rFonts w:hint="eastAsia" w:ascii="宋体" w:hAnsi="宋体" w:cs="宋体"/>
                      <w:szCs w:val="21"/>
                    </w:rPr>
                    <w:t>符合</w:t>
                  </w:r>
                </w:p>
              </w:tc>
            </w:tr>
          </w:tbl>
          <w:p w14:paraId="1E3425C1">
            <w:pPr>
              <w:autoSpaceDE w:val="0"/>
              <w:autoSpaceDN w:val="0"/>
              <w:adjustRightInd w:val="0"/>
              <w:snapToGrid w:val="0"/>
              <w:spacing w:line="360" w:lineRule="auto"/>
              <w:ind w:firstLine="480" w:firstLineChars="200"/>
              <w:rPr>
                <w:rFonts w:hint="eastAsia" w:ascii="宋体" w:hAnsi="宋体" w:cs="宋体"/>
                <w:color w:val="000000"/>
                <w:kern w:val="0"/>
                <w:sz w:val="24"/>
              </w:rPr>
            </w:pPr>
            <w:r>
              <w:rPr>
                <w:sz w:val="24"/>
              </w:rPr>
              <w:t>由上表可知，本项目符合园区规划环评</w:t>
            </w:r>
            <w:r>
              <w:rPr>
                <w:rFonts w:hint="eastAsia"/>
                <w:sz w:val="24"/>
              </w:rPr>
              <w:t>审查意见的相关要求</w:t>
            </w:r>
            <w:r>
              <w:rPr>
                <w:sz w:val="24"/>
              </w:rPr>
              <w:t>。</w:t>
            </w:r>
          </w:p>
        </w:tc>
      </w:tr>
      <w:tr w14:paraId="1C6351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0" w:type="dxa"/>
            <w:vAlign w:val="center"/>
          </w:tcPr>
          <w:p w14:paraId="68067E4C">
            <w:pPr>
              <w:autoSpaceDE w:val="0"/>
              <w:autoSpaceDN w:val="0"/>
              <w:adjustRightInd w:val="0"/>
              <w:snapToGrid w:val="0"/>
              <w:spacing w:line="360" w:lineRule="auto"/>
              <w:jc w:val="center"/>
              <w:rPr>
                <w:rFonts w:hint="eastAsia" w:ascii="宋体" w:hAnsi="宋体" w:cs="宋体"/>
                <w:kern w:val="0"/>
                <w:szCs w:val="21"/>
              </w:rPr>
            </w:pPr>
            <w:r>
              <w:rPr>
                <w:rFonts w:hint="eastAsia" w:ascii="宋体" w:hAnsi="宋体" w:cs="宋体"/>
                <w:kern w:val="0"/>
                <w:sz w:val="24"/>
              </w:rPr>
              <w:t>其他符合性分析</w:t>
            </w:r>
          </w:p>
        </w:tc>
        <w:tc>
          <w:tcPr>
            <w:tcW w:w="8150" w:type="dxa"/>
            <w:gridSpan w:val="4"/>
            <w:vAlign w:val="center"/>
          </w:tcPr>
          <w:p w14:paraId="5D30AC5F">
            <w:pPr>
              <w:pStyle w:val="46"/>
              <w:ind w:firstLine="0" w:firstLineChars="0"/>
              <w:jc w:val="left"/>
              <w:rPr>
                <w:rFonts w:hint="eastAsia"/>
                <w:b/>
                <w:bCs/>
              </w:rPr>
            </w:pPr>
            <w:r>
              <w:rPr>
                <w:rFonts w:hint="eastAsia"/>
                <w:b/>
                <w:bCs/>
              </w:rPr>
              <w:t>1.3产业政策符合性</w:t>
            </w:r>
          </w:p>
          <w:p w14:paraId="540A84ED">
            <w:pPr>
              <w:adjustRightInd w:val="0"/>
              <w:snapToGrid w:val="0"/>
              <w:spacing w:line="360" w:lineRule="auto"/>
              <w:ind w:firstLine="454"/>
              <w:rPr>
                <w:bCs/>
                <w:sz w:val="24"/>
              </w:rPr>
            </w:pPr>
            <w:r>
              <w:rPr>
                <w:bCs/>
                <w:sz w:val="24"/>
              </w:rPr>
              <w:t>（1）与《产业结构调整指导目录（2019年本）》符合性分析</w:t>
            </w:r>
          </w:p>
          <w:p w14:paraId="5A74C195">
            <w:pPr>
              <w:adjustRightInd w:val="0"/>
              <w:snapToGrid w:val="0"/>
              <w:spacing w:line="360" w:lineRule="auto"/>
              <w:ind w:firstLine="454"/>
              <w:rPr>
                <w:rFonts w:hint="eastAsia"/>
                <w:bCs/>
                <w:sz w:val="24"/>
              </w:rPr>
            </w:pPr>
            <w:r>
              <w:rPr>
                <w:bCs/>
                <w:sz w:val="24"/>
              </w:rPr>
              <w:t>根据《产业结构调整指导目录（2019年本）》，本项目</w:t>
            </w:r>
            <w:r>
              <w:rPr>
                <w:rFonts w:hint="eastAsia"/>
                <w:bCs/>
                <w:sz w:val="24"/>
              </w:rPr>
              <w:t>不属于鼓励类、限制类、淘汰类，属于允许类。</w:t>
            </w:r>
          </w:p>
          <w:p w14:paraId="0E5903B5">
            <w:pPr>
              <w:pStyle w:val="19"/>
              <w:adjustRightInd w:val="0"/>
              <w:spacing w:after="0" w:line="360" w:lineRule="auto"/>
              <w:ind w:firstLine="480" w:firstLineChars="200"/>
              <w:rPr>
                <w:sz w:val="24"/>
              </w:rPr>
            </w:pPr>
            <w:r>
              <w:rPr>
                <w:sz w:val="24"/>
              </w:rPr>
              <w:t>（2）与《重庆市发展和改革委员会关于印发重庆市产业投资准入工作手册的通知》（渝发改投</w:t>
            </w:r>
            <w:r>
              <w:rPr>
                <w:rFonts w:hint="eastAsia"/>
                <w:sz w:val="24"/>
              </w:rPr>
              <w:t>〔</w:t>
            </w:r>
            <w:r>
              <w:rPr>
                <w:sz w:val="24"/>
              </w:rPr>
              <w:t>2018</w:t>
            </w:r>
            <w:r>
              <w:rPr>
                <w:rFonts w:hint="eastAsia"/>
                <w:sz w:val="24"/>
              </w:rPr>
              <w:t>〕</w:t>
            </w:r>
            <w:r>
              <w:rPr>
                <w:sz w:val="24"/>
              </w:rPr>
              <w:t>541号）符合性分析</w:t>
            </w:r>
          </w:p>
          <w:p w14:paraId="77A69A99">
            <w:pPr>
              <w:pStyle w:val="19"/>
              <w:adjustRightInd w:val="0"/>
              <w:spacing w:after="0" w:line="360" w:lineRule="auto"/>
              <w:ind w:firstLine="480" w:firstLineChars="200"/>
              <w:rPr>
                <w:sz w:val="24"/>
              </w:rPr>
            </w:pPr>
            <w:r>
              <w:rPr>
                <w:sz w:val="24"/>
              </w:rPr>
              <w:t>拟建项目属于加油站</w:t>
            </w:r>
            <w:r>
              <w:rPr>
                <w:rFonts w:hint="eastAsia"/>
                <w:sz w:val="24"/>
              </w:rPr>
              <w:t>建设</w:t>
            </w:r>
            <w:r>
              <w:rPr>
                <w:sz w:val="24"/>
              </w:rPr>
              <w:t>项目，选址位于重庆市</w:t>
            </w:r>
            <w:r>
              <w:rPr>
                <w:rFonts w:hint="eastAsia"/>
                <w:sz w:val="24"/>
              </w:rPr>
              <w:t>涪陵区李渡工业园区双溪居委郑家湾F</w:t>
            </w:r>
            <w:r>
              <w:rPr>
                <w:sz w:val="24"/>
              </w:rPr>
              <w:t>L2018-06-18</w:t>
            </w:r>
            <w:r>
              <w:rPr>
                <w:rFonts w:hint="eastAsia"/>
                <w:sz w:val="24"/>
              </w:rPr>
              <w:t>号地块</w:t>
            </w:r>
            <w:r>
              <w:rPr>
                <w:sz w:val="24"/>
              </w:rPr>
              <w:t>，不属于《重庆市发展和改革委员会关于印发重庆市产业投资准入工作手册的通知》（渝发改投</w:t>
            </w:r>
            <w:r>
              <w:rPr>
                <w:rFonts w:hint="eastAsia"/>
                <w:sz w:val="24"/>
              </w:rPr>
              <w:t>〔</w:t>
            </w:r>
            <w:r>
              <w:rPr>
                <w:sz w:val="24"/>
              </w:rPr>
              <w:t>2018</w:t>
            </w:r>
            <w:r>
              <w:rPr>
                <w:rFonts w:hint="eastAsia"/>
                <w:sz w:val="24"/>
              </w:rPr>
              <w:t>〕</w:t>
            </w:r>
            <w:r>
              <w:rPr>
                <w:sz w:val="24"/>
              </w:rPr>
              <w:t>541号）文件中不予准入类及限制准入类项目，则为允许建设类项目。</w:t>
            </w:r>
          </w:p>
          <w:p w14:paraId="6BA2022E">
            <w:pPr>
              <w:pStyle w:val="19"/>
              <w:adjustRightInd w:val="0"/>
              <w:spacing w:after="0" w:line="360" w:lineRule="auto"/>
              <w:ind w:firstLine="480" w:firstLineChars="200"/>
              <w:rPr>
                <w:rFonts w:hint="eastAsia"/>
                <w:sz w:val="24"/>
              </w:rPr>
            </w:pPr>
            <w:r>
              <w:rPr>
                <w:sz w:val="24"/>
              </w:rPr>
              <w:t>综上所述，拟建项目符合国家和重庆市的产业政策。</w:t>
            </w:r>
          </w:p>
          <w:p w14:paraId="257414FD">
            <w:pPr>
              <w:pStyle w:val="19"/>
              <w:adjustRightInd w:val="0"/>
              <w:spacing w:after="0" w:line="360" w:lineRule="auto"/>
              <w:rPr>
                <w:rFonts w:hint="eastAsia"/>
                <w:b/>
                <w:sz w:val="24"/>
              </w:rPr>
            </w:pPr>
            <w:r>
              <w:rPr>
                <w:rFonts w:hint="eastAsia"/>
                <w:b/>
                <w:sz w:val="24"/>
              </w:rPr>
              <w:t>1.4与《挥发性有机物污染防治技术政策》的符合性分析</w:t>
            </w:r>
          </w:p>
          <w:p w14:paraId="1BAF9D4B">
            <w:pPr>
              <w:pStyle w:val="19"/>
              <w:adjustRightInd w:val="0"/>
              <w:spacing w:after="0" w:line="360" w:lineRule="auto"/>
              <w:ind w:firstLine="480" w:firstLineChars="200"/>
              <w:rPr>
                <w:sz w:val="24"/>
              </w:rPr>
            </w:pPr>
            <w:r>
              <w:rPr>
                <w:rFonts w:hint="eastAsia"/>
                <w:sz w:val="24"/>
              </w:rPr>
              <w:t>2013年5月24日国家环境保护部发布了《挥发性有机物污染防治技术政策》，其中要求：“储油库、加油站和油罐车宜配备相应的油气收集系统，储油库、加油站宜配备相应的油气回收系统。”</w:t>
            </w:r>
          </w:p>
          <w:p w14:paraId="7A703EB4">
            <w:pPr>
              <w:pStyle w:val="19"/>
              <w:adjustRightInd w:val="0"/>
              <w:spacing w:after="0" w:line="360" w:lineRule="auto"/>
              <w:ind w:firstLine="480" w:firstLineChars="200"/>
              <w:rPr>
                <w:sz w:val="24"/>
              </w:rPr>
            </w:pPr>
            <w:r>
              <w:rPr>
                <w:rFonts w:hint="eastAsia"/>
                <w:sz w:val="24"/>
              </w:rPr>
              <w:t>本项目采用油气回收性的加油枪，设置一次、二次油气回收处理装置，符合《挥发性有机物污染防治技术政策》的要求。</w:t>
            </w:r>
          </w:p>
          <w:p w14:paraId="7F404B01">
            <w:pPr>
              <w:pStyle w:val="19"/>
              <w:adjustRightInd w:val="0"/>
              <w:spacing w:after="0" w:line="360" w:lineRule="auto"/>
              <w:rPr>
                <w:rFonts w:hint="eastAsia"/>
                <w:b/>
                <w:sz w:val="24"/>
              </w:rPr>
            </w:pPr>
            <w:r>
              <w:rPr>
                <w:rFonts w:hint="eastAsia"/>
                <w:b/>
                <w:sz w:val="24"/>
              </w:rPr>
              <w:t>1.5与《水污染防治行动计划》的符合性分析</w:t>
            </w:r>
          </w:p>
          <w:p w14:paraId="64922EBD">
            <w:pPr>
              <w:pStyle w:val="19"/>
              <w:adjustRightInd w:val="0"/>
              <w:spacing w:after="0" w:line="360" w:lineRule="auto"/>
              <w:ind w:firstLine="480" w:firstLineChars="200"/>
              <w:rPr>
                <w:rFonts w:hint="eastAsia"/>
                <w:sz w:val="24"/>
              </w:rPr>
            </w:pPr>
            <w:r>
              <w:rPr>
                <w:rFonts w:hint="eastAsia"/>
                <w:sz w:val="24"/>
              </w:rPr>
              <w:t>2017年9月14日发布实施的《水污染防治行动计划》第八条“全力保障水生态环境安全”，第二十四款“防治地下水污染”明确指出：加油站地下油罐应于2017年底前全部更新为双层罐或完成防渗池设置。</w:t>
            </w:r>
          </w:p>
          <w:p w14:paraId="19F94C85">
            <w:pPr>
              <w:pStyle w:val="46"/>
              <w:ind w:firstLine="454" w:firstLineChars="0"/>
              <w:jc w:val="left"/>
              <w:rPr>
                <w:color w:val="000000"/>
              </w:rPr>
            </w:pPr>
            <w:r>
              <w:rPr>
                <w:rFonts w:hint="eastAsia"/>
                <w:color w:val="000000"/>
              </w:rPr>
              <w:t>本项目储油罐区设置防渗池1个，符合《水污染防治行动计划》的要求。</w:t>
            </w:r>
          </w:p>
          <w:p w14:paraId="004FF595">
            <w:pPr>
              <w:pStyle w:val="46"/>
              <w:ind w:firstLine="0" w:firstLineChars="0"/>
              <w:jc w:val="left"/>
              <w:rPr>
                <w:rFonts w:hint="eastAsia"/>
                <w:b/>
              </w:rPr>
            </w:pPr>
            <w:r>
              <w:rPr>
                <w:rFonts w:hint="eastAsia"/>
                <w:b/>
              </w:rPr>
              <w:t>1.6与《加油站地下水污染防治技术指南（试行）》的符合性分析</w:t>
            </w:r>
          </w:p>
          <w:p w14:paraId="4ADEF5FA">
            <w:pPr>
              <w:pStyle w:val="46"/>
              <w:ind w:firstLine="454" w:firstLineChars="0"/>
              <w:jc w:val="left"/>
              <w:rPr>
                <w:rFonts w:hint="eastAsia"/>
              </w:rPr>
            </w:pPr>
            <w:r>
              <w:rPr>
                <w:rFonts w:hint="eastAsia"/>
              </w:rPr>
              <w:t>根据环境保护部办公厅于2017年3月9日印发的《加油站地下水污染防治技术指南（试行）》，为了预防加油站污染土壤和地下水，所有加油站的油罐需要更新为双层罐或者设置防渗池，加油站需要开展渗漏检测，设置常规地下水监测井，开展地下水常规监测。</w:t>
            </w:r>
          </w:p>
          <w:p w14:paraId="660B403E">
            <w:pPr>
              <w:pStyle w:val="46"/>
              <w:ind w:firstLine="454" w:firstLineChars="0"/>
              <w:jc w:val="left"/>
            </w:pPr>
            <w:r>
              <w:rPr>
                <w:rFonts w:hint="eastAsia"/>
                <w:color w:val="000000"/>
              </w:rPr>
              <w:t>本项目储油罐区设置防渗池1个</w:t>
            </w:r>
            <w:r>
              <w:rPr>
                <w:rFonts w:hint="eastAsia"/>
              </w:rPr>
              <w:t>，项目用地不在地下水饮用水水源保护区和补给径流区，本项目严格按照《加油站地下水污染防治技术指南（试行）》要求，在埋地油罐区地下水流向的下游布设1个地下水监测井，并定期开展地下水常规监测，符合《加油站地下水污染防治技术指南（试行）》的要求。</w:t>
            </w:r>
          </w:p>
          <w:p w14:paraId="7F1A3507">
            <w:pPr>
              <w:pStyle w:val="46"/>
              <w:ind w:firstLine="0" w:firstLineChars="0"/>
              <w:jc w:val="left"/>
              <w:rPr>
                <w:rFonts w:hint="eastAsia"/>
                <w:b/>
              </w:rPr>
            </w:pPr>
            <w:r>
              <w:rPr>
                <w:rFonts w:hint="eastAsia"/>
                <w:b/>
              </w:rPr>
              <w:t>1.7与关于印发《重点行业挥发性有机物综合治理方案》的通知</w:t>
            </w:r>
          </w:p>
          <w:p w14:paraId="2B25C6BE">
            <w:pPr>
              <w:pStyle w:val="46"/>
              <w:jc w:val="left"/>
              <w:rPr>
                <w:rFonts w:hint="eastAsia"/>
              </w:rPr>
            </w:pPr>
            <w:r>
              <w:rPr>
                <w:rFonts w:hint="eastAsia"/>
              </w:rPr>
              <w:t>根据生态环境部于2019年06月26日印发的关于《重点行业挥发性有机物综合治理方案》的通知（环大气〔2019〕53号）中指出：</w:t>
            </w:r>
          </w:p>
          <w:p w14:paraId="40EC24BF">
            <w:pPr>
              <w:pStyle w:val="46"/>
              <w:jc w:val="left"/>
              <w:rPr>
                <w:rFonts w:hint="eastAsia"/>
              </w:rPr>
            </w:pPr>
            <w:r>
              <w:rPr>
                <w:rFonts w:hint="eastAsia"/>
              </w:rPr>
              <w:t>深化加油站油气回收工作。O</w:t>
            </w:r>
            <w:r>
              <w:rPr>
                <w:rFonts w:hint="eastAsia"/>
                <w:vertAlign w:val="subscript"/>
              </w:rPr>
              <w:t>3</w:t>
            </w:r>
            <w:r>
              <w:rPr>
                <w:rFonts w:hint="eastAsia"/>
              </w:rPr>
              <w:t>污染较重的地区，行政区域内大力推进加油站储油、加油油气回收治理工作，重点区域2019年年底前基本完成。埋地油罐全面采用电子液位仪进行汽油密闭测量。规范油气回收设施运行，自行或聘请第三方加强加油枪气液比、系统密闭性及管线液阻等检查，提高检测频次，重点区域原则上每半年开展一次，确保油气回收系统正常运行。重点区域加快推进年销售汽油量大于5000吨的加油站安装油气回收自动监控设备，并与生态环境部门联网，2020年年底前基本完成。</w:t>
            </w:r>
          </w:p>
          <w:p w14:paraId="229F88F7">
            <w:pPr>
              <w:pStyle w:val="46"/>
              <w:jc w:val="left"/>
            </w:pPr>
            <w:r>
              <w:rPr>
                <w:rFonts w:hint="eastAsia"/>
              </w:rPr>
              <w:t>本项目位于</w:t>
            </w:r>
            <w:r>
              <w:rPr>
                <w:rFonts w:hint="eastAsia" w:ascii="宋体" w:hAnsi="宋体" w:cs="宋体"/>
                <w:color w:val="000000"/>
                <w:kern w:val="0"/>
              </w:rPr>
              <w:t>重庆市涪陵区李渡工业园区双溪居委郑家湾F</w:t>
            </w:r>
            <w:r>
              <w:rPr>
                <w:rFonts w:ascii="宋体" w:hAnsi="宋体" w:cs="宋体"/>
                <w:color w:val="000000"/>
                <w:kern w:val="0"/>
              </w:rPr>
              <w:t>L2018-06-18</w:t>
            </w:r>
            <w:r>
              <w:rPr>
                <w:rFonts w:hint="eastAsia" w:ascii="宋体" w:hAnsi="宋体" w:cs="宋体"/>
                <w:color w:val="000000"/>
                <w:kern w:val="0"/>
              </w:rPr>
              <w:t>号，</w:t>
            </w:r>
            <w:r>
              <w:rPr>
                <w:rFonts w:hint="eastAsia"/>
              </w:rPr>
              <w:t>不属于重点区域，项目年销售汽油量小于5000吨，同时设置一次、二次油气回收系统，油气回收效率可达到90%。</w:t>
            </w:r>
          </w:p>
          <w:p w14:paraId="40165E98">
            <w:pPr>
              <w:pStyle w:val="46"/>
              <w:jc w:val="left"/>
            </w:pPr>
            <w:r>
              <w:rPr>
                <w:rFonts w:hint="eastAsia"/>
              </w:rPr>
              <w:t>因此，本项目建设符合《重点行业挥发性有机物综合治理方案》的相关要求。</w:t>
            </w:r>
          </w:p>
          <w:p w14:paraId="14DF28D6">
            <w:pPr>
              <w:pStyle w:val="46"/>
              <w:ind w:firstLine="0" w:firstLineChars="0"/>
              <w:jc w:val="left"/>
              <w:rPr>
                <w:rFonts w:hint="eastAsia"/>
                <w:b/>
              </w:rPr>
            </w:pPr>
            <w:r>
              <w:rPr>
                <w:rFonts w:hint="eastAsia"/>
                <w:b/>
              </w:rPr>
              <w:t>1.8与《“十三五”挥发性有机物污染防治工作方案》的符合性分析</w:t>
            </w:r>
          </w:p>
          <w:p w14:paraId="30B8467A">
            <w:pPr>
              <w:pStyle w:val="46"/>
              <w:jc w:val="left"/>
              <w:rPr>
                <w:rFonts w:hint="eastAsia"/>
              </w:rPr>
            </w:pPr>
            <w:r>
              <w:rPr>
                <w:rFonts w:hint="eastAsia"/>
              </w:rPr>
              <w:t>2017年9月14日发布实施的《“十三五”挥发性有机物污染防治工作方案》就“深入推进交通源 VOCs 污染防治”明确指出“全面加强油品储运销油气回收治理，严格按照排放要求，加快完成加油站、储油库、油罐车油气回收治理工作，重点地区全面推进行政区域内所有加油站油气回收治理。建设油气回收自动监测系统平台，储油库和年销售汽油量大于5000吨的加油站加快安装油气回收自动检测设备”。</w:t>
            </w:r>
          </w:p>
          <w:p w14:paraId="7E252C10">
            <w:pPr>
              <w:pStyle w:val="46"/>
              <w:jc w:val="left"/>
            </w:pPr>
            <w:r>
              <w:rPr>
                <w:rFonts w:hint="eastAsia"/>
              </w:rPr>
              <w:t>根据建设单位设计方案，拟在站内铺设安装一次、二次油气回收系统，因此符合《“十三五”挥发性有机物污染防治工作方案》的要求。</w:t>
            </w:r>
          </w:p>
          <w:p w14:paraId="626767DB">
            <w:pPr>
              <w:pStyle w:val="46"/>
              <w:ind w:firstLine="0" w:firstLineChars="0"/>
              <w:jc w:val="left"/>
              <w:rPr>
                <w:rFonts w:hint="eastAsia"/>
                <w:b/>
              </w:rPr>
            </w:pPr>
            <w:r>
              <w:rPr>
                <w:rFonts w:hint="eastAsia"/>
                <w:b/>
              </w:rPr>
              <w:t>1.9与“三线一单”符合性分析</w:t>
            </w:r>
          </w:p>
          <w:p w14:paraId="324677B1">
            <w:pPr>
              <w:pStyle w:val="46"/>
              <w:ind w:firstLine="454" w:firstLineChars="0"/>
              <w:jc w:val="left"/>
              <w:rPr>
                <w:rFonts w:hint="eastAsia"/>
              </w:rPr>
            </w:pPr>
            <w:r>
              <w:rPr>
                <w:rFonts w:hint="eastAsia"/>
              </w:rPr>
              <w:t>（1）环境分区管控</w:t>
            </w:r>
          </w:p>
          <w:p w14:paraId="3EB8CBB9">
            <w:pPr>
              <w:pStyle w:val="46"/>
              <w:ind w:firstLine="454" w:firstLineChars="0"/>
              <w:jc w:val="left"/>
            </w:pPr>
            <w:r>
              <w:t>根据《重庆市人民政府关于落实生态保护红线、环境质量底线、资源利用上线制定生态环境准入清单实施生态环境分区管控的实施意见》（渝府发〔2020〕11号）规定：环境管控单元包括优先保护单元、重点管控单元、一般管控单元三类。优先保护单元指以生态环境保护为主的区域，主要包括饮用水水源保护区、环境空气一类功能区等。重点管控单元指涉及水、大气、土壤、自然资源等资源环境要素重点管控的区域，主要包括人口密集的城镇规划区和产业集聚的工业园区（工业集聚区）。一般管控单元指除优先保护单元和重点管控单元之外的其他区域。</w:t>
            </w:r>
          </w:p>
          <w:p w14:paraId="115C009C">
            <w:pPr>
              <w:pStyle w:val="46"/>
              <w:adjustRightInd w:val="0"/>
              <w:snapToGrid w:val="0"/>
            </w:pPr>
            <w:r>
              <w:t>优先保护单元依法禁止或限制大规模、高强度的工业和城镇建设，在功能受损的优先保护单元优先开展生态保护修复活动，恢复生态系统服务功能。重点管控单元优化空间布局，不断提升资源利用效率，有针对性地加强污染物排放控制和环境风险防控，解决生态环境质量不达标、生态环境风险高等问题。一般管控单元主要落实生态环境保护基本要求。</w:t>
            </w:r>
          </w:p>
          <w:p w14:paraId="4CA752DC">
            <w:pPr>
              <w:pStyle w:val="46"/>
              <w:adjustRightInd w:val="0"/>
              <w:snapToGrid w:val="0"/>
              <w:rPr>
                <w:rFonts w:hint="eastAsia" w:ascii="黑体" w:hAnsi="黑体" w:eastAsia="黑体" w:cs="黑体"/>
                <w:b/>
                <w:bCs/>
                <w:color w:val="000000"/>
              </w:rPr>
            </w:pPr>
            <w:r>
              <w:rPr>
                <w:color w:val="000000"/>
              </w:rPr>
              <w:t>根据《重庆市涪陵区人民政府办公室关于印发涪陵区落实“三线一单”实施生态环境分区管控实施方案的通知》（涪陵府办发〔2020〕118号）文，项目位于</w:t>
            </w:r>
            <w:r>
              <w:rPr>
                <w:rFonts w:hint="eastAsia"/>
                <w:color w:val="000000"/>
              </w:rPr>
              <w:t>涪陵区重点管控单元-长江长江二桥，环境管控单元编码ZH50010220002，详见</w:t>
            </w:r>
            <w:r>
              <w:rPr>
                <w:rFonts w:hint="eastAsia" w:ascii="宋体" w:hAnsi="宋体" w:cs="宋体"/>
                <w:color w:val="000000"/>
                <w:kern w:val="0"/>
              </w:rPr>
              <w:t>附件7。</w:t>
            </w:r>
          </w:p>
          <w:p w14:paraId="75569314">
            <w:pPr>
              <w:pStyle w:val="68"/>
              <w:spacing w:line="240" w:lineRule="auto"/>
              <w:rPr>
                <w:rFonts w:ascii="黑体" w:hAnsi="黑体" w:eastAsia="黑体" w:cs="黑体"/>
                <w:b w:val="0"/>
                <w:bCs w:val="0"/>
                <w:color w:val="000000"/>
              </w:rPr>
            </w:pPr>
            <w:r>
              <w:rPr>
                <w:rFonts w:hint="eastAsia" w:ascii="黑体" w:hAnsi="黑体" w:eastAsia="黑体" w:cs="黑体"/>
                <w:b w:val="0"/>
                <w:bCs w:val="0"/>
                <w:color w:val="000000"/>
              </w:rPr>
              <w:t>表1-4  重点管控单元总体管控要求</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675"/>
              <w:gridCol w:w="744"/>
              <w:gridCol w:w="1052"/>
              <w:gridCol w:w="3981"/>
              <w:gridCol w:w="1479"/>
            </w:tblGrid>
            <w:tr w14:paraId="3FD94E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blHeader/>
                <w:jc w:val="center"/>
              </w:trPr>
              <w:tc>
                <w:tcPr>
                  <w:tcW w:w="425" w:type="pct"/>
                  <w:vAlign w:val="center"/>
                </w:tcPr>
                <w:p w14:paraId="37B22D0C">
                  <w:pPr>
                    <w:widowControl/>
                    <w:jc w:val="center"/>
                    <w:rPr>
                      <w:rFonts w:hint="eastAsia" w:ascii="宋体" w:hAnsi="宋体" w:cs="宋体"/>
                      <w:color w:val="000000"/>
                      <w:kern w:val="0"/>
                      <w:szCs w:val="21"/>
                    </w:rPr>
                  </w:pPr>
                  <w:r>
                    <w:rPr>
                      <w:rFonts w:hint="eastAsia" w:ascii="宋体" w:hAnsi="宋体" w:cs="宋体"/>
                      <w:color w:val="000000"/>
                      <w:kern w:val="0"/>
                      <w:szCs w:val="21"/>
                    </w:rPr>
                    <w:t>管控单元</w:t>
                  </w:r>
                </w:p>
              </w:tc>
              <w:tc>
                <w:tcPr>
                  <w:tcW w:w="469" w:type="pct"/>
                  <w:vAlign w:val="center"/>
                </w:tcPr>
                <w:p w14:paraId="0AB1D87A">
                  <w:pPr>
                    <w:widowControl/>
                    <w:jc w:val="center"/>
                    <w:rPr>
                      <w:rFonts w:hint="eastAsia" w:ascii="宋体" w:hAnsi="宋体" w:cs="宋体"/>
                      <w:color w:val="000000"/>
                      <w:kern w:val="0"/>
                      <w:szCs w:val="21"/>
                    </w:rPr>
                  </w:pPr>
                  <w:r>
                    <w:rPr>
                      <w:rFonts w:hint="eastAsia" w:ascii="宋体" w:hAnsi="宋体" w:cs="宋体"/>
                      <w:color w:val="000000"/>
                      <w:kern w:val="0"/>
                      <w:szCs w:val="21"/>
                    </w:rPr>
                    <w:t>单元分类</w:t>
                  </w:r>
                </w:p>
              </w:tc>
              <w:tc>
                <w:tcPr>
                  <w:tcW w:w="663" w:type="pct"/>
                  <w:vAlign w:val="center"/>
                </w:tcPr>
                <w:p w14:paraId="36A954E8">
                  <w:pPr>
                    <w:widowControl/>
                    <w:jc w:val="center"/>
                    <w:rPr>
                      <w:rFonts w:hint="eastAsia" w:ascii="宋体" w:hAnsi="宋体" w:cs="宋体"/>
                      <w:color w:val="000000"/>
                      <w:kern w:val="0"/>
                      <w:szCs w:val="21"/>
                    </w:rPr>
                  </w:pPr>
                  <w:r>
                    <w:rPr>
                      <w:rFonts w:hint="eastAsia" w:ascii="宋体" w:hAnsi="宋体" w:cs="宋体"/>
                      <w:color w:val="000000"/>
                      <w:kern w:val="0"/>
                      <w:szCs w:val="21"/>
                    </w:rPr>
                    <w:t>管控类别</w:t>
                  </w:r>
                </w:p>
              </w:tc>
              <w:tc>
                <w:tcPr>
                  <w:tcW w:w="2508" w:type="pct"/>
                  <w:vAlign w:val="center"/>
                </w:tcPr>
                <w:p w14:paraId="444C8B9B">
                  <w:pPr>
                    <w:widowControl/>
                    <w:jc w:val="center"/>
                    <w:rPr>
                      <w:rFonts w:hint="eastAsia" w:ascii="宋体" w:hAnsi="宋体" w:cs="宋体"/>
                      <w:color w:val="000000"/>
                      <w:kern w:val="0"/>
                      <w:szCs w:val="21"/>
                    </w:rPr>
                  </w:pPr>
                  <w:r>
                    <w:rPr>
                      <w:rFonts w:hint="eastAsia" w:ascii="宋体" w:hAnsi="宋体" w:cs="宋体"/>
                      <w:color w:val="000000"/>
                      <w:kern w:val="0"/>
                      <w:szCs w:val="21"/>
                    </w:rPr>
                    <w:t>管控要求</w:t>
                  </w:r>
                </w:p>
              </w:tc>
              <w:tc>
                <w:tcPr>
                  <w:tcW w:w="932" w:type="pct"/>
                  <w:vAlign w:val="center"/>
                </w:tcPr>
                <w:p w14:paraId="70A0D0CF">
                  <w:pPr>
                    <w:widowControl/>
                    <w:jc w:val="center"/>
                    <w:rPr>
                      <w:rFonts w:hint="eastAsia" w:ascii="宋体" w:hAnsi="宋体" w:cs="宋体"/>
                      <w:color w:val="000000"/>
                      <w:kern w:val="0"/>
                      <w:szCs w:val="21"/>
                    </w:rPr>
                  </w:pPr>
                  <w:r>
                    <w:rPr>
                      <w:rFonts w:hint="eastAsia" w:ascii="宋体" w:hAnsi="宋体" w:cs="宋体"/>
                      <w:color w:val="000000"/>
                      <w:kern w:val="0"/>
                      <w:szCs w:val="21"/>
                    </w:rPr>
                    <w:t>与拟建项目符合性分析</w:t>
                  </w:r>
                </w:p>
              </w:tc>
            </w:tr>
            <w:tr w14:paraId="715187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blHeader/>
                <w:jc w:val="center"/>
              </w:trPr>
              <w:tc>
                <w:tcPr>
                  <w:tcW w:w="425" w:type="pct"/>
                  <w:vMerge w:val="restart"/>
                  <w:vAlign w:val="center"/>
                </w:tcPr>
                <w:p w14:paraId="227D0C39">
                  <w:pPr>
                    <w:widowControl/>
                    <w:jc w:val="center"/>
                    <w:rPr>
                      <w:rFonts w:ascii="宋体" w:hAnsi="宋体" w:cs="宋体"/>
                      <w:color w:val="000000"/>
                      <w:kern w:val="0"/>
                      <w:szCs w:val="21"/>
                    </w:rPr>
                  </w:pPr>
                  <w:r>
                    <w:rPr>
                      <w:rFonts w:hint="eastAsia" w:ascii="宋体" w:hAnsi="宋体" w:cs="宋体"/>
                      <w:color w:val="000000"/>
                      <w:kern w:val="0"/>
                      <w:szCs w:val="21"/>
                    </w:rPr>
                    <w:t>涪陵区重点管控单元-长江长江二桥</w:t>
                  </w:r>
                </w:p>
              </w:tc>
              <w:tc>
                <w:tcPr>
                  <w:tcW w:w="469" w:type="pct"/>
                  <w:vMerge w:val="restart"/>
                  <w:vAlign w:val="center"/>
                </w:tcPr>
                <w:p w14:paraId="71502C0E">
                  <w:pPr>
                    <w:widowControl/>
                    <w:jc w:val="center"/>
                    <w:rPr>
                      <w:rFonts w:hint="eastAsia" w:ascii="宋体" w:hAnsi="宋体" w:cs="宋体"/>
                      <w:color w:val="000000"/>
                      <w:kern w:val="0"/>
                      <w:szCs w:val="21"/>
                    </w:rPr>
                  </w:pPr>
                  <w:r>
                    <w:rPr>
                      <w:rFonts w:hint="eastAsia" w:ascii="宋体" w:hAnsi="宋体" w:cs="宋体"/>
                      <w:color w:val="000000"/>
                      <w:kern w:val="0"/>
                      <w:szCs w:val="21"/>
                    </w:rPr>
                    <w:t>重点管控单元</w:t>
                  </w:r>
                </w:p>
              </w:tc>
              <w:tc>
                <w:tcPr>
                  <w:tcW w:w="663" w:type="pct"/>
                  <w:vAlign w:val="center"/>
                </w:tcPr>
                <w:p w14:paraId="44A686D4">
                  <w:pPr>
                    <w:widowControl/>
                    <w:jc w:val="center"/>
                    <w:rPr>
                      <w:rFonts w:hint="eastAsia" w:ascii="宋体" w:hAnsi="宋体" w:cs="宋体"/>
                      <w:color w:val="000000"/>
                      <w:kern w:val="0"/>
                      <w:szCs w:val="21"/>
                    </w:rPr>
                  </w:pPr>
                  <w:r>
                    <w:rPr>
                      <w:rFonts w:hint="eastAsia" w:ascii="宋体" w:hAnsi="宋体" w:cs="宋体"/>
                      <w:color w:val="000000"/>
                      <w:kern w:val="0"/>
                      <w:szCs w:val="21"/>
                    </w:rPr>
                    <w:t>空间布局约束</w:t>
                  </w:r>
                </w:p>
              </w:tc>
              <w:tc>
                <w:tcPr>
                  <w:tcW w:w="2508" w:type="pct"/>
                  <w:vAlign w:val="center"/>
                </w:tcPr>
                <w:p w14:paraId="6F86AE1D">
                  <w:pPr>
                    <w:widowControl/>
                    <w:jc w:val="left"/>
                    <w:rPr>
                      <w:rFonts w:hint="eastAsia" w:ascii="宋体" w:hAnsi="宋体" w:cs="宋体"/>
                      <w:color w:val="000000"/>
                      <w:kern w:val="0"/>
                      <w:szCs w:val="21"/>
                    </w:rPr>
                  </w:pPr>
                  <w:r>
                    <w:rPr>
                      <w:rFonts w:hint="eastAsia" w:ascii="宋体" w:hAnsi="宋体" w:cs="宋体"/>
                      <w:color w:val="000000"/>
                      <w:kern w:val="0"/>
                      <w:szCs w:val="21"/>
                    </w:rPr>
                    <w:t xml:space="preserve">禁止重庆涪陵工业园区李渡组团、龙桥组团在长江干流岸线1公里范围内新建重化工、纺织、造纸等存在污染风险的工业项目；涪陵工业园区龙桥组团原则上不再布局高污染化工项目，李渡组团不得布局化工项目；崇义街道涪陵二水厂、李渡水厂饮用水水源取水口上游20公里范围内的沿岸地区（江河50年一遇洪水位向陆域一侧1公里范围内），禁止新建、扩建排放重金属（铬、镉、汞、砷、铅等五类重金属，下同）、剧毒物质和持久性有机污染物的工业项目。李渡组团禁止建设印染业、燃煤电厂、造纸、水泥生产等重污染行业和其它不符合国家产业政策的项目，以及超出环境资源承载力的项目。重庆涪陵工业园区龙桥组团：南岸浦片区维持现有燃煤锅炉容量，不新增燃煤热电项目。 </w:t>
                  </w:r>
                </w:p>
              </w:tc>
              <w:tc>
                <w:tcPr>
                  <w:tcW w:w="932" w:type="pct"/>
                  <w:vAlign w:val="center"/>
                </w:tcPr>
                <w:p w14:paraId="5781D70D">
                  <w:pPr>
                    <w:widowControl/>
                    <w:jc w:val="center"/>
                    <w:rPr>
                      <w:rFonts w:hint="eastAsia" w:ascii="宋体" w:hAnsi="宋体" w:cs="宋体"/>
                      <w:color w:val="000000"/>
                      <w:kern w:val="0"/>
                      <w:szCs w:val="21"/>
                    </w:rPr>
                  </w:pPr>
                  <w:r>
                    <w:rPr>
                      <w:rFonts w:hint="eastAsia" w:ascii="宋体" w:hAnsi="宋体" w:cs="宋体"/>
                      <w:color w:val="000000"/>
                      <w:kern w:val="0"/>
                      <w:szCs w:val="21"/>
                    </w:rPr>
                    <w:t>本项目为</w:t>
                  </w:r>
                  <w:r>
                    <w:rPr>
                      <w:rFonts w:hint="eastAsia" w:ascii="宋体" w:hAnsi="宋体" w:cs="宋体"/>
                      <w:szCs w:val="21"/>
                    </w:rPr>
                    <w:t>机动车燃油零售</w:t>
                  </w:r>
                  <w:r>
                    <w:rPr>
                      <w:rFonts w:hint="eastAsia" w:ascii="宋体" w:hAnsi="宋体" w:cs="宋体"/>
                      <w:color w:val="000000"/>
                      <w:kern w:val="0"/>
                      <w:szCs w:val="21"/>
                    </w:rPr>
                    <w:t>项目，符合空间布局约束要求</w:t>
                  </w:r>
                </w:p>
              </w:tc>
            </w:tr>
            <w:tr w14:paraId="217FD7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blHeader/>
                <w:jc w:val="center"/>
              </w:trPr>
              <w:tc>
                <w:tcPr>
                  <w:tcW w:w="425" w:type="pct"/>
                  <w:vMerge w:val="continue"/>
                  <w:vAlign w:val="center"/>
                </w:tcPr>
                <w:p w14:paraId="03E6F02A">
                  <w:pPr>
                    <w:widowControl/>
                    <w:jc w:val="center"/>
                    <w:rPr>
                      <w:rFonts w:hint="eastAsia" w:ascii="宋体" w:hAnsi="宋体" w:cs="宋体"/>
                      <w:color w:val="000000"/>
                      <w:kern w:val="0"/>
                      <w:szCs w:val="21"/>
                    </w:rPr>
                  </w:pPr>
                </w:p>
              </w:tc>
              <w:tc>
                <w:tcPr>
                  <w:tcW w:w="469" w:type="pct"/>
                  <w:vMerge w:val="continue"/>
                  <w:vAlign w:val="center"/>
                </w:tcPr>
                <w:p w14:paraId="1F8F0043">
                  <w:pPr>
                    <w:widowControl/>
                    <w:jc w:val="center"/>
                    <w:rPr>
                      <w:rFonts w:hint="eastAsia" w:ascii="宋体" w:hAnsi="宋体" w:cs="宋体"/>
                      <w:color w:val="000000"/>
                      <w:kern w:val="0"/>
                      <w:szCs w:val="21"/>
                    </w:rPr>
                  </w:pPr>
                </w:p>
              </w:tc>
              <w:tc>
                <w:tcPr>
                  <w:tcW w:w="663" w:type="pct"/>
                  <w:vAlign w:val="center"/>
                </w:tcPr>
                <w:p w14:paraId="40510D26">
                  <w:pPr>
                    <w:widowControl/>
                    <w:jc w:val="center"/>
                    <w:rPr>
                      <w:rFonts w:hint="eastAsia" w:ascii="宋体" w:hAnsi="宋体" w:cs="宋体"/>
                      <w:color w:val="000000"/>
                      <w:kern w:val="0"/>
                      <w:szCs w:val="21"/>
                    </w:rPr>
                  </w:pPr>
                  <w:r>
                    <w:rPr>
                      <w:rFonts w:hint="eastAsia" w:ascii="宋体" w:hAnsi="宋体" w:cs="宋体"/>
                      <w:color w:val="000000"/>
                      <w:kern w:val="0"/>
                      <w:szCs w:val="21"/>
                    </w:rPr>
                    <w:t>污染物排放管控</w:t>
                  </w:r>
                </w:p>
              </w:tc>
              <w:tc>
                <w:tcPr>
                  <w:tcW w:w="2508" w:type="pct"/>
                  <w:vAlign w:val="center"/>
                </w:tcPr>
                <w:p w14:paraId="4745851A">
                  <w:pPr>
                    <w:widowControl/>
                    <w:jc w:val="left"/>
                    <w:rPr>
                      <w:rFonts w:hint="eastAsia" w:ascii="宋体" w:hAnsi="宋体" w:cs="宋体"/>
                      <w:color w:val="000000"/>
                      <w:kern w:val="0"/>
                      <w:szCs w:val="21"/>
                    </w:rPr>
                  </w:pPr>
                  <w:r>
                    <w:rPr>
                      <w:rFonts w:hint="eastAsia" w:ascii="宋体" w:hAnsi="宋体" w:cs="宋体"/>
                      <w:color w:val="000000"/>
                      <w:kern w:val="0"/>
                      <w:szCs w:val="21"/>
                    </w:rPr>
                    <w:t>改扩建龙桥园区北拱污水处理厂，提高废水排放标准；改扩乡镇废水处理工程。完善二、三级管网；建成并投运涪陵化工磷石膏渣坝渗滤液处理设施。完成涪陵化工磷石膏渣坝坝体及坝顶的</w:t>
                  </w:r>
                  <w:r>
                    <w:rPr>
                      <w:rFonts w:hint="eastAsia" w:ascii="宋体" w:hAnsi="宋体" w:cs="宋体"/>
                      <w:kern w:val="0"/>
                      <w:szCs w:val="21"/>
                    </w:rPr>
                    <w:t>覆土、复绿。对重点企业和石化储油罐区</w:t>
                  </w:r>
                  <w:r>
                    <w:rPr>
                      <w:rFonts w:hint="eastAsia" w:ascii="宋体" w:hAnsi="宋体" w:cs="宋体"/>
                      <w:color w:val="000000"/>
                      <w:kern w:val="0"/>
                      <w:szCs w:val="21"/>
                    </w:rPr>
                    <w:t xml:space="preserve">有机废气深度治理。 </w:t>
                  </w:r>
                </w:p>
              </w:tc>
              <w:tc>
                <w:tcPr>
                  <w:tcW w:w="932" w:type="pct"/>
                  <w:vAlign w:val="center"/>
                </w:tcPr>
                <w:p w14:paraId="1736A47F">
                  <w:pPr>
                    <w:widowControl/>
                    <w:jc w:val="center"/>
                    <w:rPr>
                      <w:rFonts w:hint="eastAsia" w:ascii="宋体" w:hAnsi="宋体" w:cs="宋体"/>
                      <w:color w:val="000000"/>
                      <w:kern w:val="0"/>
                      <w:szCs w:val="21"/>
                    </w:rPr>
                  </w:pPr>
                  <w:r>
                    <w:rPr>
                      <w:rFonts w:hint="eastAsia" w:ascii="宋体" w:hAnsi="宋体" w:cs="宋体"/>
                      <w:color w:val="000000"/>
                      <w:kern w:val="0"/>
                      <w:szCs w:val="21"/>
                    </w:rPr>
                    <w:t>项目产生的污染物能做到妥善处理，对周边环境影响小，符合污染物排放管控要求</w:t>
                  </w:r>
                </w:p>
              </w:tc>
            </w:tr>
            <w:tr w14:paraId="37835F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blHeader/>
                <w:jc w:val="center"/>
              </w:trPr>
              <w:tc>
                <w:tcPr>
                  <w:tcW w:w="425" w:type="pct"/>
                  <w:vMerge w:val="continue"/>
                  <w:vAlign w:val="center"/>
                </w:tcPr>
                <w:p w14:paraId="79E2848E">
                  <w:pPr>
                    <w:widowControl/>
                    <w:jc w:val="center"/>
                    <w:rPr>
                      <w:rFonts w:hint="eastAsia" w:ascii="宋体" w:hAnsi="宋体" w:cs="宋体"/>
                      <w:color w:val="000000"/>
                      <w:kern w:val="0"/>
                      <w:szCs w:val="21"/>
                    </w:rPr>
                  </w:pPr>
                </w:p>
              </w:tc>
              <w:tc>
                <w:tcPr>
                  <w:tcW w:w="469" w:type="pct"/>
                  <w:vMerge w:val="continue"/>
                  <w:vAlign w:val="center"/>
                </w:tcPr>
                <w:p w14:paraId="75FC581F">
                  <w:pPr>
                    <w:widowControl/>
                    <w:jc w:val="center"/>
                    <w:rPr>
                      <w:rFonts w:hint="eastAsia" w:ascii="宋体" w:hAnsi="宋体" w:cs="宋体"/>
                      <w:color w:val="000000"/>
                      <w:kern w:val="0"/>
                      <w:szCs w:val="21"/>
                    </w:rPr>
                  </w:pPr>
                </w:p>
              </w:tc>
              <w:tc>
                <w:tcPr>
                  <w:tcW w:w="663" w:type="pct"/>
                  <w:vAlign w:val="center"/>
                </w:tcPr>
                <w:p w14:paraId="3D115F57">
                  <w:pPr>
                    <w:widowControl/>
                    <w:jc w:val="center"/>
                    <w:rPr>
                      <w:rFonts w:hint="eastAsia" w:ascii="宋体" w:hAnsi="宋体" w:cs="宋体"/>
                      <w:color w:val="000000"/>
                      <w:kern w:val="0"/>
                      <w:szCs w:val="21"/>
                    </w:rPr>
                  </w:pPr>
                  <w:r>
                    <w:rPr>
                      <w:rFonts w:hint="eastAsia" w:ascii="宋体" w:hAnsi="宋体" w:cs="宋体"/>
                      <w:color w:val="000000"/>
                      <w:kern w:val="0"/>
                      <w:szCs w:val="21"/>
                    </w:rPr>
                    <w:t>环境风险防控</w:t>
                  </w:r>
                </w:p>
              </w:tc>
              <w:tc>
                <w:tcPr>
                  <w:tcW w:w="2508" w:type="pct"/>
                  <w:vAlign w:val="center"/>
                </w:tcPr>
                <w:p w14:paraId="4BD27547">
                  <w:pPr>
                    <w:widowControl/>
                    <w:jc w:val="left"/>
                    <w:rPr>
                      <w:rFonts w:hint="eastAsia" w:ascii="宋体" w:hAnsi="宋体" w:cs="宋体"/>
                      <w:color w:val="000000"/>
                      <w:kern w:val="0"/>
                      <w:szCs w:val="21"/>
                    </w:rPr>
                  </w:pPr>
                  <w:r>
                    <w:rPr>
                      <w:rFonts w:hint="eastAsia" w:ascii="宋体" w:hAnsi="宋体" w:cs="宋体"/>
                      <w:color w:val="000000"/>
                      <w:kern w:val="0"/>
                      <w:szCs w:val="21"/>
                    </w:rPr>
                    <w:t>完成涪陵区城市双水源建设，城区白鹤水厂和李渡二水厂全面建成供水。强化化工企业环境风险管控，加强长江水质和下游饮用水供水安全。加强涪陵工业园区生活垃圾、龙桥组团一般工业固体废物处置场渣场和涪陵化工磷石膏渣坝地下水污染防治措施。</w:t>
                  </w:r>
                </w:p>
              </w:tc>
              <w:tc>
                <w:tcPr>
                  <w:tcW w:w="932" w:type="pct"/>
                  <w:vAlign w:val="center"/>
                </w:tcPr>
                <w:p w14:paraId="3C28D5C4">
                  <w:pPr>
                    <w:widowControl/>
                    <w:jc w:val="center"/>
                    <w:rPr>
                      <w:rFonts w:hint="eastAsia" w:ascii="宋体" w:hAnsi="宋体" w:cs="宋体"/>
                      <w:color w:val="000000"/>
                      <w:kern w:val="0"/>
                      <w:szCs w:val="21"/>
                    </w:rPr>
                  </w:pPr>
                  <w:r>
                    <w:rPr>
                      <w:rFonts w:hint="eastAsia" w:ascii="宋体" w:hAnsi="宋体" w:cs="宋体"/>
                      <w:color w:val="000000"/>
                      <w:kern w:val="0"/>
                      <w:szCs w:val="21"/>
                    </w:rPr>
                    <w:t>本项目无重大环境风险源</w:t>
                  </w:r>
                </w:p>
              </w:tc>
            </w:tr>
            <w:tr w14:paraId="3E2036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blHeader/>
                <w:jc w:val="center"/>
              </w:trPr>
              <w:tc>
                <w:tcPr>
                  <w:tcW w:w="425" w:type="pct"/>
                  <w:vMerge w:val="continue"/>
                  <w:vAlign w:val="center"/>
                </w:tcPr>
                <w:p w14:paraId="6C8B1A52">
                  <w:pPr>
                    <w:widowControl/>
                    <w:jc w:val="center"/>
                    <w:rPr>
                      <w:rFonts w:hint="eastAsia" w:ascii="宋体" w:hAnsi="宋体" w:cs="宋体"/>
                      <w:color w:val="000000"/>
                      <w:kern w:val="0"/>
                      <w:szCs w:val="21"/>
                    </w:rPr>
                  </w:pPr>
                </w:p>
              </w:tc>
              <w:tc>
                <w:tcPr>
                  <w:tcW w:w="469" w:type="pct"/>
                  <w:vMerge w:val="continue"/>
                  <w:vAlign w:val="center"/>
                </w:tcPr>
                <w:p w14:paraId="4B0A65E3">
                  <w:pPr>
                    <w:widowControl/>
                    <w:jc w:val="center"/>
                    <w:rPr>
                      <w:rFonts w:hint="eastAsia" w:ascii="宋体" w:hAnsi="宋体" w:cs="宋体"/>
                      <w:color w:val="000000"/>
                      <w:kern w:val="0"/>
                      <w:szCs w:val="21"/>
                    </w:rPr>
                  </w:pPr>
                </w:p>
              </w:tc>
              <w:tc>
                <w:tcPr>
                  <w:tcW w:w="663" w:type="pct"/>
                  <w:vAlign w:val="center"/>
                </w:tcPr>
                <w:p w14:paraId="5493F754">
                  <w:pPr>
                    <w:widowControl/>
                    <w:jc w:val="center"/>
                    <w:rPr>
                      <w:rFonts w:hint="eastAsia" w:ascii="宋体" w:hAnsi="宋体" w:cs="宋体"/>
                      <w:color w:val="000000"/>
                      <w:kern w:val="0"/>
                      <w:szCs w:val="21"/>
                    </w:rPr>
                  </w:pPr>
                  <w:r>
                    <w:rPr>
                      <w:rFonts w:hint="eastAsia" w:ascii="宋体" w:hAnsi="宋体" w:cs="宋体"/>
                      <w:color w:val="000000"/>
                      <w:kern w:val="0"/>
                      <w:szCs w:val="21"/>
                    </w:rPr>
                    <w:t>资源开发效率要求</w:t>
                  </w:r>
                </w:p>
              </w:tc>
              <w:tc>
                <w:tcPr>
                  <w:tcW w:w="2508" w:type="pct"/>
                  <w:vAlign w:val="center"/>
                </w:tcPr>
                <w:p w14:paraId="39ECDF04">
                  <w:pPr>
                    <w:widowControl/>
                    <w:jc w:val="center"/>
                    <w:rPr>
                      <w:rFonts w:hint="eastAsia" w:ascii="宋体" w:hAnsi="宋体" w:cs="宋体"/>
                      <w:color w:val="000000"/>
                      <w:szCs w:val="21"/>
                    </w:rPr>
                  </w:pPr>
                  <w:r>
                    <w:rPr>
                      <w:rFonts w:hint="eastAsia" w:ascii="宋体" w:hAnsi="宋体" w:cs="宋体"/>
                      <w:color w:val="000000"/>
                      <w:szCs w:val="21"/>
                    </w:rPr>
                    <w:t>火电机组供电煤耗低于310克/千瓦时。</w:t>
                  </w:r>
                </w:p>
              </w:tc>
              <w:tc>
                <w:tcPr>
                  <w:tcW w:w="932" w:type="pct"/>
                  <w:vAlign w:val="center"/>
                </w:tcPr>
                <w:p w14:paraId="2C55A305">
                  <w:pPr>
                    <w:widowControl/>
                    <w:jc w:val="center"/>
                    <w:rPr>
                      <w:rFonts w:hint="eastAsia" w:ascii="宋体" w:hAnsi="宋体" w:cs="宋体"/>
                      <w:color w:val="000000"/>
                      <w:kern w:val="0"/>
                      <w:szCs w:val="21"/>
                    </w:rPr>
                  </w:pPr>
                  <w:r>
                    <w:rPr>
                      <w:rFonts w:hint="eastAsia" w:ascii="宋体" w:hAnsi="宋体" w:cs="宋体"/>
                      <w:color w:val="000000"/>
                      <w:kern w:val="0"/>
                      <w:szCs w:val="21"/>
                    </w:rPr>
                    <w:t>本项目不使用火电机组供电。</w:t>
                  </w:r>
                </w:p>
              </w:tc>
            </w:tr>
          </w:tbl>
          <w:p w14:paraId="6156539B">
            <w:pPr>
              <w:pStyle w:val="46"/>
              <w:numPr>
                <w:ilvl w:val="0"/>
                <w:numId w:val="1"/>
              </w:numPr>
              <w:ind w:firstLine="454" w:firstLineChars="0"/>
              <w:jc w:val="left"/>
              <w:rPr>
                <w:rFonts w:hint="eastAsia"/>
              </w:rPr>
            </w:pPr>
            <w:r>
              <w:rPr>
                <w:rFonts w:hint="eastAsia"/>
              </w:rPr>
              <w:t>生态保护红线</w:t>
            </w:r>
          </w:p>
          <w:p w14:paraId="3C93D976">
            <w:pPr>
              <w:pStyle w:val="46"/>
              <w:adjustRightInd w:val="0"/>
              <w:snapToGrid w:val="0"/>
              <w:rPr>
                <w:rFonts w:hint="eastAsia"/>
              </w:rPr>
            </w:pPr>
            <w:r>
              <w:rPr>
                <w:rFonts w:hint="eastAsia"/>
              </w:rPr>
              <w:t>拟建项目位于</w:t>
            </w:r>
            <w:r>
              <w:rPr>
                <w:rFonts w:hint="eastAsia" w:ascii="宋体" w:hAnsi="宋体" w:cs="宋体"/>
                <w:szCs w:val="21"/>
              </w:rPr>
              <w:t>重庆市涪陵区李渡工业园区双溪居委郑家湾F</w:t>
            </w:r>
            <w:r>
              <w:rPr>
                <w:rFonts w:ascii="宋体" w:hAnsi="宋体" w:cs="宋体"/>
                <w:szCs w:val="21"/>
              </w:rPr>
              <w:t>L2018-06-18</w:t>
            </w:r>
            <w:r>
              <w:rPr>
                <w:rFonts w:hint="eastAsia" w:ascii="宋体" w:hAnsi="宋体" w:cs="宋体"/>
                <w:szCs w:val="21"/>
              </w:rPr>
              <w:t>号地块</w:t>
            </w:r>
            <w:r>
              <w:rPr>
                <w:rFonts w:hint="eastAsia"/>
              </w:rPr>
              <w:t>，对照重庆市生态保护红线图，拟建项目用地不在生态保护红线范围内。</w:t>
            </w:r>
          </w:p>
          <w:p w14:paraId="08F99D7D">
            <w:pPr>
              <w:pStyle w:val="46"/>
              <w:numPr>
                <w:ilvl w:val="0"/>
                <w:numId w:val="1"/>
              </w:numPr>
              <w:ind w:firstLine="454" w:firstLineChars="0"/>
              <w:jc w:val="left"/>
              <w:rPr>
                <w:rFonts w:hint="eastAsia"/>
              </w:rPr>
            </w:pPr>
            <w:r>
              <w:rPr>
                <w:rFonts w:hint="eastAsia"/>
              </w:rPr>
              <w:t>环境质量底线</w:t>
            </w:r>
          </w:p>
          <w:p w14:paraId="2CB63139">
            <w:pPr>
              <w:pStyle w:val="46"/>
              <w:ind w:firstLine="454" w:firstLineChars="0"/>
              <w:jc w:val="left"/>
              <w:rPr>
                <w:rFonts w:hint="eastAsia"/>
              </w:rPr>
            </w:pPr>
            <w:r>
              <w:rPr>
                <w:rFonts w:hint="eastAsia"/>
              </w:rPr>
              <w:t>区域地表水、声环境、土壤环境质量现状较好，有一定环境容量，涪陵区为环境空气达标区，项目所在区域有环境容量承载项目入驻。</w:t>
            </w:r>
          </w:p>
          <w:p w14:paraId="30FF4AAF">
            <w:pPr>
              <w:pStyle w:val="46"/>
              <w:numPr>
                <w:ilvl w:val="0"/>
                <w:numId w:val="1"/>
              </w:numPr>
              <w:ind w:firstLine="454" w:firstLineChars="0"/>
              <w:jc w:val="left"/>
              <w:rPr>
                <w:rFonts w:hint="eastAsia"/>
              </w:rPr>
            </w:pPr>
            <w:r>
              <w:rPr>
                <w:rFonts w:hint="eastAsia"/>
              </w:rPr>
              <w:t>资源利用上线</w:t>
            </w:r>
          </w:p>
          <w:p w14:paraId="778030BC">
            <w:pPr>
              <w:pStyle w:val="46"/>
              <w:ind w:firstLine="454" w:firstLineChars="0"/>
              <w:jc w:val="left"/>
              <w:rPr>
                <w:rFonts w:hint="eastAsia"/>
              </w:rPr>
            </w:pPr>
            <w:r>
              <w:rPr>
                <w:rFonts w:hint="eastAsia"/>
              </w:rPr>
              <w:t>项目所在地基础设施完善，电、水资源承载力可支撑项目的建设，符合资源利用上线。</w:t>
            </w:r>
          </w:p>
          <w:p w14:paraId="10C8E719">
            <w:pPr>
              <w:pStyle w:val="46"/>
              <w:numPr>
                <w:ilvl w:val="0"/>
                <w:numId w:val="1"/>
              </w:numPr>
              <w:ind w:firstLine="454" w:firstLineChars="0"/>
              <w:jc w:val="left"/>
              <w:rPr>
                <w:rFonts w:hint="eastAsia"/>
              </w:rPr>
            </w:pPr>
            <w:r>
              <w:rPr>
                <w:rFonts w:hint="eastAsia"/>
              </w:rPr>
              <w:t>环境准入负面清单</w:t>
            </w:r>
          </w:p>
          <w:p w14:paraId="34CF8583">
            <w:pPr>
              <w:pStyle w:val="46"/>
              <w:ind w:firstLine="454" w:firstLineChars="0"/>
              <w:jc w:val="left"/>
              <w:rPr>
                <w:rFonts w:hint="eastAsia"/>
              </w:rPr>
            </w:pPr>
            <w:r>
              <w:rPr>
                <w:rFonts w:hint="eastAsia"/>
              </w:rPr>
              <w:t>本项目属于《产业结构调整指导目录（</w:t>
            </w:r>
            <w:r>
              <w:t>2019</w:t>
            </w:r>
            <w:r>
              <w:rPr>
                <w:rFonts w:hint="eastAsia"/>
              </w:rPr>
              <w:t>年本）》中的允许类项目，不涉及生态保护红线，不属于《四川省、重庆市长江经济带发展负面清单实施细则</w:t>
            </w:r>
            <w:r>
              <w:t>(</w:t>
            </w:r>
            <w:r>
              <w:rPr>
                <w:rFonts w:hint="eastAsia"/>
              </w:rPr>
              <w:t>试行</w:t>
            </w:r>
            <w:r>
              <w:t>)</w:t>
            </w:r>
            <w:r>
              <w:rPr>
                <w:rFonts w:hint="eastAsia"/>
              </w:rPr>
              <w:t>》中禁止建设项目，本项目满足环境准入条件。</w:t>
            </w:r>
          </w:p>
          <w:p w14:paraId="12E13F93">
            <w:pPr>
              <w:pStyle w:val="46"/>
              <w:ind w:firstLine="454" w:firstLineChars="0"/>
              <w:jc w:val="left"/>
              <w:rPr>
                <w:rFonts w:hint="eastAsia"/>
              </w:rPr>
            </w:pPr>
            <w:r>
              <w:rPr>
                <w:rFonts w:hint="eastAsia"/>
              </w:rPr>
              <w:t>综上，本项目符合“三线一单”相关要求。</w:t>
            </w:r>
          </w:p>
          <w:p w14:paraId="347955D1">
            <w:pPr>
              <w:pStyle w:val="46"/>
              <w:ind w:firstLine="0" w:firstLineChars="0"/>
              <w:jc w:val="left"/>
              <w:rPr>
                <w:rFonts w:hint="eastAsia"/>
                <w:b/>
              </w:rPr>
            </w:pPr>
            <w:r>
              <w:rPr>
                <w:rFonts w:hint="eastAsia"/>
                <w:b/>
              </w:rPr>
              <w:t>1.10与《中华人民共和国长江保护法》符合性分析</w:t>
            </w:r>
          </w:p>
          <w:p w14:paraId="6DF9384B">
            <w:pPr>
              <w:pStyle w:val="46"/>
              <w:ind w:firstLine="454" w:firstLineChars="0"/>
              <w:jc w:val="left"/>
              <w:rPr>
                <w:rFonts w:hint="eastAsia"/>
              </w:rPr>
            </w:pPr>
            <w:r>
              <w:rPr>
                <w:rFonts w:hint="eastAsia"/>
              </w:rPr>
              <w:t>根据2020年12月26日第十三届全国人民代表大会常务委员会第二十四次会议通过的《中华人民共和国长江保护法》，结合本项目情况分析如下：</w:t>
            </w:r>
          </w:p>
          <w:p w14:paraId="4C8E2076">
            <w:pPr>
              <w:pStyle w:val="68"/>
              <w:spacing w:line="240" w:lineRule="auto"/>
              <w:rPr>
                <w:rFonts w:hint="eastAsia" w:ascii="黑体" w:hAnsi="黑体" w:eastAsia="黑体" w:cs="黑体"/>
                <w:b w:val="0"/>
                <w:bCs w:val="0"/>
              </w:rPr>
            </w:pPr>
            <w:r>
              <w:rPr>
                <w:rFonts w:hint="eastAsia" w:ascii="黑体" w:hAnsi="黑体" w:eastAsia="黑体" w:cs="黑体"/>
                <w:b w:val="0"/>
                <w:bCs w:val="0"/>
              </w:rPr>
              <w:t>表1-5  项目建设与长江保护法符合性分析</w:t>
            </w:r>
          </w:p>
          <w:tbl>
            <w:tblPr>
              <w:tblStyle w:val="23"/>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62"/>
              <w:gridCol w:w="598"/>
              <w:gridCol w:w="4198"/>
              <w:gridCol w:w="1531"/>
              <w:gridCol w:w="942"/>
            </w:tblGrid>
            <w:tr w14:paraId="4D7595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7" w:type="pct"/>
                  <w:vAlign w:val="center"/>
                </w:tcPr>
                <w:p w14:paraId="637EAD68">
                  <w:pPr>
                    <w:widowControl/>
                    <w:jc w:val="center"/>
                    <w:rPr>
                      <w:rFonts w:hint="eastAsia" w:ascii="宋体" w:hAnsi="宋体" w:cs="宋体"/>
                      <w:color w:val="000000"/>
                      <w:szCs w:val="21"/>
                    </w:rPr>
                  </w:pPr>
                  <w:r>
                    <w:rPr>
                      <w:rFonts w:hint="eastAsia" w:ascii="宋体" w:hAnsi="宋体" w:cs="宋体"/>
                      <w:color w:val="000000"/>
                      <w:szCs w:val="21"/>
                    </w:rPr>
                    <w:t>序号</w:t>
                  </w:r>
                </w:p>
              </w:tc>
              <w:tc>
                <w:tcPr>
                  <w:tcW w:w="3023" w:type="pct"/>
                  <w:gridSpan w:val="2"/>
                  <w:vAlign w:val="center"/>
                </w:tcPr>
                <w:p w14:paraId="03B26BB5">
                  <w:pPr>
                    <w:widowControl/>
                    <w:jc w:val="center"/>
                    <w:rPr>
                      <w:rFonts w:hint="eastAsia" w:ascii="宋体" w:hAnsi="宋体" w:cs="宋体"/>
                      <w:color w:val="000000"/>
                      <w:szCs w:val="21"/>
                    </w:rPr>
                  </w:pPr>
                  <w:r>
                    <w:rPr>
                      <w:rFonts w:hint="eastAsia" w:ascii="宋体" w:hAnsi="宋体" w:cs="宋体"/>
                      <w:color w:val="000000"/>
                      <w:szCs w:val="21"/>
                    </w:rPr>
                    <w:t>相关内容</w:t>
                  </w:r>
                </w:p>
              </w:tc>
              <w:tc>
                <w:tcPr>
                  <w:tcW w:w="965" w:type="pct"/>
                  <w:vAlign w:val="center"/>
                </w:tcPr>
                <w:p w14:paraId="5BECE087">
                  <w:pPr>
                    <w:widowControl/>
                    <w:jc w:val="center"/>
                    <w:rPr>
                      <w:rFonts w:hint="eastAsia" w:ascii="宋体" w:hAnsi="宋体" w:cs="宋体"/>
                      <w:color w:val="000000"/>
                      <w:szCs w:val="21"/>
                    </w:rPr>
                  </w:pPr>
                  <w:r>
                    <w:rPr>
                      <w:rFonts w:hint="eastAsia" w:ascii="宋体" w:hAnsi="宋体" w:cs="宋体"/>
                      <w:color w:val="000000"/>
                      <w:szCs w:val="21"/>
                    </w:rPr>
                    <w:t>本项目情况</w:t>
                  </w:r>
                </w:p>
              </w:tc>
              <w:tc>
                <w:tcPr>
                  <w:tcW w:w="594" w:type="pct"/>
                  <w:vAlign w:val="center"/>
                </w:tcPr>
                <w:p w14:paraId="1866FA01">
                  <w:pPr>
                    <w:widowControl/>
                    <w:jc w:val="center"/>
                    <w:rPr>
                      <w:rFonts w:hint="eastAsia" w:ascii="宋体" w:hAnsi="宋体" w:cs="宋体"/>
                      <w:color w:val="000000"/>
                      <w:szCs w:val="21"/>
                    </w:rPr>
                  </w:pPr>
                  <w:r>
                    <w:rPr>
                      <w:rFonts w:hint="eastAsia" w:ascii="宋体" w:hAnsi="宋体" w:cs="宋体"/>
                      <w:color w:val="000000"/>
                      <w:szCs w:val="21"/>
                    </w:rPr>
                    <w:t>符合性</w:t>
                  </w:r>
                </w:p>
              </w:tc>
            </w:tr>
            <w:tr w14:paraId="764EBB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7" w:type="pct"/>
                  <w:vAlign w:val="center"/>
                </w:tcPr>
                <w:p w14:paraId="46948712">
                  <w:pPr>
                    <w:widowControl/>
                    <w:jc w:val="center"/>
                    <w:rPr>
                      <w:rFonts w:hint="eastAsia" w:ascii="宋体" w:hAnsi="宋体" w:cs="宋体"/>
                      <w:color w:val="000000"/>
                      <w:szCs w:val="21"/>
                    </w:rPr>
                  </w:pPr>
                  <w:r>
                    <w:rPr>
                      <w:rFonts w:hint="eastAsia" w:ascii="宋体" w:hAnsi="宋体" w:cs="宋体"/>
                      <w:color w:val="000000"/>
                      <w:szCs w:val="21"/>
                    </w:rPr>
                    <w:t>1</w:t>
                  </w:r>
                </w:p>
              </w:tc>
              <w:tc>
                <w:tcPr>
                  <w:tcW w:w="377" w:type="pct"/>
                  <w:vMerge w:val="restart"/>
                  <w:vAlign w:val="center"/>
                </w:tcPr>
                <w:p w14:paraId="54252444">
                  <w:pPr>
                    <w:widowControl/>
                    <w:jc w:val="center"/>
                    <w:rPr>
                      <w:rFonts w:hint="eastAsia" w:ascii="宋体" w:hAnsi="宋体" w:cs="宋体"/>
                      <w:color w:val="000000"/>
                      <w:szCs w:val="21"/>
                    </w:rPr>
                  </w:pPr>
                  <w:r>
                    <w:rPr>
                      <w:rFonts w:hint="eastAsia" w:ascii="宋体" w:hAnsi="宋体" w:cs="宋体"/>
                      <w:color w:val="000000"/>
                      <w:szCs w:val="21"/>
                    </w:rPr>
                    <w:t>规划与管控</w:t>
                  </w:r>
                </w:p>
              </w:tc>
              <w:tc>
                <w:tcPr>
                  <w:tcW w:w="2645" w:type="pct"/>
                  <w:vAlign w:val="center"/>
                </w:tcPr>
                <w:p w14:paraId="46F2121F">
                  <w:pPr>
                    <w:widowControl/>
                    <w:jc w:val="center"/>
                    <w:rPr>
                      <w:rFonts w:hint="eastAsia" w:ascii="宋体" w:hAnsi="宋体" w:cs="宋体"/>
                      <w:color w:val="000000"/>
                      <w:szCs w:val="21"/>
                    </w:rPr>
                  </w:pPr>
                  <w:r>
                    <w:rPr>
                      <w:rFonts w:hint="eastAsia" w:ascii="宋体" w:hAnsi="宋体" w:cs="宋体"/>
                      <w:color w:val="000000"/>
                      <w:szCs w:val="21"/>
                    </w:rPr>
                    <w:t>国务院水行政主管部门统筹长江流域水资源合理配置、统一调度和高效利用，组织实施取用水总量控制和消耗强度控制管理制度。国务院生态环境主管部门根据水环境质量改善目标和水污染防治要求，确定长江流域各省级行政区域重点污染物排放总量控制指标。长江流域水质超标的水功能区，应当实施更严格的污染物排放总量削减要求。企业事业单位应当按照要求，采取污染物排放总量控制措施。国务院自然资源主管部门负责统筹长江流域新增建设用地总量控制和计划安排。</w:t>
                  </w:r>
                </w:p>
              </w:tc>
              <w:tc>
                <w:tcPr>
                  <w:tcW w:w="965" w:type="pct"/>
                  <w:vAlign w:val="center"/>
                </w:tcPr>
                <w:p w14:paraId="54000137">
                  <w:pPr>
                    <w:widowControl/>
                    <w:jc w:val="center"/>
                    <w:rPr>
                      <w:rFonts w:hint="eastAsia" w:ascii="宋体" w:hAnsi="宋体" w:cs="宋体"/>
                      <w:color w:val="000000"/>
                      <w:szCs w:val="21"/>
                    </w:rPr>
                  </w:pPr>
                  <w:r>
                    <w:rPr>
                      <w:rFonts w:hint="eastAsia" w:ascii="宋体" w:hAnsi="宋体" w:cs="宋体"/>
                      <w:color w:val="000000"/>
                      <w:szCs w:val="21"/>
                    </w:rPr>
                    <w:t>根据《二〇二一年</w:t>
                  </w:r>
                  <w:r>
                    <w:rPr>
                      <w:rFonts w:ascii="宋体" w:hAnsi="宋体" w:cs="宋体"/>
                      <w:color w:val="000000"/>
                      <w:szCs w:val="21"/>
                    </w:rPr>
                    <w:t>重庆市生态环境状况公报</w:t>
                  </w:r>
                  <w:r>
                    <w:rPr>
                      <w:rFonts w:hint="eastAsia" w:ascii="宋体" w:hAnsi="宋体" w:cs="宋体"/>
                      <w:color w:val="000000"/>
                      <w:szCs w:val="21"/>
                    </w:rPr>
                    <w:t>》，项目所在区域长江干流重庆段总体水质为优。20个监测断面水质均为Ⅱ类。本项目外排废水为生活废</w:t>
                  </w:r>
                </w:p>
                <w:p w14:paraId="2306D995">
                  <w:pPr>
                    <w:widowControl/>
                    <w:jc w:val="center"/>
                    <w:rPr>
                      <w:rFonts w:hint="eastAsia" w:ascii="宋体" w:hAnsi="宋体" w:cs="宋体"/>
                      <w:color w:val="000000"/>
                      <w:szCs w:val="21"/>
                    </w:rPr>
                  </w:pPr>
                  <w:r>
                    <w:rPr>
                      <w:rFonts w:hint="eastAsia" w:ascii="宋体" w:hAnsi="宋体" w:cs="宋体"/>
                      <w:color w:val="000000"/>
                      <w:szCs w:val="21"/>
                    </w:rPr>
                    <w:t>水，场地冲洗废水经处理后排入园区污水管网，水污染物总量较少。</w:t>
                  </w:r>
                </w:p>
              </w:tc>
              <w:tc>
                <w:tcPr>
                  <w:tcW w:w="594" w:type="pct"/>
                  <w:vAlign w:val="center"/>
                </w:tcPr>
                <w:p w14:paraId="783A352B">
                  <w:pPr>
                    <w:widowControl/>
                    <w:jc w:val="center"/>
                    <w:rPr>
                      <w:rFonts w:hint="eastAsia" w:ascii="宋体" w:hAnsi="宋体" w:cs="宋体"/>
                      <w:color w:val="000000"/>
                      <w:szCs w:val="21"/>
                    </w:rPr>
                  </w:pPr>
                  <w:r>
                    <w:rPr>
                      <w:rFonts w:hint="eastAsia" w:ascii="宋体" w:hAnsi="宋体" w:cs="宋体"/>
                      <w:color w:val="000000"/>
                      <w:szCs w:val="21"/>
                    </w:rPr>
                    <w:t>符合</w:t>
                  </w:r>
                </w:p>
              </w:tc>
            </w:tr>
            <w:tr w14:paraId="20A83A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7" w:type="pct"/>
                  <w:vAlign w:val="center"/>
                </w:tcPr>
                <w:p w14:paraId="11CE2BFE">
                  <w:pPr>
                    <w:widowControl/>
                    <w:jc w:val="center"/>
                    <w:rPr>
                      <w:rFonts w:hint="eastAsia" w:ascii="宋体" w:hAnsi="宋体" w:cs="宋体"/>
                      <w:color w:val="000000"/>
                      <w:szCs w:val="21"/>
                    </w:rPr>
                  </w:pPr>
                  <w:r>
                    <w:rPr>
                      <w:rFonts w:hint="eastAsia" w:ascii="宋体" w:hAnsi="宋体" w:cs="宋体"/>
                      <w:color w:val="000000"/>
                      <w:szCs w:val="21"/>
                    </w:rPr>
                    <w:t>2</w:t>
                  </w:r>
                </w:p>
              </w:tc>
              <w:tc>
                <w:tcPr>
                  <w:tcW w:w="377" w:type="pct"/>
                  <w:vMerge w:val="continue"/>
                  <w:vAlign w:val="center"/>
                </w:tcPr>
                <w:p w14:paraId="2B89D088">
                  <w:pPr>
                    <w:widowControl/>
                    <w:jc w:val="center"/>
                    <w:rPr>
                      <w:rFonts w:hint="eastAsia" w:ascii="宋体" w:hAnsi="宋体" w:cs="宋体"/>
                      <w:color w:val="000000"/>
                      <w:szCs w:val="21"/>
                    </w:rPr>
                  </w:pPr>
                </w:p>
              </w:tc>
              <w:tc>
                <w:tcPr>
                  <w:tcW w:w="2645" w:type="pct"/>
                  <w:vAlign w:val="center"/>
                </w:tcPr>
                <w:p w14:paraId="0A8DB7A7">
                  <w:pPr>
                    <w:widowControl/>
                    <w:jc w:val="center"/>
                    <w:rPr>
                      <w:rFonts w:hint="eastAsia" w:ascii="宋体" w:hAnsi="宋体" w:cs="宋体"/>
                      <w:color w:val="000000"/>
                      <w:szCs w:val="21"/>
                    </w:rPr>
                  </w:pPr>
                  <w:r>
                    <w:rPr>
                      <w:rFonts w:hint="eastAsia" w:ascii="宋体" w:hAnsi="宋体" w:cs="宋体"/>
                      <w:color w:val="000000"/>
                      <w:szCs w:val="21"/>
                    </w:rPr>
                    <w:t>长江流域省级人民政府根据本行政区域的生态环境和资源利用状况，制定生态环境分区管控方案和生态环境准入清单，报国务院生态环境主管部门备案后实施。生态环境分区管控方案和生态环境准入清单应当与国土空间规划相衔接。</w:t>
                  </w:r>
                </w:p>
                <w:p w14:paraId="18728889">
                  <w:pPr>
                    <w:widowControl/>
                    <w:jc w:val="center"/>
                    <w:rPr>
                      <w:rFonts w:hint="eastAsia" w:ascii="宋体" w:hAnsi="宋体" w:cs="宋体"/>
                      <w:color w:val="000000"/>
                      <w:szCs w:val="21"/>
                    </w:rPr>
                  </w:pPr>
                  <w:r>
                    <w:rPr>
                      <w:rFonts w:hint="eastAsia" w:ascii="宋体" w:hAnsi="宋体" w:cs="宋体"/>
                      <w:color w:val="000000"/>
                      <w:szCs w:val="21"/>
                    </w:rPr>
                    <w:t>长江流域产业结构和布局应当与长江流域生态系统和资源环境承载能力相适应。禁止在长江流域重点生态功能区布局对生态系统有严重影响的产业。禁止重污染企业和项目向长江中上游转移。</w:t>
                  </w:r>
                </w:p>
              </w:tc>
              <w:tc>
                <w:tcPr>
                  <w:tcW w:w="965" w:type="pct"/>
                  <w:vAlign w:val="center"/>
                </w:tcPr>
                <w:p w14:paraId="7485DA83">
                  <w:pPr>
                    <w:widowControl/>
                    <w:jc w:val="center"/>
                    <w:rPr>
                      <w:rFonts w:hint="eastAsia" w:ascii="宋体" w:hAnsi="宋体" w:cs="宋体"/>
                      <w:color w:val="000000"/>
                      <w:szCs w:val="21"/>
                    </w:rPr>
                  </w:pPr>
                  <w:r>
                    <w:rPr>
                      <w:rFonts w:hint="eastAsia" w:ascii="宋体" w:hAnsi="宋体" w:cs="宋体"/>
                      <w:color w:val="000000"/>
                      <w:szCs w:val="21"/>
                    </w:rPr>
                    <w:t>本项目为机动车燃油零售项目，污染物排放量较少， 不属于重污染企 业</w:t>
                  </w:r>
                </w:p>
              </w:tc>
              <w:tc>
                <w:tcPr>
                  <w:tcW w:w="594" w:type="pct"/>
                  <w:vAlign w:val="center"/>
                </w:tcPr>
                <w:p w14:paraId="44552D62">
                  <w:pPr>
                    <w:widowControl/>
                    <w:jc w:val="center"/>
                    <w:rPr>
                      <w:rFonts w:hint="eastAsia" w:ascii="宋体" w:hAnsi="宋体" w:cs="宋体"/>
                      <w:color w:val="000000"/>
                      <w:szCs w:val="21"/>
                    </w:rPr>
                  </w:pPr>
                  <w:r>
                    <w:rPr>
                      <w:rFonts w:hint="eastAsia" w:ascii="宋体" w:hAnsi="宋体" w:cs="宋体"/>
                      <w:color w:val="000000"/>
                      <w:szCs w:val="21"/>
                    </w:rPr>
                    <w:t>符合</w:t>
                  </w:r>
                </w:p>
              </w:tc>
            </w:tr>
            <w:tr w14:paraId="58CB0B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7" w:type="pct"/>
                  <w:vAlign w:val="center"/>
                </w:tcPr>
                <w:p w14:paraId="3C33B6D4">
                  <w:pPr>
                    <w:widowControl/>
                    <w:jc w:val="center"/>
                    <w:rPr>
                      <w:rFonts w:hint="eastAsia" w:ascii="宋体" w:hAnsi="宋体" w:cs="宋体"/>
                      <w:color w:val="000000"/>
                      <w:szCs w:val="21"/>
                    </w:rPr>
                  </w:pPr>
                  <w:r>
                    <w:rPr>
                      <w:rFonts w:hint="eastAsia" w:ascii="宋体" w:hAnsi="宋体" w:cs="宋体"/>
                      <w:color w:val="000000"/>
                      <w:szCs w:val="21"/>
                    </w:rPr>
                    <w:t>3</w:t>
                  </w:r>
                </w:p>
              </w:tc>
              <w:tc>
                <w:tcPr>
                  <w:tcW w:w="377" w:type="pct"/>
                  <w:vMerge w:val="continue"/>
                  <w:vAlign w:val="center"/>
                </w:tcPr>
                <w:p w14:paraId="64B58B83">
                  <w:pPr>
                    <w:widowControl/>
                    <w:jc w:val="center"/>
                    <w:rPr>
                      <w:rFonts w:hint="eastAsia" w:ascii="宋体" w:hAnsi="宋体" w:cs="宋体"/>
                      <w:color w:val="000000"/>
                      <w:szCs w:val="21"/>
                    </w:rPr>
                  </w:pPr>
                </w:p>
              </w:tc>
              <w:tc>
                <w:tcPr>
                  <w:tcW w:w="2645" w:type="pct"/>
                  <w:vAlign w:val="center"/>
                </w:tcPr>
                <w:p w14:paraId="534E09CB">
                  <w:pPr>
                    <w:widowControl/>
                    <w:jc w:val="center"/>
                    <w:rPr>
                      <w:rFonts w:hint="eastAsia" w:ascii="宋体" w:hAnsi="宋体" w:cs="宋体"/>
                      <w:color w:val="000000"/>
                      <w:szCs w:val="21"/>
                    </w:rPr>
                  </w:pPr>
                  <w:r>
                    <w:rPr>
                      <w:rFonts w:hint="eastAsia" w:ascii="宋体" w:hAnsi="宋体" w:cs="宋体"/>
                      <w:color w:val="000000"/>
                      <w:szCs w:val="21"/>
                    </w:rPr>
                    <w:t>国务院水行政主管部门加强长江流域河道、湖泊保护工作。长江流域县级以上地方人民政府负责划定河道、湖泊管理范围，并向社会公告，实行严格的河湖保护，禁止非法侵占河湖水域。</w:t>
                  </w:r>
                </w:p>
              </w:tc>
              <w:tc>
                <w:tcPr>
                  <w:tcW w:w="965" w:type="pct"/>
                  <w:vAlign w:val="center"/>
                </w:tcPr>
                <w:p w14:paraId="243A8CAD">
                  <w:pPr>
                    <w:widowControl/>
                    <w:jc w:val="center"/>
                    <w:rPr>
                      <w:rFonts w:hint="eastAsia" w:ascii="宋体" w:hAnsi="宋体" w:cs="宋体"/>
                      <w:color w:val="000000"/>
                      <w:szCs w:val="21"/>
                    </w:rPr>
                  </w:pPr>
                  <w:r>
                    <w:rPr>
                      <w:rFonts w:hint="eastAsia" w:ascii="宋体" w:hAnsi="宋体" w:cs="宋体"/>
                      <w:color w:val="000000"/>
                      <w:szCs w:val="21"/>
                    </w:rPr>
                    <w:t>本项目位于重庆市涪陵区李渡工业园区双溪居委郑家湾FL2018-06-18号地块， 项目占地不在河道、湖泊管理范围内</w:t>
                  </w:r>
                </w:p>
              </w:tc>
              <w:tc>
                <w:tcPr>
                  <w:tcW w:w="594" w:type="pct"/>
                  <w:vAlign w:val="center"/>
                </w:tcPr>
                <w:p w14:paraId="264A2A0C">
                  <w:pPr>
                    <w:widowControl/>
                    <w:jc w:val="center"/>
                    <w:rPr>
                      <w:rFonts w:hint="eastAsia" w:ascii="宋体" w:hAnsi="宋体" w:cs="宋体"/>
                      <w:color w:val="000000"/>
                      <w:szCs w:val="21"/>
                    </w:rPr>
                  </w:pPr>
                  <w:r>
                    <w:rPr>
                      <w:rFonts w:hint="eastAsia" w:ascii="宋体" w:hAnsi="宋体" w:cs="宋体"/>
                      <w:color w:val="000000"/>
                      <w:szCs w:val="21"/>
                    </w:rPr>
                    <w:t>符合</w:t>
                  </w:r>
                </w:p>
              </w:tc>
            </w:tr>
            <w:tr w14:paraId="3515C3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7" w:type="pct"/>
                  <w:vAlign w:val="center"/>
                </w:tcPr>
                <w:p w14:paraId="7A26818E">
                  <w:pPr>
                    <w:widowControl/>
                    <w:jc w:val="center"/>
                    <w:rPr>
                      <w:rFonts w:hint="eastAsia" w:ascii="宋体" w:hAnsi="宋体" w:cs="宋体"/>
                      <w:color w:val="000000"/>
                      <w:szCs w:val="21"/>
                    </w:rPr>
                  </w:pPr>
                  <w:r>
                    <w:rPr>
                      <w:rFonts w:hint="eastAsia" w:ascii="宋体" w:hAnsi="宋体" w:cs="宋体"/>
                      <w:color w:val="000000"/>
                      <w:szCs w:val="21"/>
                    </w:rPr>
                    <w:t>4</w:t>
                  </w:r>
                </w:p>
              </w:tc>
              <w:tc>
                <w:tcPr>
                  <w:tcW w:w="377" w:type="pct"/>
                  <w:vMerge w:val="continue"/>
                  <w:vAlign w:val="center"/>
                </w:tcPr>
                <w:p w14:paraId="16AEE785">
                  <w:pPr>
                    <w:widowControl/>
                    <w:jc w:val="center"/>
                    <w:rPr>
                      <w:rFonts w:hint="eastAsia" w:ascii="宋体" w:hAnsi="宋体" w:cs="宋体"/>
                      <w:color w:val="000000"/>
                      <w:szCs w:val="21"/>
                    </w:rPr>
                  </w:pPr>
                </w:p>
              </w:tc>
              <w:tc>
                <w:tcPr>
                  <w:tcW w:w="2645" w:type="pct"/>
                  <w:vAlign w:val="center"/>
                </w:tcPr>
                <w:p w14:paraId="505DADB4">
                  <w:pPr>
                    <w:widowControl/>
                    <w:jc w:val="center"/>
                    <w:rPr>
                      <w:rFonts w:hint="eastAsia" w:ascii="宋体" w:hAnsi="宋体" w:cs="宋体"/>
                      <w:color w:val="000000"/>
                      <w:szCs w:val="21"/>
                    </w:rPr>
                  </w:pPr>
                  <w:r>
                    <w:rPr>
                      <w:rFonts w:hint="eastAsia" w:ascii="宋体" w:hAnsi="宋体" w:cs="宋体"/>
                      <w:color w:val="000000"/>
                      <w:szCs w:val="21"/>
                    </w:rPr>
                    <w:t>国家对长江流域河湖岸线实施特殊管制。国家长江流域协调机制统筹协调 国务院自然资源、水行政、生态环境、住房和城乡建设、农业农村、交通运输、林业和草原等部门和长江流域省级人民政府划定河湖岸线保护范围，制定河湖岸线保护规划，严格控制岸 线开发建设，促进岸线合理高效利用。禁止在长江干支流岸线一公里范围内新建、扩建化工和化工项目。禁止在长江干流岸线三公里范围内和重要支流岸线一公里范围内新建、改建、扩建尾矿库；但是以提升安全、 生态环境保护水平为目的的改建除外。</w:t>
                  </w:r>
                </w:p>
              </w:tc>
              <w:tc>
                <w:tcPr>
                  <w:tcW w:w="965" w:type="pct"/>
                  <w:vAlign w:val="center"/>
                </w:tcPr>
                <w:p w14:paraId="456FBA31">
                  <w:pPr>
                    <w:widowControl/>
                    <w:jc w:val="center"/>
                    <w:rPr>
                      <w:rFonts w:hint="eastAsia" w:ascii="宋体" w:hAnsi="宋体" w:cs="宋体"/>
                      <w:color w:val="000000"/>
                      <w:szCs w:val="21"/>
                    </w:rPr>
                  </w:pPr>
                  <w:r>
                    <w:rPr>
                      <w:rFonts w:hint="eastAsia" w:ascii="宋体" w:hAnsi="宋体" w:cs="宋体"/>
                      <w:color w:val="000000"/>
                      <w:szCs w:val="21"/>
                    </w:rPr>
                    <w:t>本项目为机动车燃油零售项目，不涉及化工、尾矿库建设</w:t>
                  </w:r>
                </w:p>
              </w:tc>
              <w:tc>
                <w:tcPr>
                  <w:tcW w:w="594" w:type="pct"/>
                  <w:vAlign w:val="center"/>
                </w:tcPr>
                <w:p w14:paraId="1E704C26">
                  <w:pPr>
                    <w:widowControl/>
                    <w:jc w:val="center"/>
                    <w:rPr>
                      <w:rFonts w:hint="eastAsia" w:ascii="宋体" w:hAnsi="宋体" w:cs="宋体"/>
                      <w:color w:val="000000"/>
                      <w:szCs w:val="21"/>
                    </w:rPr>
                  </w:pPr>
                  <w:r>
                    <w:rPr>
                      <w:rFonts w:hint="eastAsia" w:ascii="宋体" w:hAnsi="宋体" w:cs="宋体"/>
                      <w:color w:val="000000"/>
                      <w:szCs w:val="21"/>
                    </w:rPr>
                    <w:t>符合</w:t>
                  </w:r>
                </w:p>
              </w:tc>
            </w:tr>
            <w:tr w14:paraId="24C036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7" w:type="pct"/>
                  <w:vAlign w:val="center"/>
                </w:tcPr>
                <w:p w14:paraId="12ECCB09">
                  <w:pPr>
                    <w:widowControl/>
                    <w:jc w:val="center"/>
                    <w:rPr>
                      <w:rFonts w:hint="eastAsia" w:ascii="宋体" w:hAnsi="宋体" w:cs="宋体"/>
                      <w:color w:val="000000"/>
                      <w:szCs w:val="21"/>
                    </w:rPr>
                  </w:pPr>
                  <w:r>
                    <w:rPr>
                      <w:rFonts w:hint="eastAsia" w:ascii="宋体" w:hAnsi="宋体" w:cs="宋体"/>
                      <w:color w:val="000000"/>
                      <w:szCs w:val="21"/>
                    </w:rPr>
                    <w:t>5</w:t>
                  </w:r>
                </w:p>
              </w:tc>
              <w:tc>
                <w:tcPr>
                  <w:tcW w:w="377" w:type="pct"/>
                  <w:vMerge w:val="restart"/>
                  <w:vAlign w:val="center"/>
                </w:tcPr>
                <w:p w14:paraId="1895298A">
                  <w:pPr>
                    <w:widowControl/>
                    <w:jc w:val="center"/>
                    <w:rPr>
                      <w:rFonts w:hint="eastAsia" w:ascii="宋体" w:hAnsi="宋体" w:cs="宋体"/>
                      <w:color w:val="000000"/>
                      <w:szCs w:val="21"/>
                    </w:rPr>
                  </w:pPr>
                  <w:r>
                    <w:rPr>
                      <w:rFonts w:hint="eastAsia" w:ascii="宋体" w:hAnsi="宋体" w:cs="宋体"/>
                      <w:color w:val="000000"/>
                      <w:szCs w:val="21"/>
                    </w:rPr>
                    <w:t>水污染防治</w:t>
                  </w:r>
                </w:p>
              </w:tc>
              <w:tc>
                <w:tcPr>
                  <w:tcW w:w="2645" w:type="pct"/>
                  <w:vAlign w:val="center"/>
                </w:tcPr>
                <w:p w14:paraId="673636F9">
                  <w:pPr>
                    <w:widowControl/>
                    <w:jc w:val="center"/>
                    <w:rPr>
                      <w:rFonts w:hint="eastAsia" w:ascii="宋体" w:hAnsi="宋体" w:cs="宋体"/>
                      <w:color w:val="000000"/>
                      <w:szCs w:val="21"/>
                    </w:rPr>
                  </w:pPr>
                  <w:r>
                    <w:rPr>
                      <w:rFonts w:hint="eastAsia" w:ascii="宋体" w:hAnsi="宋体" w:cs="宋体"/>
                      <w:color w:val="000000"/>
                      <w:szCs w:val="21"/>
                    </w:rPr>
                    <w:t>长江流域省级人民政府制定本行政区域的总磷污染控制方案，并组织实施。对磷矿、磷肥生产集中的长江干支流，有关省级人民政府应当制定更加严格的总磷排放管控要求，有效控制总磷排放总量。磷矿开采加工、磷肥和含磷农药制造等企业，应当按照排污许可要求，采取有效措施控制总磷排放浓度和排放总量；对排污口和周边环境进行总磷监测，依法公开监测信息。</w:t>
                  </w:r>
                </w:p>
              </w:tc>
              <w:tc>
                <w:tcPr>
                  <w:tcW w:w="965" w:type="pct"/>
                  <w:vAlign w:val="center"/>
                </w:tcPr>
                <w:p w14:paraId="783B4F60">
                  <w:pPr>
                    <w:widowControl/>
                    <w:jc w:val="center"/>
                    <w:rPr>
                      <w:rFonts w:hint="eastAsia" w:ascii="宋体" w:hAnsi="宋体" w:cs="宋体"/>
                      <w:color w:val="000000"/>
                      <w:szCs w:val="21"/>
                    </w:rPr>
                  </w:pPr>
                  <w:r>
                    <w:rPr>
                      <w:rFonts w:hint="eastAsia" w:ascii="宋体" w:hAnsi="宋体" w:cs="宋体"/>
                      <w:color w:val="000000"/>
                      <w:szCs w:val="21"/>
                    </w:rPr>
                    <w:t>本项目为机动车燃油零售项目，不涉及磷矿开采加工、磷肥和含磷农药制造等活动，故不设置总磷排放总量指标</w:t>
                  </w:r>
                </w:p>
              </w:tc>
              <w:tc>
                <w:tcPr>
                  <w:tcW w:w="594" w:type="pct"/>
                  <w:vAlign w:val="center"/>
                </w:tcPr>
                <w:p w14:paraId="36CA0CA4">
                  <w:pPr>
                    <w:widowControl/>
                    <w:jc w:val="center"/>
                    <w:rPr>
                      <w:rFonts w:hint="eastAsia" w:ascii="宋体" w:hAnsi="宋体" w:cs="宋体"/>
                      <w:color w:val="000000"/>
                      <w:szCs w:val="21"/>
                    </w:rPr>
                  </w:pPr>
                  <w:r>
                    <w:rPr>
                      <w:rFonts w:hint="eastAsia" w:ascii="宋体" w:hAnsi="宋体" w:cs="宋体"/>
                      <w:color w:val="000000"/>
                      <w:szCs w:val="21"/>
                    </w:rPr>
                    <w:t>符合</w:t>
                  </w:r>
                </w:p>
              </w:tc>
            </w:tr>
            <w:tr w14:paraId="52217A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7" w:type="pct"/>
                  <w:vAlign w:val="center"/>
                </w:tcPr>
                <w:p w14:paraId="5C76C1A8">
                  <w:pPr>
                    <w:widowControl/>
                    <w:jc w:val="center"/>
                    <w:rPr>
                      <w:rFonts w:hint="eastAsia" w:ascii="宋体" w:hAnsi="宋体" w:cs="宋体"/>
                      <w:color w:val="000000"/>
                      <w:szCs w:val="21"/>
                    </w:rPr>
                  </w:pPr>
                  <w:r>
                    <w:rPr>
                      <w:rFonts w:hint="eastAsia" w:ascii="宋体" w:hAnsi="宋体" w:cs="宋体"/>
                      <w:color w:val="000000"/>
                      <w:szCs w:val="21"/>
                    </w:rPr>
                    <w:t>6</w:t>
                  </w:r>
                </w:p>
              </w:tc>
              <w:tc>
                <w:tcPr>
                  <w:tcW w:w="377" w:type="pct"/>
                  <w:vMerge w:val="continue"/>
                  <w:vAlign w:val="center"/>
                </w:tcPr>
                <w:p w14:paraId="326113C0">
                  <w:pPr>
                    <w:widowControl/>
                    <w:jc w:val="center"/>
                    <w:rPr>
                      <w:rFonts w:hint="eastAsia" w:ascii="宋体" w:hAnsi="宋体" w:cs="宋体"/>
                      <w:color w:val="000000"/>
                      <w:szCs w:val="21"/>
                    </w:rPr>
                  </w:pPr>
                </w:p>
              </w:tc>
              <w:tc>
                <w:tcPr>
                  <w:tcW w:w="2645" w:type="pct"/>
                  <w:vAlign w:val="center"/>
                </w:tcPr>
                <w:p w14:paraId="1E97B443">
                  <w:pPr>
                    <w:widowControl/>
                    <w:jc w:val="center"/>
                    <w:rPr>
                      <w:rFonts w:hint="eastAsia" w:ascii="宋体" w:hAnsi="宋体" w:cs="宋体"/>
                      <w:color w:val="000000"/>
                      <w:szCs w:val="21"/>
                    </w:rPr>
                  </w:pPr>
                  <w:r>
                    <w:rPr>
                      <w:rFonts w:hint="eastAsia" w:ascii="宋体" w:hAnsi="宋体" w:cs="宋体"/>
                      <w:color w:val="000000"/>
                      <w:szCs w:val="21"/>
                    </w:rPr>
                    <w:t>长江流域县级以上地方人民政府应当统筹长江流域城乡污水集中处理设施及配套管网建设，并保障其正常运行，提高城乡污水收集处理能力。长江流域县级以上地方人民政府应当组织对本行政区域的江河、湖泊排污口开展排查整治，明确责任主体，实施分类管理。在长江流域江河、湖泊新设、改设或者扩大排污口，应当按照国家有关规定报经有管辖权的生态环境主管部门或者长江流域生态环境监督管理机构同意。对未达到水质目标的水功能区，除污水集中处理设施排污口外，应当严格控制新设、改设或者扩大排污口。</w:t>
                  </w:r>
                </w:p>
              </w:tc>
              <w:tc>
                <w:tcPr>
                  <w:tcW w:w="965" w:type="pct"/>
                  <w:vAlign w:val="center"/>
                </w:tcPr>
                <w:p w14:paraId="78E62372">
                  <w:pPr>
                    <w:widowControl/>
                    <w:jc w:val="center"/>
                    <w:rPr>
                      <w:rFonts w:hint="eastAsia" w:ascii="宋体" w:hAnsi="宋体" w:cs="宋体"/>
                      <w:szCs w:val="21"/>
                    </w:rPr>
                  </w:pPr>
                  <w:r>
                    <w:rPr>
                      <w:rFonts w:hint="eastAsia" w:ascii="宋体" w:hAnsi="宋体" w:cs="宋体"/>
                      <w:szCs w:val="21"/>
                    </w:rPr>
                    <w:t>本项目生活废水、场地冲洗废水经处理后排入园区管网</w:t>
                  </w:r>
                </w:p>
              </w:tc>
              <w:tc>
                <w:tcPr>
                  <w:tcW w:w="594" w:type="pct"/>
                  <w:vAlign w:val="center"/>
                </w:tcPr>
                <w:p w14:paraId="792535D5">
                  <w:pPr>
                    <w:widowControl/>
                    <w:jc w:val="center"/>
                    <w:rPr>
                      <w:rFonts w:hint="eastAsia" w:ascii="宋体" w:hAnsi="宋体" w:cs="宋体"/>
                      <w:szCs w:val="21"/>
                    </w:rPr>
                  </w:pPr>
                  <w:r>
                    <w:rPr>
                      <w:rFonts w:hint="eastAsia" w:ascii="宋体" w:hAnsi="宋体" w:cs="宋体"/>
                      <w:szCs w:val="21"/>
                    </w:rPr>
                    <w:t>符合</w:t>
                  </w:r>
                </w:p>
              </w:tc>
            </w:tr>
            <w:tr w14:paraId="1F274E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7" w:type="pct"/>
                  <w:vAlign w:val="center"/>
                </w:tcPr>
                <w:p w14:paraId="243CC2D2">
                  <w:pPr>
                    <w:widowControl/>
                    <w:jc w:val="center"/>
                    <w:rPr>
                      <w:rFonts w:hint="eastAsia" w:ascii="宋体" w:hAnsi="宋体" w:cs="宋体"/>
                      <w:color w:val="000000"/>
                      <w:szCs w:val="21"/>
                    </w:rPr>
                  </w:pPr>
                  <w:r>
                    <w:rPr>
                      <w:rFonts w:hint="eastAsia" w:ascii="宋体" w:hAnsi="宋体" w:cs="宋体"/>
                      <w:color w:val="000000"/>
                      <w:szCs w:val="21"/>
                    </w:rPr>
                    <w:t>7</w:t>
                  </w:r>
                </w:p>
              </w:tc>
              <w:tc>
                <w:tcPr>
                  <w:tcW w:w="377" w:type="pct"/>
                  <w:vMerge w:val="continue"/>
                  <w:vAlign w:val="center"/>
                </w:tcPr>
                <w:p w14:paraId="01A571E4">
                  <w:pPr>
                    <w:widowControl/>
                    <w:jc w:val="center"/>
                    <w:rPr>
                      <w:rFonts w:hint="eastAsia" w:ascii="宋体" w:hAnsi="宋体" w:cs="宋体"/>
                      <w:color w:val="000000"/>
                      <w:szCs w:val="21"/>
                    </w:rPr>
                  </w:pPr>
                </w:p>
              </w:tc>
              <w:tc>
                <w:tcPr>
                  <w:tcW w:w="2645" w:type="pct"/>
                  <w:vAlign w:val="center"/>
                </w:tcPr>
                <w:p w14:paraId="7BBE9A44">
                  <w:pPr>
                    <w:widowControl/>
                    <w:jc w:val="center"/>
                    <w:rPr>
                      <w:rFonts w:hint="eastAsia" w:ascii="宋体" w:hAnsi="宋体" w:cs="宋体"/>
                      <w:color w:val="000000"/>
                      <w:szCs w:val="21"/>
                    </w:rPr>
                  </w:pPr>
                  <w:r>
                    <w:rPr>
                      <w:rFonts w:hint="eastAsia" w:ascii="宋体" w:hAnsi="宋体" w:cs="宋体"/>
                      <w:color w:val="000000"/>
                      <w:szCs w:val="21"/>
                    </w:rPr>
                    <w:t>禁止在长江流域河湖管理范围内倾倒、填埋、堆放、弃置、处理固体废物。长江流域县级以上地方人民政府应当加强对固体废物非法转移和倾倒的联防联控。</w:t>
                  </w:r>
                </w:p>
              </w:tc>
              <w:tc>
                <w:tcPr>
                  <w:tcW w:w="965" w:type="pct"/>
                  <w:vAlign w:val="center"/>
                </w:tcPr>
                <w:p w14:paraId="4C272445">
                  <w:pPr>
                    <w:widowControl/>
                    <w:jc w:val="center"/>
                    <w:rPr>
                      <w:rFonts w:ascii="宋体" w:hAnsi="宋体" w:cs="宋体"/>
                      <w:color w:val="000000"/>
                      <w:szCs w:val="21"/>
                    </w:rPr>
                  </w:pPr>
                  <w:r>
                    <w:rPr>
                      <w:rFonts w:hint="eastAsia" w:ascii="宋体" w:hAnsi="宋体" w:cs="宋体"/>
                      <w:color w:val="000000"/>
                      <w:szCs w:val="21"/>
                    </w:rPr>
                    <w:t>本项目固废去向明确，不会对环境造成二次污染</w:t>
                  </w:r>
                </w:p>
              </w:tc>
              <w:tc>
                <w:tcPr>
                  <w:tcW w:w="594" w:type="pct"/>
                  <w:vAlign w:val="center"/>
                </w:tcPr>
                <w:p w14:paraId="40786F7A">
                  <w:pPr>
                    <w:widowControl/>
                    <w:jc w:val="center"/>
                    <w:rPr>
                      <w:rFonts w:hint="eastAsia" w:ascii="宋体" w:hAnsi="宋体" w:cs="宋体"/>
                      <w:color w:val="000000"/>
                      <w:szCs w:val="21"/>
                    </w:rPr>
                  </w:pPr>
                  <w:r>
                    <w:rPr>
                      <w:rFonts w:hint="eastAsia" w:ascii="宋体" w:hAnsi="宋体" w:cs="宋体"/>
                      <w:color w:val="000000"/>
                      <w:szCs w:val="21"/>
                    </w:rPr>
                    <w:t>符合</w:t>
                  </w:r>
                </w:p>
              </w:tc>
            </w:tr>
          </w:tbl>
          <w:p w14:paraId="00825B46">
            <w:pPr>
              <w:pStyle w:val="19"/>
              <w:adjustRightInd w:val="0"/>
              <w:spacing w:after="0" w:line="360" w:lineRule="auto"/>
              <w:ind w:firstLine="480" w:firstLineChars="200"/>
              <w:rPr>
                <w:rFonts w:hint="eastAsia"/>
                <w:sz w:val="24"/>
              </w:rPr>
            </w:pPr>
            <w:r>
              <w:rPr>
                <w:rFonts w:hint="eastAsia"/>
                <w:sz w:val="24"/>
              </w:rPr>
              <w:t>根据表1-5，项目建设符合《中华人民共和国长江保护法》相关要求。</w:t>
            </w:r>
          </w:p>
          <w:p w14:paraId="619B9FE5">
            <w:pPr>
              <w:pStyle w:val="46"/>
              <w:ind w:firstLine="0" w:firstLineChars="0"/>
              <w:jc w:val="left"/>
              <w:rPr>
                <w:b/>
                <w:bCs/>
              </w:rPr>
            </w:pPr>
            <w:r>
              <w:rPr>
                <w:rFonts w:hint="eastAsia"/>
                <w:b/>
                <w:bCs/>
              </w:rPr>
              <w:t>1.11项目选址合理性分析</w:t>
            </w:r>
          </w:p>
          <w:p w14:paraId="6A6DC52F">
            <w:pPr>
              <w:pStyle w:val="46"/>
              <w:ind w:firstLine="454" w:firstLineChars="0"/>
              <w:jc w:val="left"/>
              <w:rPr>
                <w:rFonts w:hint="eastAsia"/>
                <w:b/>
                <w:bCs/>
              </w:rPr>
            </w:pPr>
            <w:r>
              <w:rPr>
                <w:rFonts w:hint="eastAsia"/>
                <w:b/>
                <w:bCs/>
              </w:rPr>
              <w:t>（1）外环境相容性分析</w:t>
            </w:r>
          </w:p>
          <w:p w14:paraId="2EBFC24E">
            <w:pPr>
              <w:pStyle w:val="46"/>
              <w:ind w:firstLine="454" w:firstLineChars="0"/>
              <w:jc w:val="left"/>
              <w:rPr>
                <w:rFonts w:hint="eastAsia"/>
              </w:rPr>
            </w:pPr>
            <w:r>
              <w:rPr>
                <w:rFonts w:hint="eastAsia"/>
              </w:rPr>
              <w:t>建设项目所在地位于涪陵区李渡聚业大道，距涪陵城区13.6km，项目南侧紧邻聚业大道，</w:t>
            </w:r>
            <w:r>
              <w:rPr>
                <w:rFonts w:hint="eastAsia"/>
                <w:color w:val="000000"/>
              </w:rPr>
              <w:t>北侧121m处为太极集团，</w:t>
            </w:r>
            <w:r>
              <w:rPr>
                <w:rFonts w:hint="eastAsia"/>
              </w:rPr>
              <w:t>东北侧95m处为银滩路，</w:t>
            </w:r>
            <w:r>
              <w:rPr>
                <w:rFonts w:hint="eastAsia"/>
                <w:color w:val="000000"/>
              </w:rPr>
              <w:t>197m处是上桥河，</w:t>
            </w:r>
            <w:r>
              <w:rPr>
                <w:rFonts w:hint="eastAsia"/>
              </w:rPr>
              <w:t>其余四周均为荒地，周边无重要公共建筑物及人员密集场所，</w:t>
            </w:r>
            <w:r>
              <w:t>园区</w:t>
            </w:r>
            <w:r>
              <w:rPr>
                <w:rFonts w:hint="eastAsia"/>
              </w:rPr>
              <w:t>内</w:t>
            </w:r>
            <w:r>
              <w:t>交通便利，给排水、供电等各项基础配套措施完备</w:t>
            </w:r>
            <w:r>
              <w:rPr>
                <w:rFonts w:hint="eastAsia"/>
              </w:rPr>
              <w:t>。</w:t>
            </w:r>
          </w:p>
          <w:p w14:paraId="72348800">
            <w:pPr>
              <w:pStyle w:val="46"/>
              <w:ind w:firstLine="454" w:firstLineChars="0"/>
              <w:jc w:val="left"/>
            </w:pPr>
            <w:r>
              <w:rPr>
                <w:rFonts w:hint="eastAsia"/>
              </w:rPr>
              <w:t>建设单位运营期间对周边环境有影响的主要污染物为废气、废水、噪声，其中废气经过一次、二次油气回收系统处理后能够做到达标排放，废水生活污水、场地冲洗废水经处理后排至园区污水管网进入大耍坝污水处理厂进行深度处理最终排至长江，建设单位采用低噪声加油设备，运营过程中对周边环境影响较小。故项目建设与周边环境相容，选址合理。</w:t>
            </w:r>
          </w:p>
          <w:p w14:paraId="65B37C5C">
            <w:pPr>
              <w:pStyle w:val="46"/>
              <w:ind w:firstLine="454" w:firstLineChars="0"/>
              <w:jc w:val="left"/>
              <w:rPr>
                <w:b/>
                <w:bCs/>
              </w:rPr>
            </w:pPr>
            <w:r>
              <w:rPr>
                <w:rFonts w:hint="eastAsia"/>
                <w:b/>
                <w:bCs/>
              </w:rPr>
              <w:t>（2）</w:t>
            </w:r>
            <w:r>
              <w:rPr>
                <w:b/>
                <w:bCs/>
              </w:rPr>
              <w:t>与</w:t>
            </w:r>
            <w:r>
              <w:rPr>
                <w:rFonts w:hint="eastAsia"/>
                <w:b/>
                <w:bCs/>
              </w:rPr>
              <w:t>《汽车加油加气加氢站技术标准》（</w:t>
            </w:r>
            <w:r>
              <w:rPr>
                <w:b/>
                <w:bCs/>
              </w:rPr>
              <w:t>GB50156-2021</w:t>
            </w:r>
            <w:r>
              <w:rPr>
                <w:rFonts w:hint="eastAsia"/>
                <w:b/>
                <w:bCs/>
              </w:rPr>
              <w:t>）</w:t>
            </w:r>
            <w:r>
              <w:rPr>
                <w:b/>
                <w:bCs/>
              </w:rPr>
              <w:t>选址符合性分析</w:t>
            </w:r>
          </w:p>
          <w:p w14:paraId="6FBCBEF2">
            <w:pPr>
              <w:pStyle w:val="46"/>
              <w:ind w:firstLine="454" w:firstLineChars="0"/>
              <w:jc w:val="left"/>
            </w:pPr>
            <w:r>
              <w:t>结合本项目选址及建设方案，本项目选址与</w:t>
            </w:r>
            <w:r>
              <w:rPr>
                <w:rFonts w:hint="eastAsia"/>
              </w:rPr>
              <w:t>《汽车加油加气加氢站技术标准》（GB50156-2021）</w:t>
            </w:r>
            <w:r>
              <w:t>规定 4“站址选</w:t>
            </w:r>
            <w:r>
              <w:rPr>
                <w:rFonts w:hint="eastAsia"/>
              </w:rPr>
              <w:t>择</w:t>
            </w:r>
            <w:r>
              <w:t>” 的符合性分析如下所示：</w:t>
            </w:r>
          </w:p>
          <w:p w14:paraId="45E69D5B">
            <w:pPr>
              <w:pStyle w:val="68"/>
              <w:spacing w:line="240" w:lineRule="auto"/>
              <w:rPr>
                <w:rFonts w:ascii="黑体" w:hAnsi="黑体" w:eastAsia="黑体" w:cs="黑体"/>
                <w:b w:val="0"/>
                <w:bCs w:val="0"/>
              </w:rPr>
            </w:pPr>
            <w:r>
              <w:rPr>
                <w:rFonts w:ascii="黑体" w:hAnsi="黑体" w:eastAsia="黑体" w:cs="黑体"/>
                <w:b w:val="0"/>
                <w:bCs w:val="0"/>
              </w:rPr>
              <w:t xml:space="preserve">表1-6 </w:t>
            </w:r>
            <w:r>
              <w:rPr>
                <w:rFonts w:hint="eastAsia" w:ascii="黑体" w:hAnsi="黑体" w:eastAsia="黑体" w:cs="黑体"/>
                <w:b w:val="0"/>
                <w:bCs w:val="0"/>
              </w:rPr>
              <w:t xml:space="preserve"> </w:t>
            </w:r>
            <w:r>
              <w:rPr>
                <w:rFonts w:ascii="黑体" w:hAnsi="黑体" w:eastAsia="黑体" w:cs="黑体"/>
                <w:b w:val="0"/>
                <w:bCs w:val="0"/>
              </w:rPr>
              <w:t>选址与《</w:t>
            </w:r>
            <w:r>
              <w:rPr>
                <w:rFonts w:hint="eastAsia" w:ascii="黑体" w:hAnsi="黑体" w:eastAsia="黑体" w:cs="黑体"/>
                <w:b w:val="0"/>
                <w:bCs w:val="0"/>
              </w:rPr>
              <w:t>汽车加油加气加氢站技术标准</w:t>
            </w:r>
            <w:r>
              <w:rPr>
                <w:rFonts w:ascii="黑体" w:hAnsi="黑体" w:eastAsia="黑体" w:cs="黑体"/>
                <w:b w:val="0"/>
                <w:bCs w:val="0"/>
              </w:rPr>
              <w:t>》符合分析</w:t>
            </w:r>
          </w:p>
          <w:tbl>
            <w:tblPr>
              <w:tblStyle w:val="23"/>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73"/>
              <w:gridCol w:w="3230"/>
              <w:gridCol w:w="3119"/>
              <w:gridCol w:w="809"/>
            </w:tblGrid>
            <w:tr w14:paraId="2C6E7D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7" w:type="pct"/>
                  <w:vAlign w:val="center"/>
                </w:tcPr>
                <w:p w14:paraId="1D991B91">
                  <w:pPr>
                    <w:widowControl/>
                    <w:jc w:val="center"/>
                    <w:rPr>
                      <w:rFonts w:hint="eastAsia" w:ascii="宋体" w:hAnsi="宋体" w:cs="宋体"/>
                      <w:color w:val="000000"/>
                      <w:szCs w:val="21"/>
                    </w:rPr>
                  </w:pPr>
                  <w:r>
                    <w:rPr>
                      <w:rFonts w:hint="eastAsia" w:ascii="宋体" w:hAnsi="宋体" w:cs="宋体"/>
                      <w:color w:val="000000"/>
                      <w:szCs w:val="21"/>
                    </w:rPr>
                    <w:t>序号</w:t>
                  </w:r>
                </w:p>
              </w:tc>
              <w:tc>
                <w:tcPr>
                  <w:tcW w:w="2036" w:type="pct"/>
                  <w:vAlign w:val="center"/>
                </w:tcPr>
                <w:p w14:paraId="6443A172">
                  <w:pPr>
                    <w:widowControl/>
                    <w:jc w:val="center"/>
                    <w:rPr>
                      <w:rFonts w:ascii="宋体" w:hAnsi="宋体" w:cs="宋体"/>
                      <w:color w:val="000000"/>
                      <w:szCs w:val="21"/>
                    </w:rPr>
                  </w:pPr>
                  <w:r>
                    <w:rPr>
                      <w:rFonts w:hint="eastAsia" w:ascii="宋体" w:hAnsi="宋体" w:cs="宋体"/>
                      <w:color w:val="000000"/>
                      <w:szCs w:val="21"/>
                    </w:rPr>
                    <w:t>规划要求</w:t>
                  </w:r>
                </w:p>
              </w:tc>
              <w:tc>
                <w:tcPr>
                  <w:tcW w:w="1966" w:type="pct"/>
                  <w:vAlign w:val="center"/>
                </w:tcPr>
                <w:p w14:paraId="33A11A5A">
                  <w:pPr>
                    <w:widowControl/>
                    <w:jc w:val="center"/>
                    <w:rPr>
                      <w:rFonts w:ascii="宋体" w:hAnsi="宋体" w:cs="宋体"/>
                      <w:color w:val="000000"/>
                      <w:szCs w:val="21"/>
                    </w:rPr>
                  </w:pPr>
                  <w:r>
                    <w:rPr>
                      <w:rFonts w:hint="eastAsia" w:ascii="宋体" w:hAnsi="宋体" w:cs="宋体"/>
                      <w:color w:val="000000"/>
                      <w:szCs w:val="21"/>
                    </w:rPr>
                    <w:t>本项目情况</w:t>
                  </w:r>
                </w:p>
              </w:tc>
              <w:tc>
                <w:tcPr>
                  <w:tcW w:w="510" w:type="pct"/>
                  <w:vAlign w:val="center"/>
                </w:tcPr>
                <w:p w14:paraId="345DD95F">
                  <w:pPr>
                    <w:widowControl/>
                    <w:jc w:val="center"/>
                    <w:rPr>
                      <w:rFonts w:hint="eastAsia" w:ascii="宋体" w:hAnsi="宋体" w:cs="宋体"/>
                      <w:color w:val="000000"/>
                      <w:szCs w:val="21"/>
                    </w:rPr>
                  </w:pPr>
                  <w:r>
                    <w:rPr>
                      <w:rFonts w:hint="eastAsia" w:ascii="宋体" w:hAnsi="宋体" w:cs="宋体"/>
                      <w:color w:val="000000"/>
                      <w:szCs w:val="21"/>
                    </w:rPr>
                    <w:t>符合性</w:t>
                  </w:r>
                </w:p>
              </w:tc>
            </w:tr>
            <w:tr w14:paraId="7C2BB9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7" w:type="pct"/>
                  <w:vAlign w:val="center"/>
                </w:tcPr>
                <w:p w14:paraId="76FCEE3D">
                  <w:pPr>
                    <w:widowControl/>
                    <w:jc w:val="center"/>
                    <w:rPr>
                      <w:rFonts w:hint="eastAsia" w:ascii="宋体" w:hAnsi="宋体" w:cs="宋体"/>
                      <w:color w:val="000000"/>
                      <w:szCs w:val="21"/>
                    </w:rPr>
                  </w:pPr>
                  <w:r>
                    <w:rPr>
                      <w:rFonts w:hint="eastAsia" w:ascii="宋体" w:hAnsi="宋体" w:cs="宋体"/>
                      <w:color w:val="000000"/>
                      <w:szCs w:val="21"/>
                    </w:rPr>
                    <w:t>1</w:t>
                  </w:r>
                </w:p>
              </w:tc>
              <w:tc>
                <w:tcPr>
                  <w:tcW w:w="2036" w:type="pct"/>
                  <w:vAlign w:val="center"/>
                </w:tcPr>
                <w:p w14:paraId="0989CF47">
                  <w:pPr>
                    <w:widowControl/>
                    <w:jc w:val="center"/>
                    <w:rPr>
                      <w:rFonts w:hint="eastAsia" w:ascii="宋体" w:hAnsi="宋体" w:cs="宋体"/>
                      <w:color w:val="000000"/>
                      <w:szCs w:val="21"/>
                    </w:rPr>
                  </w:pPr>
                  <w:r>
                    <w:rPr>
                      <w:rFonts w:hint="eastAsia" w:ascii="宋体" w:hAnsi="宋体" w:cs="宋体"/>
                      <w:color w:val="000000"/>
                      <w:szCs w:val="21"/>
                    </w:rPr>
                    <w:t>汽车加油加气加油站的站址选择应符合有关规划、环境保护和防火安全的要求，并应选在交通便利、用户使用方便的地点。</w:t>
                  </w:r>
                </w:p>
              </w:tc>
              <w:tc>
                <w:tcPr>
                  <w:tcW w:w="1966" w:type="pct"/>
                  <w:vAlign w:val="center"/>
                </w:tcPr>
                <w:p w14:paraId="4C477A1F">
                  <w:pPr>
                    <w:widowControl/>
                    <w:jc w:val="center"/>
                    <w:rPr>
                      <w:rFonts w:hint="eastAsia" w:ascii="宋体" w:hAnsi="宋体" w:cs="宋体"/>
                      <w:color w:val="000000"/>
                      <w:szCs w:val="21"/>
                    </w:rPr>
                  </w:pPr>
                  <w:r>
                    <w:rPr>
                      <w:rFonts w:hint="eastAsia" w:ascii="宋体" w:hAnsi="宋体" w:cs="宋体"/>
                      <w:color w:val="000000"/>
                      <w:szCs w:val="21"/>
                    </w:rPr>
                    <w:t>项目站址位于重庆市涪陵区李渡工业园区双溪居委郑家湾FL2018-06-18号地块，根据建设单位提供的《建设用地规划许可证》（地字第500102201900541号），明确项目土地用途为商服用地（加油站），项目建设符合涪陵区总体规划；项目选址符合防火安全的要求；厂界南侧临近聚业大道，交通便利。</w:t>
                  </w:r>
                </w:p>
              </w:tc>
              <w:tc>
                <w:tcPr>
                  <w:tcW w:w="510" w:type="pct"/>
                  <w:vAlign w:val="center"/>
                </w:tcPr>
                <w:p w14:paraId="7D5CA23E">
                  <w:pPr>
                    <w:widowControl/>
                    <w:jc w:val="center"/>
                    <w:rPr>
                      <w:rFonts w:hint="eastAsia" w:ascii="宋体" w:hAnsi="宋体" w:cs="宋体"/>
                      <w:color w:val="000000"/>
                      <w:szCs w:val="21"/>
                    </w:rPr>
                  </w:pPr>
                  <w:r>
                    <w:rPr>
                      <w:rFonts w:hint="eastAsia" w:ascii="宋体" w:hAnsi="宋体" w:cs="宋体"/>
                      <w:color w:val="000000"/>
                      <w:szCs w:val="21"/>
                    </w:rPr>
                    <w:t>符合</w:t>
                  </w:r>
                </w:p>
              </w:tc>
            </w:tr>
            <w:tr w14:paraId="4DE455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7" w:type="pct"/>
                  <w:vAlign w:val="center"/>
                </w:tcPr>
                <w:p w14:paraId="2CC0BF4E">
                  <w:pPr>
                    <w:widowControl/>
                    <w:jc w:val="center"/>
                    <w:rPr>
                      <w:rFonts w:hint="eastAsia" w:ascii="宋体" w:hAnsi="宋体" w:cs="宋体"/>
                      <w:color w:val="000000"/>
                      <w:szCs w:val="21"/>
                    </w:rPr>
                  </w:pPr>
                  <w:r>
                    <w:rPr>
                      <w:rFonts w:hint="eastAsia" w:ascii="宋体" w:hAnsi="宋体" w:cs="宋体"/>
                      <w:color w:val="000000"/>
                      <w:szCs w:val="21"/>
                    </w:rPr>
                    <w:t>2</w:t>
                  </w:r>
                </w:p>
              </w:tc>
              <w:tc>
                <w:tcPr>
                  <w:tcW w:w="2036" w:type="pct"/>
                  <w:vAlign w:val="center"/>
                </w:tcPr>
                <w:p w14:paraId="24F94F32">
                  <w:pPr>
                    <w:widowControl/>
                    <w:jc w:val="center"/>
                    <w:rPr>
                      <w:rFonts w:hint="eastAsia" w:ascii="宋体" w:hAnsi="宋体" w:cs="宋体"/>
                      <w:color w:val="000000"/>
                      <w:szCs w:val="21"/>
                    </w:rPr>
                  </w:pPr>
                  <w:r>
                    <w:rPr>
                      <w:rFonts w:hint="eastAsia" w:ascii="宋体" w:hAnsi="宋体" w:cs="宋体"/>
                      <w:color w:val="000000"/>
                      <w:szCs w:val="21"/>
                    </w:rPr>
                    <w:t>在城市中心区不应建一级汽车加油加先加领站、CNG 加气母站。</w:t>
                  </w:r>
                </w:p>
              </w:tc>
              <w:tc>
                <w:tcPr>
                  <w:tcW w:w="1966" w:type="pct"/>
                  <w:vAlign w:val="center"/>
                </w:tcPr>
                <w:p w14:paraId="7D40104F">
                  <w:pPr>
                    <w:widowControl/>
                    <w:jc w:val="center"/>
                    <w:rPr>
                      <w:rFonts w:ascii="宋体" w:hAnsi="宋体" w:cs="宋体"/>
                      <w:color w:val="000000"/>
                      <w:szCs w:val="21"/>
                    </w:rPr>
                  </w:pPr>
                  <w:r>
                    <w:rPr>
                      <w:rFonts w:hint="eastAsia" w:ascii="宋体" w:hAnsi="宋体" w:cs="宋体"/>
                      <w:color w:val="000000"/>
                      <w:szCs w:val="21"/>
                    </w:rPr>
                    <w:t>本项目属于三级加油站</w:t>
                  </w:r>
                </w:p>
              </w:tc>
              <w:tc>
                <w:tcPr>
                  <w:tcW w:w="510" w:type="pct"/>
                  <w:vAlign w:val="center"/>
                </w:tcPr>
                <w:p w14:paraId="4D4D61AD">
                  <w:pPr>
                    <w:widowControl/>
                    <w:jc w:val="center"/>
                    <w:rPr>
                      <w:rFonts w:hint="eastAsia" w:ascii="宋体" w:hAnsi="宋体" w:cs="宋体"/>
                      <w:color w:val="000000"/>
                      <w:szCs w:val="21"/>
                    </w:rPr>
                  </w:pPr>
                  <w:r>
                    <w:rPr>
                      <w:rFonts w:hint="eastAsia" w:ascii="宋体" w:hAnsi="宋体" w:cs="宋体"/>
                      <w:color w:val="000000"/>
                      <w:szCs w:val="21"/>
                    </w:rPr>
                    <w:t>符合</w:t>
                  </w:r>
                </w:p>
              </w:tc>
            </w:tr>
            <w:tr w14:paraId="64B0FC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7" w:type="pct"/>
                  <w:vAlign w:val="center"/>
                </w:tcPr>
                <w:p w14:paraId="3AFEC3D1">
                  <w:pPr>
                    <w:widowControl/>
                    <w:jc w:val="center"/>
                    <w:rPr>
                      <w:rFonts w:hint="eastAsia" w:ascii="宋体" w:hAnsi="宋体" w:cs="宋体"/>
                      <w:color w:val="000000"/>
                      <w:szCs w:val="21"/>
                    </w:rPr>
                  </w:pPr>
                  <w:r>
                    <w:rPr>
                      <w:rFonts w:hint="eastAsia" w:ascii="宋体" w:hAnsi="宋体" w:cs="宋体"/>
                      <w:color w:val="000000"/>
                      <w:szCs w:val="21"/>
                    </w:rPr>
                    <w:t>3</w:t>
                  </w:r>
                </w:p>
              </w:tc>
              <w:tc>
                <w:tcPr>
                  <w:tcW w:w="2036" w:type="pct"/>
                  <w:vAlign w:val="center"/>
                </w:tcPr>
                <w:p w14:paraId="29B2A581">
                  <w:pPr>
                    <w:widowControl/>
                    <w:jc w:val="center"/>
                    <w:rPr>
                      <w:rFonts w:hint="eastAsia" w:ascii="宋体" w:hAnsi="宋体" w:cs="宋体"/>
                      <w:color w:val="000000"/>
                      <w:szCs w:val="21"/>
                    </w:rPr>
                  </w:pPr>
                  <w:r>
                    <w:rPr>
                      <w:rFonts w:hint="eastAsia" w:ascii="宋体" w:hAnsi="宋体" w:cs="宋体"/>
                      <w:color w:val="000000"/>
                      <w:szCs w:val="21"/>
                    </w:rPr>
                    <w:t>城市建成区内的汽车加油加气加氢站宜靠近城市道路,但不宜选在城市干道的交叉路口附近</w:t>
                  </w:r>
                </w:p>
              </w:tc>
              <w:tc>
                <w:tcPr>
                  <w:tcW w:w="1966" w:type="pct"/>
                  <w:vAlign w:val="center"/>
                </w:tcPr>
                <w:p w14:paraId="5C294726">
                  <w:pPr>
                    <w:widowControl/>
                    <w:jc w:val="center"/>
                    <w:rPr>
                      <w:rFonts w:hint="eastAsia" w:ascii="宋体" w:hAnsi="宋体" w:cs="宋体"/>
                      <w:color w:val="000000"/>
                      <w:szCs w:val="21"/>
                    </w:rPr>
                  </w:pPr>
                  <w:r>
                    <w:rPr>
                      <w:rFonts w:hint="eastAsia" w:ascii="宋体" w:hAnsi="宋体" w:cs="宋体"/>
                      <w:color w:val="000000"/>
                      <w:szCs w:val="21"/>
                    </w:rPr>
                    <w:t>项目用地不在城市干道的交叉路口附近，南侧紧邻聚业大道，交通便利</w:t>
                  </w:r>
                </w:p>
              </w:tc>
              <w:tc>
                <w:tcPr>
                  <w:tcW w:w="510" w:type="pct"/>
                  <w:vAlign w:val="center"/>
                </w:tcPr>
                <w:p w14:paraId="30E225C9">
                  <w:pPr>
                    <w:widowControl/>
                    <w:jc w:val="center"/>
                    <w:rPr>
                      <w:rFonts w:hint="eastAsia" w:ascii="宋体" w:hAnsi="宋体" w:cs="宋体"/>
                      <w:color w:val="000000"/>
                      <w:szCs w:val="21"/>
                    </w:rPr>
                  </w:pPr>
                  <w:r>
                    <w:rPr>
                      <w:rFonts w:hint="eastAsia" w:ascii="宋体" w:hAnsi="宋体" w:cs="宋体"/>
                      <w:color w:val="000000"/>
                      <w:szCs w:val="21"/>
                    </w:rPr>
                    <w:t>符合</w:t>
                  </w:r>
                </w:p>
              </w:tc>
            </w:tr>
            <w:tr w14:paraId="158C08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7" w:type="pct"/>
                  <w:vAlign w:val="center"/>
                </w:tcPr>
                <w:p w14:paraId="52BEE1CC">
                  <w:pPr>
                    <w:widowControl/>
                    <w:jc w:val="center"/>
                    <w:rPr>
                      <w:rFonts w:hint="eastAsia" w:ascii="宋体" w:hAnsi="宋体" w:cs="宋体"/>
                      <w:color w:val="000000"/>
                      <w:szCs w:val="21"/>
                    </w:rPr>
                  </w:pPr>
                  <w:r>
                    <w:rPr>
                      <w:rFonts w:hint="eastAsia" w:ascii="宋体" w:hAnsi="宋体" w:cs="宋体"/>
                      <w:color w:val="000000"/>
                      <w:szCs w:val="21"/>
                    </w:rPr>
                    <w:t>4</w:t>
                  </w:r>
                </w:p>
              </w:tc>
              <w:tc>
                <w:tcPr>
                  <w:tcW w:w="2036" w:type="pct"/>
                  <w:vAlign w:val="center"/>
                </w:tcPr>
                <w:p w14:paraId="7CBC37DF">
                  <w:pPr>
                    <w:widowControl/>
                    <w:jc w:val="center"/>
                    <w:rPr>
                      <w:rFonts w:hint="eastAsia" w:ascii="宋体" w:hAnsi="宋体" w:cs="宋体"/>
                      <w:color w:val="000000"/>
                      <w:szCs w:val="21"/>
                    </w:rPr>
                  </w:pPr>
                  <w:r>
                    <w:rPr>
                      <w:rFonts w:hint="eastAsia" w:ascii="宋体" w:hAnsi="宋体" w:cs="宋体"/>
                      <w:color w:val="000000"/>
                      <w:szCs w:val="21"/>
                    </w:rPr>
                    <w:t>加油站、各类合建站中的汽油、柴油工艺设备与站外建（构）筑物的安全距离的规定</w:t>
                  </w:r>
                </w:p>
              </w:tc>
              <w:tc>
                <w:tcPr>
                  <w:tcW w:w="1966" w:type="pct"/>
                  <w:vAlign w:val="center"/>
                </w:tcPr>
                <w:p w14:paraId="759BCE5E">
                  <w:pPr>
                    <w:widowControl/>
                    <w:jc w:val="center"/>
                    <w:rPr>
                      <w:rFonts w:hint="eastAsia" w:ascii="宋体" w:hAnsi="宋体" w:cs="宋体"/>
                      <w:color w:val="000000"/>
                      <w:szCs w:val="21"/>
                    </w:rPr>
                  </w:pPr>
                  <w:r>
                    <w:rPr>
                      <w:rFonts w:hint="eastAsia" w:ascii="宋体" w:hAnsi="宋体" w:cs="宋体"/>
                      <w:color w:val="000000"/>
                      <w:szCs w:val="21"/>
                    </w:rPr>
                    <w:t>本项目工艺设备与站外建（构）筑物安全间距与站址选择符合《汽车加油加气加氢站技术标准》（GB50156-2021）要求</w:t>
                  </w:r>
                </w:p>
              </w:tc>
              <w:tc>
                <w:tcPr>
                  <w:tcW w:w="510" w:type="pct"/>
                  <w:vAlign w:val="center"/>
                </w:tcPr>
                <w:p w14:paraId="06AC4118">
                  <w:pPr>
                    <w:widowControl/>
                    <w:jc w:val="center"/>
                    <w:rPr>
                      <w:rFonts w:hint="eastAsia" w:ascii="宋体" w:hAnsi="宋体" w:cs="宋体"/>
                      <w:color w:val="000000"/>
                      <w:szCs w:val="21"/>
                    </w:rPr>
                  </w:pPr>
                  <w:r>
                    <w:rPr>
                      <w:rFonts w:hint="eastAsia" w:ascii="宋体" w:hAnsi="宋体" w:cs="宋体"/>
                      <w:color w:val="000000"/>
                      <w:szCs w:val="21"/>
                    </w:rPr>
                    <w:t>符合</w:t>
                  </w:r>
                </w:p>
              </w:tc>
            </w:tr>
          </w:tbl>
          <w:p w14:paraId="3E3605E1">
            <w:pPr>
              <w:pStyle w:val="19"/>
              <w:adjustRightInd w:val="0"/>
              <w:spacing w:after="0" w:line="360" w:lineRule="auto"/>
              <w:ind w:firstLine="480" w:firstLineChars="200"/>
              <w:rPr>
                <w:rFonts w:hint="eastAsia"/>
                <w:sz w:val="24"/>
              </w:rPr>
            </w:pPr>
            <w:r>
              <w:rPr>
                <w:rFonts w:hint="eastAsia"/>
                <w:sz w:val="24"/>
              </w:rPr>
              <w:t>根据表1-6，本项目选址符合《汽车加油加气加氢站技术标准》（GB50156-2021）中“4、站址选择”的各项要求。</w:t>
            </w:r>
          </w:p>
          <w:p w14:paraId="41056FB4">
            <w:pPr>
              <w:wordWrap w:val="0"/>
              <w:adjustRightInd w:val="0"/>
              <w:snapToGrid w:val="0"/>
              <w:spacing w:line="360" w:lineRule="auto"/>
              <w:ind w:firstLine="482" w:firstLineChars="200"/>
              <w:rPr>
                <w:rFonts w:hint="eastAsia"/>
                <w:b/>
                <w:bCs/>
                <w:sz w:val="24"/>
              </w:rPr>
            </w:pPr>
            <w:r>
              <w:rPr>
                <w:rFonts w:hint="eastAsia"/>
                <w:b/>
                <w:bCs/>
                <w:sz w:val="24"/>
              </w:rPr>
              <w:t>（3）用地反馈</w:t>
            </w:r>
          </w:p>
          <w:p w14:paraId="1186B305">
            <w:pPr>
              <w:wordWrap w:val="0"/>
              <w:adjustRightInd w:val="0"/>
              <w:snapToGrid w:val="0"/>
              <w:spacing w:line="360" w:lineRule="auto"/>
              <w:ind w:firstLine="480" w:firstLineChars="200"/>
              <w:rPr>
                <w:color w:val="000000"/>
                <w:sz w:val="24"/>
              </w:rPr>
            </w:pPr>
            <w:r>
              <w:rPr>
                <w:sz w:val="24"/>
              </w:rPr>
              <w:t>根据现场调查，项目</w:t>
            </w:r>
            <w:r>
              <w:rPr>
                <w:rFonts w:hint="eastAsia"/>
                <w:sz w:val="24"/>
              </w:rPr>
              <w:t>南侧紧邻聚业大道</w:t>
            </w:r>
            <w:r>
              <w:rPr>
                <w:sz w:val="24"/>
              </w:rPr>
              <w:t>，</w:t>
            </w:r>
            <w:r>
              <w:rPr>
                <w:rFonts w:hint="eastAsia"/>
                <w:sz w:val="24"/>
              </w:rPr>
              <w:t>根据现状调查及规划，</w:t>
            </w:r>
            <w:r>
              <w:rPr>
                <w:color w:val="000000"/>
                <w:sz w:val="24"/>
              </w:rPr>
              <w:t>场地周边100m范围内无室外变配电站、甲乙类物品生产厂房和甲乙类液体储罐、铁路及其他重要公共建筑物。</w:t>
            </w:r>
          </w:p>
          <w:p w14:paraId="7565BAD7">
            <w:pPr>
              <w:wordWrap w:val="0"/>
              <w:adjustRightInd w:val="0"/>
              <w:snapToGrid w:val="0"/>
              <w:spacing w:line="360" w:lineRule="auto"/>
              <w:ind w:firstLine="480" w:firstLineChars="200"/>
              <w:rPr>
                <w:rFonts w:ascii="黑体" w:hAnsi="黑体" w:eastAsia="黑体" w:cs="黑体"/>
              </w:rPr>
            </w:pPr>
            <w:r>
              <w:rPr>
                <w:sz w:val="24"/>
              </w:rPr>
              <w:t>拟建项目站内储油罐、加油机和</w:t>
            </w:r>
            <w:r>
              <w:rPr>
                <w:rFonts w:hint="eastAsia"/>
                <w:sz w:val="24"/>
              </w:rPr>
              <w:t>通气立管</w:t>
            </w:r>
            <w:r>
              <w:rPr>
                <w:sz w:val="24"/>
              </w:rPr>
              <w:t>管口与站外建（构）筑物之间的安全距离，以及站内各建（构）筑物之间的防火距离都严格按照</w:t>
            </w:r>
            <w:r>
              <w:rPr>
                <w:rFonts w:hint="eastAsia"/>
                <w:sz w:val="24"/>
              </w:rPr>
              <w:t>《汽车加油加气加氢站技术标准》（GB50156-2021）</w:t>
            </w:r>
            <w:r>
              <w:rPr>
                <w:bCs/>
                <w:sz w:val="24"/>
              </w:rPr>
              <w:t>和</w:t>
            </w:r>
            <w:r>
              <w:rPr>
                <w:sz w:val="24"/>
              </w:rPr>
              <w:t>《建筑设计防火规范》（GB50016-2014）</w:t>
            </w:r>
            <w:r>
              <w:rPr>
                <w:bCs/>
                <w:sz w:val="24"/>
              </w:rPr>
              <w:t>相关要求控制，详见表</w:t>
            </w:r>
            <w:r>
              <w:rPr>
                <w:rFonts w:hint="eastAsia"/>
                <w:bCs/>
                <w:sz w:val="24"/>
              </w:rPr>
              <w:t>1-7</w:t>
            </w:r>
            <w:r>
              <w:rPr>
                <w:bCs/>
                <w:sz w:val="24"/>
              </w:rPr>
              <w:t>和表</w:t>
            </w:r>
            <w:r>
              <w:rPr>
                <w:rFonts w:hint="eastAsia"/>
                <w:bCs/>
                <w:sz w:val="24"/>
              </w:rPr>
              <w:t>1-8</w:t>
            </w:r>
            <w:r>
              <w:rPr>
                <w:bCs/>
                <w:sz w:val="24"/>
              </w:rPr>
              <w:t>。</w:t>
            </w:r>
          </w:p>
          <w:p w14:paraId="0B4657D1">
            <w:pPr>
              <w:pStyle w:val="68"/>
              <w:spacing w:line="240" w:lineRule="auto"/>
              <w:rPr>
                <w:rFonts w:ascii="黑体" w:hAnsi="黑体" w:eastAsia="黑体" w:cs="黑体"/>
                <w:b w:val="0"/>
                <w:bCs w:val="0"/>
              </w:rPr>
            </w:pPr>
            <w:r>
              <w:rPr>
                <w:rFonts w:ascii="黑体" w:hAnsi="黑体" w:eastAsia="黑体" w:cs="黑体"/>
                <w:b w:val="0"/>
                <w:bCs w:val="0"/>
              </w:rPr>
              <w:t>表</w:t>
            </w:r>
            <w:r>
              <w:rPr>
                <w:rFonts w:hint="eastAsia" w:ascii="黑体" w:hAnsi="黑体" w:eastAsia="黑体" w:cs="黑体"/>
                <w:b w:val="0"/>
                <w:bCs w:val="0"/>
              </w:rPr>
              <w:t>1-7</w:t>
            </w:r>
            <w:r>
              <w:rPr>
                <w:rFonts w:ascii="黑体" w:hAnsi="黑体" w:eastAsia="黑体" w:cs="黑体"/>
                <w:b w:val="0"/>
                <w:bCs w:val="0"/>
              </w:rPr>
              <w:t xml:space="preserve">  站内设备与站外建（构）筑物的安全距离要求及设计</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28" w:type="dxa"/>
                <w:left w:w="57" w:type="dxa"/>
                <w:bottom w:w="28" w:type="dxa"/>
                <w:right w:w="57" w:type="dxa"/>
              </w:tblCellMar>
            </w:tblPr>
            <w:tblGrid>
              <w:gridCol w:w="411"/>
              <w:gridCol w:w="996"/>
              <w:gridCol w:w="482"/>
              <w:gridCol w:w="482"/>
              <w:gridCol w:w="377"/>
              <w:gridCol w:w="482"/>
              <w:gridCol w:w="354"/>
              <w:gridCol w:w="482"/>
              <w:gridCol w:w="474"/>
              <w:gridCol w:w="377"/>
              <w:gridCol w:w="474"/>
              <w:gridCol w:w="354"/>
              <w:gridCol w:w="482"/>
              <w:gridCol w:w="482"/>
              <w:gridCol w:w="377"/>
              <w:gridCol w:w="482"/>
              <w:gridCol w:w="363"/>
            </w:tblGrid>
            <w:tr w14:paraId="333670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cantSplit/>
                <w:trHeight w:val="454" w:hRule="atLeast"/>
                <w:tblHeader/>
                <w:jc w:val="center"/>
              </w:trPr>
              <w:tc>
                <w:tcPr>
                  <w:tcW w:w="921" w:type="pct"/>
                  <w:gridSpan w:val="2"/>
                  <w:vMerge w:val="restart"/>
                  <w:vAlign w:val="center"/>
                </w:tcPr>
                <w:p w14:paraId="7093B85F">
                  <w:pPr>
                    <w:adjustRightInd w:val="0"/>
                    <w:snapToGrid w:val="0"/>
                    <w:jc w:val="center"/>
                    <w:rPr>
                      <w:bCs/>
                      <w:szCs w:val="21"/>
                    </w:rPr>
                  </w:pPr>
                  <w:r>
                    <w:rPr>
                      <w:bCs/>
                      <w:szCs w:val="21"/>
                    </w:rPr>
                    <w:t>级别</w:t>
                  </w:r>
                </w:p>
                <w:p w14:paraId="55C1C1CC">
                  <w:pPr>
                    <w:adjustRightInd w:val="0"/>
                    <w:snapToGrid w:val="0"/>
                    <w:jc w:val="center"/>
                    <w:rPr>
                      <w:bCs/>
                      <w:szCs w:val="21"/>
                    </w:rPr>
                  </w:pPr>
                  <w:r>
                    <w:rPr>
                      <w:bCs/>
                      <w:szCs w:val="21"/>
                    </w:rPr>
                    <w:t>项目</w:t>
                  </w:r>
                </w:p>
              </w:tc>
              <w:tc>
                <w:tcPr>
                  <w:tcW w:w="1358" w:type="pct"/>
                  <w:gridSpan w:val="5"/>
                  <w:vAlign w:val="center"/>
                </w:tcPr>
                <w:p w14:paraId="67CA5F49">
                  <w:pPr>
                    <w:adjustRightInd w:val="0"/>
                    <w:snapToGrid w:val="0"/>
                    <w:jc w:val="center"/>
                    <w:rPr>
                      <w:bCs/>
                      <w:szCs w:val="21"/>
                    </w:rPr>
                  </w:pPr>
                  <w:r>
                    <w:rPr>
                      <w:rFonts w:hint="eastAsia"/>
                      <w:bCs/>
                      <w:szCs w:val="21"/>
                    </w:rPr>
                    <w:t>埋地</w:t>
                  </w:r>
                  <w:r>
                    <w:rPr>
                      <w:bCs/>
                      <w:szCs w:val="21"/>
                    </w:rPr>
                    <w:t>油罐（有卸油加油油气回收系统）</w:t>
                  </w:r>
                </w:p>
              </w:tc>
              <w:tc>
                <w:tcPr>
                  <w:tcW w:w="1357" w:type="pct"/>
                  <w:gridSpan w:val="5"/>
                  <w:vMerge w:val="restart"/>
                  <w:vAlign w:val="center"/>
                </w:tcPr>
                <w:p w14:paraId="432B5E0E">
                  <w:pPr>
                    <w:adjustRightInd w:val="0"/>
                    <w:snapToGrid w:val="0"/>
                    <w:jc w:val="center"/>
                    <w:rPr>
                      <w:bCs/>
                      <w:szCs w:val="21"/>
                    </w:rPr>
                  </w:pPr>
                  <w:r>
                    <w:rPr>
                      <w:rFonts w:hint="eastAsia"/>
                      <w:bCs/>
                      <w:szCs w:val="21"/>
                    </w:rPr>
                    <w:t>通气立管</w:t>
                  </w:r>
                  <w:r>
                    <w:rPr>
                      <w:bCs/>
                      <w:szCs w:val="21"/>
                    </w:rPr>
                    <w:t>管口（有卸油加油油气回收系统）</w:t>
                  </w:r>
                </w:p>
              </w:tc>
              <w:tc>
                <w:tcPr>
                  <w:tcW w:w="1362" w:type="pct"/>
                  <w:gridSpan w:val="5"/>
                  <w:vMerge w:val="restart"/>
                  <w:vAlign w:val="center"/>
                </w:tcPr>
                <w:p w14:paraId="0B7CC417">
                  <w:pPr>
                    <w:adjustRightInd w:val="0"/>
                    <w:snapToGrid w:val="0"/>
                    <w:jc w:val="center"/>
                    <w:rPr>
                      <w:bCs/>
                      <w:szCs w:val="21"/>
                    </w:rPr>
                  </w:pPr>
                  <w:r>
                    <w:rPr>
                      <w:bCs/>
                      <w:szCs w:val="21"/>
                    </w:rPr>
                    <w:t>加油机（有卸油加油油气回收系统）</w:t>
                  </w:r>
                </w:p>
              </w:tc>
            </w:tr>
            <w:tr w14:paraId="7E6403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cantSplit/>
                <w:trHeight w:val="221" w:hRule="atLeast"/>
                <w:tblHeader/>
                <w:jc w:val="center"/>
              </w:trPr>
              <w:tc>
                <w:tcPr>
                  <w:tcW w:w="921" w:type="pct"/>
                  <w:gridSpan w:val="2"/>
                  <w:vMerge w:val="continue"/>
                  <w:vAlign w:val="center"/>
                </w:tcPr>
                <w:p w14:paraId="7579F859">
                  <w:pPr>
                    <w:pStyle w:val="18"/>
                    <w:adjustRightInd w:val="0"/>
                    <w:snapToGrid w:val="0"/>
                    <w:spacing w:after="0"/>
                    <w:ind w:left="0" w:leftChars="0"/>
                    <w:jc w:val="center"/>
                    <w:rPr>
                      <w:bCs/>
                      <w:sz w:val="21"/>
                      <w:szCs w:val="21"/>
                    </w:rPr>
                  </w:pPr>
                </w:p>
              </w:tc>
              <w:tc>
                <w:tcPr>
                  <w:tcW w:w="1358" w:type="pct"/>
                  <w:gridSpan w:val="5"/>
                  <w:vAlign w:val="center"/>
                </w:tcPr>
                <w:p w14:paraId="405A8FAB">
                  <w:pPr>
                    <w:adjustRightInd w:val="0"/>
                    <w:snapToGrid w:val="0"/>
                    <w:jc w:val="center"/>
                    <w:rPr>
                      <w:bCs/>
                      <w:szCs w:val="21"/>
                    </w:rPr>
                  </w:pPr>
                  <w:r>
                    <w:rPr>
                      <w:bCs/>
                      <w:szCs w:val="21"/>
                    </w:rPr>
                    <w:t>三级站</w:t>
                  </w:r>
                </w:p>
              </w:tc>
              <w:tc>
                <w:tcPr>
                  <w:tcW w:w="1357" w:type="pct"/>
                  <w:gridSpan w:val="5"/>
                  <w:vMerge w:val="continue"/>
                  <w:vAlign w:val="center"/>
                </w:tcPr>
                <w:p w14:paraId="67E1789A">
                  <w:pPr>
                    <w:pStyle w:val="18"/>
                    <w:adjustRightInd w:val="0"/>
                    <w:snapToGrid w:val="0"/>
                    <w:spacing w:after="0"/>
                    <w:ind w:left="0" w:leftChars="0"/>
                    <w:jc w:val="center"/>
                    <w:rPr>
                      <w:sz w:val="21"/>
                      <w:szCs w:val="21"/>
                    </w:rPr>
                  </w:pPr>
                </w:p>
              </w:tc>
              <w:tc>
                <w:tcPr>
                  <w:tcW w:w="1362" w:type="pct"/>
                  <w:gridSpan w:val="5"/>
                  <w:vMerge w:val="continue"/>
                  <w:vAlign w:val="center"/>
                </w:tcPr>
                <w:p w14:paraId="1BBCD0B8">
                  <w:pPr>
                    <w:pStyle w:val="18"/>
                    <w:adjustRightInd w:val="0"/>
                    <w:snapToGrid w:val="0"/>
                    <w:spacing w:after="0"/>
                    <w:ind w:left="0" w:leftChars="0"/>
                    <w:jc w:val="center"/>
                    <w:rPr>
                      <w:sz w:val="21"/>
                      <w:szCs w:val="21"/>
                    </w:rPr>
                  </w:pPr>
                </w:p>
              </w:tc>
            </w:tr>
            <w:tr w14:paraId="33FC01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cantSplit/>
                <w:trHeight w:val="1121" w:hRule="atLeast"/>
                <w:tblHeader/>
                <w:jc w:val="center"/>
              </w:trPr>
              <w:tc>
                <w:tcPr>
                  <w:tcW w:w="921" w:type="pct"/>
                  <w:gridSpan w:val="2"/>
                  <w:vMerge w:val="continue"/>
                  <w:vAlign w:val="center"/>
                </w:tcPr>
                <w:p w14:paraId="0BF914AB">
                  <w:pPr>
                    <w:pStyle w:val="18"/>
                    <w:adjustRightInd w:val="0"/>
                    <w:snapToGrid w:val="0"/>
                    <w:spacing w:after="0"/>
                    <w:ind w:left="0" w:leftChars="0"/>
                    <w:jc w:val="center"/>
                    <w:rPr>
                      <w:sz w:val="21"/>
                      <w:szCs w:val="21"/>
                    </w:rPr>
                  </w:pPr>
                </w:p>
              </w:tc>
              <w:tc>
                <w:tcPr>
                  <w:tcW w:w="288" w:type="pct"/>
                  <w:vAlign w:val="center"/>
                </w:tcPr>
                <w:p w14:paraId="590D6759">
                  <w:pPr>
                    <w:pStyle w:val="15"/>
                    <w:adjustRightInd w:val="0"/>
                    <w:snapToGrid w:val="0"/>
                    <w:spacing w:before="0" w:after="0"/>
                    <w:jc w:val="center"/>
                    <w:rPr>
                      <w:b w:val="0"/>
                      <w:sz w:val="21"/>
                      <w:szCs w:val="21"/>
                    </w:rPr>
                  </w:pPr>
                  <w:r>
                    <w:rPr>
                      <w:b w:val="0"/>
                      <w:sz w:val="21"/>
                      <w:szCs w:val="21"/>
                    </w:rPr>
                    <w:t>汽油标准</w:t>
                  </w:r>
                </w:p>
              </w:tc>
              <w:tc>
                <w:tcPr>
                  <w:tcW w:w="288" w:type="pct"/>
                  <w:vAlign w:val="center"/>
                </w:tcPr>
                <w:p w14:paraId="1C83979E">
                  <w:pPr>
                    <w:pStyle w:val="15"/>
                    <w:adjustRightInd w:val="0"/>
                    <w:snapToGrid w:val="0"/>
                    <w:spacing w:before="0" w:after="0"/>
                    <w:jc w:val="center"/>
                    <w:rPr>
                      <w:b w:val="0"/>
                      <w:sz w:val="21"/>
                      <w:szCs w:val="21"/>
                    </w:rPr>
                  </w:pPr>
                  <w:r>
                    <w:rPr>
                      <w:b w:val="0"/>
                      <w:sz w:val="21"/>
                      <w:szCs w:val="21"/>
                    </w:rPr>
                    <w:t>汽油设计</w:t>
                  </w:r>
                </w:p>
              </w:tc>
              <w:tc>
                <w:tcPr>
                  <w:tcW w:w="252" w:type="pct"/>
                  <w:vAlign w:val="center"/>
                </w:tcPr>
                <w:p w14:paraId="3809321C">
                  <w:pPr>
                    <w:pStyle w:val="15"/>
                    <w:adjustRightInd w:val="0"/>
                    <w:snapToGrid w:val="0"/>
                    <w:spacing w:before="0" w:after="0"/>
                    <w:jc w:val="center"/>
                    <w:rPr>
                      <w:b w:val="0"/>
                      <w:sz w:val="21"/>
                      <w:szCs w:val="21"/>
                    </w:rPr>
                  </w:pPr>
                  <w:r>
                    <w:rPr>
                      <w:b w:val="0"/>
                      <w:sz w:val="21"/>
                      <w:szCs w:val="21"/>
                    </w:rPr>
                    <w:t>柴油标准</w:t>
                  </w:r>
                </w:p>
              </w:tc>
              <w:tc>
                <w:tcPr>
                  <w:tcW w:w="288" w:type="pct"/>
                  <w:vAlign w:val="center"/>
                </w:tcPr>
                <w:p w14:paraId="667CCFF2">
                  <w:pPr>
                    <w:pStyle w:val="15"/>
                    <w:adjustRightInd w:val="0"/>
                    <w:snapToGrid w:val="0"/>
                    <w:spacing w:before="0" w:after="0"/>
                    <w:jc w:val="center"/>
                    <w:rPr>
                      <w:b w:val="0"/>
                      <w:sz w:val="21"/>
                      <w:szCs w:val="21"/>
                    </w:rPr>
                  </w:pPr>
                  <w:r>
                    <w:rPr>
                      <w:b w:val="0"/>
                      <w:sz w:val="21"/>
                      <w:szCs w:val="21"/>
                    </w:rPr>
                    <w:t>柴油设计</w:t>
                  </w:r>
                </w:p>
              </w:tc>
              <w:tc>
                <w:tcPr>
                  <w:tcW w:w="241" w:type="pct"/>
                  <w:vAlign w:val="center"/>
                </w:tcPr>
                <w:p w14:paraId="3F40DA62">
                  <w:pPr>
                    <w:pStyle w:val="15"/>
                    <w:adjustRightInd w:val="0"/>
                    <w:snapToGrid w:val="0"/>
                    <w:spacing w:before="0" w:after="0"/>
                    <w:jc w:val="center"/>
                    <w:rPr>
                      <w:b w:val="0"/>
                      <w:sz w:val="21"/>
                      <w:szCs w:val="21"/>
                    </w:rPr>
                  </w:pPr>
                  <w:r>
                    <w:rPr>
                      <w:b w:val="0"/>
                      <w:sz w:val="21"/>
                      <w:szCs w:val="21"/>
                    </w:rPr>
                    <w:t>结论</w:t>
                  </w:r>
                </w:p>
              </w:tc>
              <w:tc>
                <w:tcPr>
                  <w:tcW w:w="288" w:type="pct"/>
                  <w:vAlign w:val="center"/>
                </w:tcPr>
                <w:p w14:paraId="7F679A9F">
                  <w:pPr>
                    <w:pStyle w:val="15"/>
                    <w:adjustRightInd w:val="0"/>
                    <w:snapToGrid w:val="0"/>
                    <w:spacing w:before="0" w:after="0"/>
                    <w:jc w:val="center"/>
                    <w:rPr>
                      <w:b w:val="0"/>
                      <w:sz w:val="21"/>
                      <w:szCs w:val="21"/>
                    </w:rPr>
                  </w:pPr>
                  <w:r>
                    <w:rPr>
                      <w:b w:val="0"/>
                      <w:sz w:val="21"/>
                      <w:szCs w:val="21"/>
                    </w:rPr>
                    <w:t>汽油标准</w:t>
                  </w:r>
                </w:p>
              </w:tc>
              <w:tc>
                <w:tcPr>
                  <w:tcW w:w="284" w:type="pct"/>
                  <w:vAlign w:val="center"/>
                </w:tcPr>
                <w:p w14:paraId="00ED10EF">
                  <w:pPr>
                    <w:pStyle w:val="15"/>
                    <w:adjustRightInd w:val="0"/>
                    <w:snapToGrid w:val="0"/>
                    <w:spacing w:before="0" w:after="0"/>
                    <w:jc w:val="center"/>
                    <w:rPr>
                      <w:b w:val="0"/>
                      <w:sz w:val="21"/>
                      <w:szCs w:val="21"/>
                    </w:rPr>
                  </w:pPr>
                  <w:r>
                    <w:rPr>
                      <w:b w:val="0"/>
                      <w:sz w:val="21"/>
                      <w:szCs w:val="21"/>
                    </w:rPr>
                    <w:t>汽油设计</w:t>
                  </w:r>
                </w:p>
              </w:tc>
              <w:tc>
                <w:tcPr>
                  <w:tcW w:w="252" w:type="pct"/>
                  <w:vAlign w:val="center"/>
                </w:tcPr>
                <w:p w14:paraId="0344F133">
                  <w:pPr>
                    <w:pStyle w:val="15"/>
                    <w:adjustRightInd w:val="0"/>
                    <w:snapToGrid w:val="0"/>
                    <w:spacing w:before="0" w:after="0"/>
                    <w:jc w:val="center"/>
                    <w:rPr>
                      <w:b w:val="0"/>
                      <w:sz w:val="21"/>
                      <w:szCs w:val="21"/>
                    </w:rPr>
                  </w:pPr>
                  <w:r>
                    <w:rPr>
                      <w:b w:val="0"/>
                      <w:sz w:val="21"/>
                      <w:szCs w:val="21"/>
                    </w:rPr>
                    <w:t>柴油标准</w:t>
                  </w:r>
                </w:p>
              </w:tc>
              <w:tc>
                <w:tcPr>
                  <w:tcW w:w="291" w:type="pct"/>
                  <w:vAlign w:val="center"/>
                </w:tcPr>
                <w:p w14:paraId="01C06E3D">
                  <w:pPr>
                    <w:pStyle w:val="15"/>
                    <w:adjustRightInd w:val="0"/>
                    <w:snapToGrid w:val="0"/>
                    <w:spacing w:before="0" w:after="0"/>
                    <w:jc w:val="center"/>
                    <w:rPr>
                      <w:b w:val="0"/>
                      <w:sz w:val="21"/>
                      <w:szCs w:val="21"/>
                    </w:rPr>
                  </w:pPr>
                  <w:r>
                    <w:rPr>
                      <w:b w:val="0"/>
                      <w:sz w:val="21"/>
                      <w:szCs w:val="21"/>
                    </w:rPr>
                    <w:t>柴油设计</w:t>
                  </w:r>
                </w:p>
              </w:tc>
              <w:tc>
                <w:tcPr>
                  <w:tcW w:w="240" w:type="pct"/>
                  <w:vAlign w:val="center"/>
                </w:tcPr>
                <w:p w14:paraId="03635E42">
                  <w:pPr>
                    <w:pStyle w:val="15"/>
                    <w:adjustRightInd w:val="0"/>
                    <w:snapToGrid w:val="0"/>
                    <w:spacing w:before="0" w:after="0"/>
                    <w:jc w:val="center"/>
                    <w:rPr>
                      <w:b w:val="0"/>
                      <w:sz w:val="21"/>
                      <w:szCs w:val="21"/>
                    </w:rPr>
                  </w:pPr>
                  <w:r>
                    <w:rPr>
                      <w:b w:val="0"/>
                      <w:sz w:val="21"/>
                      <w:szCs w:val="21"/>
                    </w:rPr>
                    <w:t>结论</w:t>
                  </w:r>
                </w:p>
              </w:tc>
              <w:tc>
                <w:tcPr>
                  <w:tcW w:w="288" w:type="pct"/>
                  <w:vAlign w:val="center"/>
                </w:tcPr>
                <w:p w14:paraId="6225BCD7">
                  <w:pPr>
                    <w:pStyle w:val="15"/>
                    <w:adjustRightInd w:val="0"/>
                    <w:snapToGrid w:val="0"/>
                    <w:spacing w:before="0" w:after="0"/>
                    <w:jc w:val="center"/>
                    <w:rPr>
                      <w:b w:val="0"/>
                      <w:sz w:val="21"/>
                      <w:szCs w:val="21"/>
                    </w:rPr>
                  </w:pPr>
                  <w:r>
                    <w:rPr>
                      <w:b w:val="0"/>
                      <w:sz w:val="21"/>
                      <w:szCs w:val="21"/>
                    </w:rPr>
                    <w:t>汽油标准</w:t>
                  </w:r>
                </w:p>
              </w:tc>
              <w:tc>
                <w:tcPr>
                  <w:tcW w:w="288" w:type="pct"/>
                  <w:vAlign w:val="center"/>
                </w:tcPr>
                <w:p w14:paraId="2CA22043">
                  <w:pPr>
                    <w:pStyle w:val="15"/>
                    <w:adjustRightInd w:val="0"/>
                    <w:snapToGrid w:val="0"/>
                    <w:spacing w:before="0" w:after="0"/>
                    <w:jc w:val="center"/>
                    <w:rPr>
                      <w:b w:val="0"/>
                      <w:sz w:val="21"/>
                      <w:szCs w:val="21"/>
                    </w:rPr>
                  </w:pPr>
                  <w:r>
                    <w:rPr>
                      <w:b w:val="0"/>
                      <w:sz w:val="21"/>
                      <w:szCs w:val="21"/>
                    </w:rPr>
                    <w:t>汽油设计</w:t>
                  </w:r>
                </w:p>
              </w:tc>
              <w:tc>
                <w:tcPr>
                  <w:tcW w:w="252" w:type="pct"/>
                  <w:vAlign w:val="center"/>
                </w:tcPr>
                <w:p w14:paraId="263DEBC4">
                  <w:pPr>
                    <w:pStyle w:val="15"/>
                    <w:adjustRightInd w:val="0"/>
                    <w:snapToGrid w:val="0"/>
                    <w:spacing w:before="0" w:after="0"/>
                    <w:jc w:val="center"/>
                    <w:rPr>
                      <w:b w:val="0"/>
                      <w:sz w:val="21"/>
                      <w:szCs w:val="21"/>
                    </w:rPr>
                  </w:pPr>
                  <w:r>
                    <w:rPr>
                      <w:b w:val="0"/>
                      <w:sz w:val="21"/>
                      <w:szCs w:val="21"/>
                    </w:rPr>
                    <w:t>柴油标准</w:t>
                  </w:r>
                </w:p>
              </w:tc>
              <w:tc>
                <w:tcPr>
                  <w:tcW w:w="288" w:type="pct"/>
                  <w:vAlign w:val="center"/>
                </w:tcPr>
                <w:p w14:paraId="5B8B4AEB">
                  <w:pPr>
                    <w:pStyle w:val="15"/>
                    <w:adjustRightInd w:val="0"/>
                    <w:snapToGrid w:val="0"/>
                    <w:spacing w:before="0" w:after="0"/>
                    <w:jc w:val="center"/>
                    <w:rPr>
                      <w:b w:val="0"/>
                      <w:sz w:val="21"/>
                      <w:szCs w:val="21"/>
                    </w:rPr>
                  </w:pPr>
                  <w:r>
                    <w:rPr>
                      <w:b w:val="0"/>
                      <w:sz w:val="21"/>
                      <w:szCs w:val="21"/>
                    </w:rPr>
                    <w:t>柴油设计</w:t>
                  </w:r>
                </w:p>
              </w:tc>
              <w:tc>
                <w:tcPr>
                  <w:tcW w:w="244" w:type="pct"/>
                  <w:vAlign w:val="center"/>
                </w:tcPr>
                <w:p w14:paraId="11D46B60">
                  <w:pPr>
                    <w:pStyle w:val="15"/>
                    <w:adjustRightInd w:val="0"/>
                    <w:snapToGrid w:val="0"/>
                    <w:spacing w:before="0" w:after="0"/>
                    <w:jc w:val="center"/>
                    <w:rPr>
                      <w:b w:val="0"/>
                      <w:sz w:val="21"/>
                      <w:szCs w:val="21"/>
                    </w:rPr>
                  </w:pPr>
                  <w:r>
                    <w:rPr>
                      <w:b w:val="0"/>
                      <w:sz w:val="21"/>
                      <w:szCs w:val="21"/>
                    </w:rPr>
                    <w:t>结论</w:t>
                  </w:r>
                </w:p>
              </w:tc>
            </w:tr>
            <w:tr w14:paraId="3A87DE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cantSplit/>
                <w:trHeight w:val="488" w:hRule="atLeast"/>
                <w:jc w:val="center"/>
              </w:trPr>
              <w:tc>
                <w:tcPr>
                  <w:tcW w:w="921" w:type="pct"/>
                  <w:gridSpan w:val="2"/>
                  <w:vAlign w:val="center"/>
                </w:tcPr>
                <w:p w14:paraId="5D354381">
                  <w:pPr>
                    <w:pStyle w:val="15"/>
                    <w:adjustRightInd w:val="0"/>
                    <w:snapToGrid w:val="0"/>
                    <w:spacing w:before="0" w:after="0"/>
                    <w:jc w:val="center"/>
                    <w:rPr>
                      <w:b w:val="0"/>
                      <w:sz w:val="21"/>
                      <w:szCs w:val="21"/>
                    </w:rPr>
                  </w:pPr>
                  <w:r>
                    <w:rPr>
                      <w:b w:val="0"/>
                      <w:sz w:val="21"/>
                      <w:szCs w:val="21"/>
                    </w:rPr>
                    <w:t>重要公共建筑</w:t>
                  </w:r>
                </w:p>
              </w:tc>
              <w:tc>
                <w:tcPr>
                  <w:tcW w:w="288" w:type="pct"/>
                  <w:vAlign w:val="center"/>
                </w:tcPr>
                <w:p w14:paraId="72EFF7AA">
                  <w:pPr>
                    <w:pStyle w:val="15"/>
                    <w:adjustRightInd w:val="0"/>
                    <w:snapToGrid w:val="0"/>
                    <w:spacing w:before="0" w:after="0"/>
                    <w:jc w:val="center"/>
                    <w:rPr>
                      <w:b w:val="0"/>
                      <w:sz w:val="21"/>
                      <w:szCs w:val="21"/>
                    </w:rPr>
                  </w:pPr>
                  <w:r>
                    <w:rPr>
                      <w:b w:val="0"/>
                      <w:sz w:val="21"/>
                      <w:szCs w:val="21"/>
                    </w:rPr>
                    <w:t>35</w:t>
                  </w:r>
                </w:p>
              </w:tc>
              <w:tc>
                <w:tcPr>
                  <w:tcW w:w="288" w:type="pct"/>
                  <w:vAlign w:val="center"/>
                </w:tcPr>
                <w:p w14:paraId="1D7E2564">
                  <w:pPr>
                    <w:pStyle w:val="15"/>
                    <w:adjustRightInd w:val="0"/>
                    <w:snapToGrid w:val="0"/>
                    <w:spacing w:before="0" w:after="0"/>
                    <w:jc w:val="center"/>
                    <w:rPr>
                      <w:b w:val="0"/>
                      <w:sz w:val="21"/>
                      <w:szCs w:val="21"/>
                    </w:rPr>
                  </w:pPr>
                  <w:r>
                    <w:rPr>
                      <w:b w:val="0"/>
                      <w:sz w:val="21"/>
                      <w:szCs w:val="21"/>
                    </w:rPr>
                    <w:t>—</w:t>
                  </w:r>
                </w:p>
              </w:tc>
              <w:tc>
                <w:tcPr>
                  <w:tcW w:w="252" w:type="pct"/>
                  <w:vAlign w:val="center"/>
                </w:tcPr>
                <w:p w14:paraId="1CACA12B">
                  <w:pPr>
                    <w:pStyle w:val="15"/>
                    <w:adjustRightInd w:val="0"/>
                    <w:snapToGrid w:val="0"/>
                    <w:spacing w:before="0" w:after="0"/>
                    <w:jc w:val="center"/>
                    <w:rPr>
                      <w:b w:val="0"/>
                      <w:sz w:val="21"/>
                      <w:szCs w:val="21"/>
                    </w:rPr>
                  </w:pPr>
                  <w:r>
                    <w:rPr>
                      <w:b w:val="0"/>
                      <w:sz w:val="21"/>
                      <w:szCs w:val="21"/>
                    </w:rPr>
                    <w:t>25</w:t>
                  </w:r>
                </w:p>
              </w:tc>
              <w:tc>
                <w:tcPr>
                  <w:tcW w:w="288" w:type="pct"/>
                  <w:vAlign w:val="center"/>
                </w:tcPr>
                <w:p w14:paraId="23991DDC">
                  <w:pPr>
                    <w:pStyle w:val="15"/>
                    <w:adjustRightInd w:val="0"/>
                    <w:snapToGrid w:val="0"/>
                    <w:spacing w:before="0" w:after="0"/>
                    <w:jc w:val="center"/>
                    <w:rPr>
                      <w:b w:val="0"/>
                      <w:sz w:val="21"/>
                      <w:szCs w:val="21"/>
                    </w:rPr>
                  </w:pPr>
                  <w:r>
                    <w:rPr>
                      <w:b w:val="0"/>
                      <w:sz w:val="21"/>
                      <w:szCs w:val="21"/>
                    </w:rPr>
                    <w:t>—</w:t>
                  </w:r>
                </w:p>
              </w:tc>
              <w:tc>
                <w:tcPr>
                  <w:tcW w:w="241" w:type="pct"/>
                  <w:vAlign w:val="center"/>
                </w:tcPr>
                <w:p w14:paraId="7C915381">
                  <w:pPr>
                    <w:pStyle w:val="15"/>
                    <w:adjustRightInd w:val="0"/>
                    <w:snapToGrid w:val="0"/>
                    <w:spacing w:before="0" w:after="0"/>
                    <w:jc w:val="center"/>
                    <w:rPr>
                      <w:b w:val="0"/>
                      <w:sz w:val="21"/>
                      <w:szCs w:val="21"/>
                    </w:rPr>
                  </w:pPr>
                  <w:r>
                    <w:rPr>
                      <w:b w:val="0"/>
                      <w:sz w:val="21"/>
                      <w:szCs w:val="21"/>
                    </w:rPr>
                    <w:t>—</w:t>
                  </w:r>
                </w:p>
              </w:tc>
              <w:tc>
                <w:tcPr>
                  <w:tcW w:w="288" w:type="pct"/>
                  <w:vAlign w:val="center"/>
                </w:tcPr>
                <w:p w14:paraId="75BA0C7B">
                  <w:pPr>
                    <w:pStyle w:val="15"/>
                    <w:adjustRightInd w:val="0"/>
                    <w:snapToGrid w:val="0"/>
                    <w:spacing w:before="0" w:after="0"/>
                    <w:jc w:val="center"/>
                    <w:rPr>
                      <w:b w:val="0"/>
                      <w:sz w:val="21"/>
                      <w:szCs w:val="21"/>
                    </w:rPr>
                  </w:pPr>
                  <w:r>
                    <w:rPr>
                      <w:b w:val="0"/>
                      <w:sz w:val="21"/>
                      <w:szCs w:val="21"/>
                    </w:rPr>
                    <w:t>35</w:t>
                  </w:r>
                </w:p>
              </w:tc>
              <w:tc>
                <w:tcPr>
                  <w:tcW w:w="284" w:type="pct"/>
                  <w:vAlign w:val="center"/>
                </w:tcPr>
                <w:p w14:paraId="4BDEAF49">
                  <w:pPr>
                    <w:pStyle w:val="15"/>
                    <w:adjustRightInd w:val="0"/>
                    <w:snapToGrid w:val="0"/>
                    <w:spacing w:before="0" w:after="0"/>
                    <w:jc w:val="center"/>
                    <w:rPr>
                      <w:b w:val="0"/>
                      <w:sz w:val="21"/>
                      <w:szCs w:val="21"/>
                    </w:rPr>
                  </w:pPr>
                  <w:r>
                    <w:rPr>
                      <w:b w:val="0"/>
                      <w:sz w:val="21"/>
                      <w:szCs w:val="21"/>
                    </w:rPr>
                    <w:t>—</w:t>
                  </w:r>
                </w:p>
              </w:tc>
              <w:tc>
                <w:tcPr>
                  <w:tcW w:w="252" w:type="pct"/>
                  <w:vAlign w:val="center"/>
                </w:tcPr>
                <w:p w14:paraId="29237BFE">
                  <w:pPr>
                    <w:pStyle w:val="15"/>
                    <w:adjustRightInd w:val="0"/>
                    <w:snapToGrid w:val="0"/>
                    <w:spacing w:before="0" w:after="0"/>
                    <w:jc w:val="center"/>
                    <w:rPr>
                      <w:b w:val="0"/>
                      <w:sz w:val="21"/>
                      <w:szCs w:val="21"/>
                    </w:rPr>
                  </w:pPr>
                  <w:r>
                    <w:rPr>
                      <w:b w:val="0"/>
                      <w:sz w:val="21"/>
                      <w:szCs w:val="21"/>
                    </w:rPr>
                    <w:t>25</w:t>
                  </w:r>
                </w:p>
              </w:tc>
              <w:tc>
                <w:tcPr>
                  <w:tcW w:w="291" w:type="pct"/>
                  <w:vAlign w:val="center"/>
                </w:tcPr>
                <w:p w14:paraId="768DCCC3">
                  <w:pPr>
                    <w:pStyle w:val="15"/>
                    <w:adjustRightInd w:val="0"/>
                    <w:snapToGrid w:val="0"/>
                    <w:spacing w:before="0" w:after="0"/>
                    <w:jc w:val="center"/>
                    <w:rPr>
                      <w:b w:val="0"/>
                      <w:sz w:val="21"/>
                      <w:szCs w:val="21"/>
                    </w:rPr>
                  </w:pPr>
                  <w:r>
                    <w:rPr>
                      <w:b w:val="0"/>
                      <w:sz w:val="21"/>
                      <w:szCs w:val="21"/>
                    </w:rPr>
                    <w:t>—</w:t>
                  </w:r>
                </w:p>
              </w:tc>
              <w:tc>
                <w:tcPr>
                  <w:tcW w:w="240" w:type="pct"/>
                  <w:vAlign w:val="center"/>
                </w:tcPr>
                <w:p w14:paraId="239A90D9">
                  <w:pPr>
                    <w:pStyle w:val="15"/>
                    <w:adjustRightInd w:val="0"/>
                    <w:snapToGrid w:val="0"/>
                    <w:spacing w:before="0" w:after="0"/>
                    <w:jc w:val="center"/>
                    <w:rPr>
                      <w:b w:val="0"/>
                      <w:sz w:val="21"/>
                      <w:szCs w:val="21"/>
                    </w:rPr>
                  </w:pPr>
                  <w:r>
                    <w:rPr>
                      <w:b w:val="0"/>
                      <w:sz w:val="21"/>
                      <w:szCs w:val="21"/>
                    </w:rPr>
                    <w:t>—</w:t>
                  </w:r>
                </w:p>
              </w:tc>
              <w:tc>
                <w:tcPr>
                  <w:tcW w:w="288" w:type="pct"/>
                  <w:vAlign w:val="center"/>
                </w:tcPr>
                <w:p w14:paraId="14FC77E6">
                  <w:pPr>
                    <w:pStyle w:val="15"/>
                    <w:adjustRightInd w:val="0"/>
                    <w:snapToGrid w:val="0"/>
                    <w:spacing w:before="0" w:after="0"/>
                    <w:jc w:val="center"/>
                    <w:rPr>
                      <w:b w:val="0"/>
                      <w:sz w:val="21"/>
                      <w:szCs w:val="21"/>
                    </w:rPr>
                  </w:pPr>
                  <w:r>
                    <w:rPr>
                      <w:b w:val="0"/>
                      <w:sz w:val="21"/>
                      <w:szCs w:val="21"/>
                    </w:rPr>
                    <w:t>35</w:t>
                  </w:r>
                </w:p>
              </w:tc>
              <w:tc>
                <w:tcPr>
                  <w:tcW w:w="288" w:type="pct"/>
                  <w:vAlign w:val="center"/>
                </w:tcPr>
                <w:p w14:paraId="30FC064B">
                  <w:pPr>
                    <w:pStyle w:val="15"/>
                    <w:adjustRightInd w:val="0"/>
                    <w:snapToGrid w:val="0"/>
                    <w:spacing w:before="0" w:after="0"/>
                    <w:jc w:val="center"/>
                    <w:rPr>
                      <w:b w:val="0"/>
                      <w:sz w:val="21"/>
                      <w:szCs w:val="21"/>
                    </w:rPr>
                  </w:pPr>
                  <w:r>
                    <w:rPr>
                      <w:b w:val="0"/>
                      <w:sz w:val="21"/>
                      <w:szCs w:val="21"/>
                    </w:rPr>
                    <w:t>—</w:t>
                  </w:r>
                </w:p>
              </w:tc>
              <w:tc>
                <w:tcPr>
                  <w:tcW w:w="252" w:type="pct"/>
                  <w:vAlign w:val="center"/>
                </w:tcPr>
                <w:p w14:paraId="3F2D90A4">
                  <w:pPr>
                    <w:pStyle w:val="15"/>
                    <w:adjustRightInd w:val="0"/>
                    <w:snapToGrid w:val="0"/>
                    <w:spacing w:before="0" w:after="0"/>
                    <w:jc w:val="center"/>
                    <w:rPr>
                      <w:b w:val="0"/>
                      <w:sz w:val="21"/>
                      <w:szCs w:val="21"/>
                    </w:rPr>
                  </w:pPr>
                  <w:r>
                    <w:rPr>
                      <w:b w:val="0"/>
                      <w:sz w:val="21"/>
                      <w:szCs w:val="21"/>
                    </w:rPr>
                    <w:t>25</w:t>
                  </w:r>
                </w:p>
              </w:tc>
              <w:tc>
                <w:tcPr>
                  <w:tcW w:w="288" w:type="pct"/>
                  <w:vAlign w:val="center"/>
                </w:tcPr>
                <w:p w14:paraId="12F2EA9A">
                  <w:pPr>
                    <w:pStyle w:val="15"/>
                    <w:adjustRightInd w:val="0"/>
                    <w:snapToGrid w:val="0"/>
                    <w:spacing w:before="0" w:after="0"/>
                    <w:jc w:val="center"/>
                    <w:rPr>
                      <w:b w:val="0"/>
                      <w:sz w:val="21"/>
                      <w:szCs w:val="21"/>
                    </w:rPr>
                  </w:pPr>
                  <w:r>
                    <w:rPr>
                      <w:b w:val="0"/>
                      <w:sz w:val="21"/>
                      <w:szCs w:val="21"/>
                    </w:rPr>
                    <w:t>—</w:t>
                  </w:r>
                </w:p>
              </w:tc>
              <w:tc>
                <w:tcPr>
                  <w:tcW w:w="244" w:type="pct"/>
                  <w:vAlign w:val="center"/>
                </w:tcPr>
                <w:p w14:paraId="7E625861">
                  <w:pPr>
                    <w:pStyle w:val="15"/>
                    <w:adjustRightInd w:val="0"/>
                    <w:snapToGrid w:val="0"/>
                    <w:spacing w:before="0" w:after="0"/>
                    <w:jc w:val="center"/>
                    <w:rPr>
                      <w:b w:val="0"/>
                      <w:sz w:val="21"/>
                      <w:szCs w:val="21"/>
                    </w:rPr>
                  </w:pPr>
                  <w:r>
                    <w:rPr>
                      <w:b w:val="0"/>
                      <w:sz w:val="21"/>
                      <w:szCs w:val="21"/>
                    </w:rPr>
                    <w:t>—</w:t>
                  </w:r>
                </w:p>
              </w:tc>
            </w:tr>
            <w:tr w14:paraId="3E65AB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cantSplit/>
                <w:trHeight w:val="341" w:hRule="atLeast"/>
                <w:jc w:val="center"/>
              </w:trPr>
              <w:tc>
                <w:tcPr>
                  <w:tcW w:w="921" w:type="pct"/>
                  <w:gridSpan w:val="2"/>
                  <w:vAlign w:val="center"/>
                </w:tcPr>
                <w:p w14:paraId="58F28385">
                  <w:pPr>
                    <w:pStyle w:val="15"/>
                    <w:adjustRightInd w:val="0"/>
                    <w:snapToGrid w:val="0"/>
                    <w:spacing w:before="0" w:after="0"/>
                    <w:jc w:val="center"/>
                    <w:rPr>
                      <w:b w:val="0"/>
                      <w:sz w:val="21"/>
                      <w:szCs w:val="21"/>
                    </w:rPr>
                  </w:pPr>
                  <w:r>
                    <w:rPr>
                      <w:b w:val="0"/>
                      <w:sz w:val="21"/>
                      <w:szCs w:val="21"/>
                    </w:rPr>
                    <w:t>明火或散发火花地点</w:t>
                  </w:r>
                </w:p>
              </w:tc>
              <w:tc>
                <w:tcPr>
                  <w:tcW w:w="288" w:type="pct"/>
                  <w:vAlign w:val="center"/>
                </w:tcPr>
                <w:p w14:paraId="54EF8C0A">
                  <w:pPr>
                    <w:pStyle w:val="15"/>
                    <w:adjustRightInd w:val="0"/>
                    <w:snapToGrid w:val="0"/>
                    <w:spacing w:before="0" w:after="0"/>
                    <w:jc w:val="center"/>
                    <w:rPr>
                      <w:b w:val="0"/>
                      <w:sz w:val="21"/>
                      <w:szCs w:val="21"/>
                    </w:rPr>
                  </w:pPr>
                  <w:r>
                    <w:rPr>
                      <w:b w:val="0"/>
                      <w:sz w:val="21"/>
                      <w:szCs w:val="21"/>
                    </w:rPr>
                    <w:t>12.5</w:t>
                  </w:r>
                </w:p>
              </w:tc>
              <w:tc>
                <w:tcPr>
                  <w:tcW w:w="288" w:type="pct"/>
                  <w:vAlign w:val="center"/>
                </w:tcPr>
                <w:p w14:paraId="67CA94F4">
                  <w:pPr>
                    <w:pStyle w:val="15"/>
                    <w:adjustRightInd w:val="0"/>
                    <w:snapToGrid w:val="0"/>
                    <w:spacing w:before="0" w:after="0"/>
                    <w:jc w:val="center"/>
                    <w:rPr>
                      <w:b w:val="0"/>
                      <w:sz w:val="21"/>
                      <w:szCs w:val="21"/>
                    </w:rPr>
                  </w:pPr>
                  <w:r>
                    <w:rPr>
                      <w:b w:val="0"/>
                      <w:sz w:val="21"/>
                      <w:szCs w:val="21"/>
                    </w:rPr>
                    <w:t>—</w:t>
                  </w:r>
                </w:p>
              </w:tc>
              <w:tc>
                <w:tcPr>
                  <w:tcW w:w="252" w:type="pct"/>
                  <w:vAlign w:val="center"/>
                </w:tcPr>
                <w:p w14:paraId="022C0F7B">
                  <w:pPr>
                    <w:pStyle w:val="15"/>
                    <w:adjustRightInd w:val="0"/>
                    <w:snapToGrid w:val="0"/>
                    <w:spacing w:before="0" w:after="0"/>
                    <w:jc w:val="center"/>
                    <w:rPr>
                      <w:b w:val="0"/>
                      <w:sz w:val="21"/>
                      <w:szCs w:val="21"/>
                    </w:rPr>
                  </w:pPr>
                  <w:r>
                    <w:rPr>
                      <w:b w:val="0"/>
                      <w:sz w:val="21"/>
                      <w:szCs w:val="21"/>
                    </w:rPr>
                    <w:t>10</w:t>
                  </w:r>
                </w:p>
              </w:tc>
              <w:tc>
                <w:tcPr>
                  <w:tcW w:w="288" w:type="pct"/>
                  <w:vAlign w:val="center"/>
                </w:tcPr>
                <w:p w14:paraId="6E9AF8B8">
                  <w:pPr>
                    <w:pStyle w:val="15"/>
                    <w:adjustRightInd w:val="0"/>
                    <w:snapToGrid w:val="0"/>
                    <w:spacing w:before="0" w:after="0"/>
                    <w:jc w:val="center"/>
                    <w:rPr>
                      <w:b w:val="0"/>
                      <w:sz w:val="21"/>
                      <w:szCs w:val="21"/>
                    </w:rPr>
                  </w:pPr>
                  <w:r>
                    <w:rPr>
                      <w:b w:val="0"/>
                      <w:sz w:val="21"/>
                      <w:szCs w:val="21"/>
                    </w:rPr>
                    <w:t>—</w:t>
                  </w:r>
                </w:p>
              </w:tc>
              <w:tc>
                <w:tcPr>
                  <w:tcW w:w="241" w:type="pct"/>
                  <w:vAlign w:val="center"/>
                </w:tcPr>
                <w:p w14:paraId="64D1986B">
                  <w:pPr>
                    <w:pStyle w:val="15"/>
                    <w:adjustRightInd w:val="0"/>
                    <w:snapToGrid w:val="0"/>
                    <w:spacing w:before="0" w:after="0"/>
                    <w:jc w:val="center"/>
                    <w:rPr>
                      <w:b w:val="0"/>
                      <w:sz w:val="21"/>
                      <w:szCs w:val="21"/>
                    </w:rPr>
                  </w:pPr>
                  <w:r>
                    <w:rPr>
                      <w:b w:val="0"/>
                      <w:sz w:val="21"/>
                      <w:szCs w:val="21"/>
                    </w:rPr>
                    <w:t>—</w:t>
                  </w:r>
                </w:p>
              </w:tc>
              <w:tc>
                <w:tcPr>
                  <w:tcW w:w="288" w:type="pct"/>
                  <w:vAlign w:val="center"/>
                </w:tcPr>
                <w:p w14:paraId="7D24C481">
                  <w:pPr>
                    <w:pStyle w:val="15"/>
                    <w:adjustRightInd w:val="0"/>
                    <w:snapToGrid w:val="0"/>
                    <w:spacing w:before="0" w:after="0"/>
                    <w:jc w:val="center"/>
                    <w:rPr>
                      <w:b w:val="0"/>
                      <w:sz w:val="21"/>
                      <w:szCs w:val="21"/>
                    </w:rPr>
                  </w:pPr>
                  <w:r>
                    <w:rPr>
                      <w:b w:val="0"/>
                      <w:sz w:val="21"/>
                      <w:szCs w:val="21"/>
                    </w:rPr>
                    <w:t>12.5</w:t>
                  </w:r>
                </w:p>
              </w:tc>
              <w:tc>
                <w:tcPr>
                  <w:tcW w:w="284" w:type="pct"/>
                  <w:vAlign w:val="center"/>
                </w:tcPr>
                <w:p w14:paraId="3D908291">
                  <w:pPr>
                    <w:pStyle w:val="15"/>
                    <w:adjustRightInd w:val="0"/>
                    <w:snapToGrid w:val="0"/>
                    <w:spacing w:before="0" w:after="0"/>
                    <w:jc w:val="center"/>
                    <w:rPr>
                      <w:b w:val="0"/>
                      <w:sz w:val="21"/>
                      <w:szCs w:val="21"/>
                    </w:rPr>
                  </w:pPr>
                  <w:r>
                    <w:rPr>
                      <w:b w:val="0"/>
                      <w:sz w:val="21"/>
                      <w:szCs w:val="21"/>
                    </w:rPr>
                    <w:t>—</w:t>
                  </w:r>
                </w:p>
              </w:tc>
              <w:tc>
                <w:tcPr>
                  <w:tcW w:w="252" w:type="pct"/>
                  <w:vAlign w:val="center"/>
                </w:tcPr>
                <w:p w14:paraId="5ECE0539">
                  <w:pPr>
                    <w:pStyle w:val="15"/>
                    <w:adjustRightInd w:val="0"/>
                    <w:snapToGrid w:val="0"/>
                    <w:spacing w:before="0" w:after="0"/>
                    <w:jc w:val="center"/>
                    <w:rPr>
                      <w:b w:val="0"/>
                      <w:sz w:val="21"/>
                      <w:szCs w:val="21"/>
                    </w:rPr>
                  </w:pPr>
                  <w:r>
                    <w:rPr>
                      <w:b w:val="0"/>
                      <w:sz w:val="21"/>
                      <w:szCs w:val="21"/>
                    </w:rPr>
                    <w:t>10</w:t>
                  </w:r>
                </w:p>
              </w:tc>
              <w:tc>
                <w:tcPr>
                  <w:tcW w:w="291" w:type="pct"/>
                  <w:vAlign w:val="center"/>
                </w:tcPr>
                <w:p w14:paraId="404EBB98">
                  <w:pPr>
                    <w:pStyle w:val="15"/>
                    <w:adjustRightInd w:val="0"/>
                    <w:snapToGrid w:val="0"/>
                    <w:spacing w:before="0" w:after="0"/>
                    <w:jc w:val="center"/>
                    <w:rPr>
                      <w:b w:val="0"/>
                      <w:sz w:val="21"/>
                      <w:szCs w:val="21"/>
                    </w:rPr>
                  </w:pPr>
                  <w:r>
                    <w:rPr>
                      <w:b w:val="0"/>
                      <w:sz w:val="21"/>
                      <w:szCs w:val="21"/>
                    </w:rPr>
                    <w:t>—</w:t>
                  </w:r>
                </w:p>
              </w:tc>
              <w:tc>
                <w:tcPr>
                  <w:tcW w:w="240" w:type="pct"/>
                  <w:vAlign w:val="center"/>
                </w:tcPr>
                <w:p w14:paraId="6D682D18">
                  <w:pPr>
                    <w:pStyle w:val="15"/>
                    <w:adjustRightInd w:val="0"/>
                    <w:snapToGrid w:val="0"/>
                    <w:spacing w:before="0" w:after="0"/>
                    <w:jc w:val="center"/>
                    <w:rPr>
                      <w:b w:val="0"/>
                      <w:sz w:val="21"/>
                      <w:szCs w:val="21"/>
                    </w:rPr>
                  </w:pPr>
                  <w:r>
                    <w:rPr>
                      <w:b w:val="0"/>
                      <w:sz w:val="21"/>
                      <w:szCs w:val="21"/>
                    </w:rPr>
                    <w:t>—</w:t>
                  </w:r>
                </w:p>
              </w:tc>
              <w:tc>
                <w:tcPr>
                  <w:tcW w:w="288" w:type="pct"/>
                  <w:vAlign w:val="center"/>
                </w:tcPr>
                <w:p w14:paraId="342125B8">
                  <w:pPr>
                    <w:pStyle w:val="15"/>
                    <w:adjustRightInd w:val="0"/>
                    <w:snapToGrid w:val="0"/>
                    <w:spacing w:before="0" w:after="0"/>
                    <w:jc w:val="center"/>
                    <w:rPr>
                      <w:b w:val="0"/>
                      <w:sz w:val="21"/>
                      <w:szCs w:val="21"/>
                    </w:rPr>
                  </w:pPr>
                  <w:r>
                    <w:rPr>
                      <w:b w:val="0"/>
                      <w:sz w:val="21"/>
                      <w:szCs w:val="21"/>
                    </w:rPr>
                    <w:t>12.5</w:t>
                  </w:r>
                </w:p>
              </w:tc>
              <w:tc>
                <w:tcPr>
                  <w:tcW w:w="288" w:type="pct"/>
                  <w:vAlign w:val="center"/>
                </w:tcPr>
                <w:p w14:paraId="46E827A7">
                  <w:pPr>
                    <w:pStyle w:val="15"/>
                    <w:adjustRightInd w:val="0"/>
                    <w:snapToGrid w:val="0"/>
                    <w:spacing w:before="0" w:after="0"/>
                    <w:jc w:val="center"/>
                    <w:rPr>
                      <w:b w:val="0"/>
                      <w:sz w:val="21"/>
                      <w:szCs w:val="21"/>
                    </w:rPr>
                  </w:pPr>
                  <w:r>
                    <w:rPr>
                      <w:b w:val="0"/>
                      <w:sz w:val="21"/>
                      <w:szCs w:val="21"/>
                    </w:rPr>
                    <w:t>—</w:t>
                  </w:r>
                </w:p>
              </w:tc>
              <w:tc>
                <w:tcPr>
                  <w:tcW w:w="252" w:type="pct"/>
                  <w:vAlign w:val="center"/>
                </w:tcPr>
                <w:p w14:paraId="2ECCAF49">
                  <w:pPr>
                    <w:pStyle w:val="15"/>
                    <w:adjustRightInd w:val="0"/>
                    <w:snapToGrid w:val="0"/>
                    <w:spacing w:before="0" w:after="0"/>
                    <w:jc w:val="center"/>
                    <w:rPr>
                      <w:b w:val="0"/>
                      <w:sz w:val="21"/>
                      <w:szCs w:val="21"/>
                    </w:rPr>
                  </w:pPr>
                  <w:r>
                    <w:rPr>
                      <w:b w:val="0"/>
                      <w:sz w:val="21"/>
                      <w:szCs w:val="21"/>
                    </w:rPr>
                    <w:t>10</w:t>
                  </w:r>
                </w:p>
              </w:tc>
              <w:tc>
                <w:tcPr>
                  <w:tcW w:w="288" w:type="pct"/>
                  <w:vAlign w:val="center"/>
                </w:tcPr>
                <w:p w14:paraId="61C08F96">
                  <w:pPr>
                    <w:pStyle w:val="15"/>
                    <w:adjustRightInd w:val="0"/>
                    <w:snapToGrid w:val="0"/>
                    <w:spacing w:before="0" w:after="0"/>
                    <w:jc w:val="center"/>
                    <w:rPr>
                      <w:b w:val="0"/>
                      <w:sz w:val="21"/>
                      <w:szCs w:val="21"/>
                    </w:rPr>
                  </w:pPr>
                  <w:r>
                    <w:rPr>
                      <w:b w:val="0"/>
                      <w:sz w:val="21"/>
                      <w:szCs w:val="21"/>
                    </w:rPr>
                    <w:t>—</w:t>
                  </w:r>
                </w:p>
              </w:tc>
              <w:tc>
                <w:tcPr>
                  <w:tcW w:w="244" w:type="pct"/>
                  <w:vAlign w:val="center"/>
                </w:tcPr>
                <w:p w14:paraId="489B2245">
                  <w:pPr>
                    <w:pStyle w:val="15"/>
                    <w:adjustRightInd w:val="0"/>
                    <w:snapToGrid w:val="0"/>
                    <w:spacing w:before="0" w:after="0"/>
                    <w:jc w:val="center"/>
                    <w:rPr>
                      <w:b w:val="0"/>
                      <w:sz w:val="21"/>
                      <w:szCs w:val="21"/>
                    </w:rPr>
                  </w:pPr>
                  <w:r>
                    <w:rPr>
                      <w:b w:val="0"/>
                      <w:sz w:val="21"/>
                      <w:szCs w:val="21"/>
                    </w:rPr>
                    <w:t>—</w:t>
                  </w:r>
                </w:p>
              </w:tc>
            </w:tr>
            <w:tr w14:paraId="53C32E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cantSplit/>
                <w:trHeight w:val="454" w:hRule="atLeast"/>
                <w:jc w:val="center"/>
              </w:trPr>
              <w:tc>
                <w:tcPr>
                  <w:tcW w:w="276" w:type="pct"/>
                  <w:vMerge w:val="restart"/>
                  <w:vAlign w:val="center"/>
                </w:tcPr>
                <w:p w14:paraId="44F83672">
                  <w:pPr>
                    <w:pStyle w:val="15"/>
                    <w:adjustRightInd w:val="0"/>
                    <w:snapToGrid w:val="0"/>
                    <w:spacing w:before="0" w:after="0"/>
                    <w:jc w:val="center"/>
                    <w:rPr>
                      <w:b w:val="0"/>
                      <w:sz w:val="21"/>
                      <w:szCs w:val="21"/>
                    </w:rPr>
                  </w:pPr>
                  <w:r>
                    <w:rPr>
                      <w:b w:val="0"/>
                      <w:sz w:val="21"/>
                      <w:szCs w:val="21"/>
                    </w:rPr>
                    <w:t>民用建筑物保护类别</w:t>
                  </w:r>
                </w:p>
              </w:tc>
              <w:tc>
                <w:tcPr>
                  <w:tcW w:w="644" w:type="pct"/>
                  <w:vAlign w:val="center"/>
                </w:tcPr>
                <w:p w14:paraId="254D2A6D">
                  <w:pPr>
                    <w:pStyle w:val="15"/>
                    <w:adjustRightInd w:val="0"/>
                    <w:snapToGrid w:val="0"/>
                    <w:spacing w:before="0" w:after="0"/>
                    <w:jc w:val="center"/>
                    <w:rPr>
                      <w:b w:val="0"/>
                      <w:sz w:val="21"/>
                      <w:szCs w:val="21"/>
                    </w:rPr>
                  </w:pPr>
                  <w:r>
                    <w:rPr>
                      <w:b w:val="0"/>
                      <w:sz w:val="21"/>
                      <w:szCs w:val="21"/>
                    </w:rPr>
                    <w:t>一类保护物</w:t>
                  </w:r>
                </w:p>
              </w:tc>
              <w:tc>
                <w:tcPr>
                  <w:tcW w:w="288" w:type="pct"/>
                  <w:vAlign w:val="center"/>
                </w:tcPr>
                <w:p w14:paraId="63E41A86">
                  <w:pPr>
                    <w:pStyle w:val="15"/>
                    <w:adjustRightInd w:val="0"/>
                    <w:snapToGrid w:val="0"/>
                    <w:spacing w:before="0" w:after="0"/>
                    <w:jc w:val="center"/>
                    <w:rPr>
                      <w:b w:val="0"/>
                      <w:sz w:val="21"/>
                      <w:szCs w:val="21"/>
                    </w:rPr>
                  </w:pPr>
                  <w:r>
                    <w:rPr>
                      <w:b w:val="0"/>
                      <w:sz w:val="21"/>
                      <w:szCs w:val="21"/>
                    </w:rPr>
                    <w:t>11</w:t>
                  </w:r>
                </w:p>
              </w:tc>
              <w:tc>
                <w:tcPr>
                  <w:tcW w:w="288" w:type="pct"/>
                  <w:vAlign w:val="center"/>
                </w:tcPr>
                <w:p w14:paraId="6B7EACCB">
                  <w:pPr>
                    <w:pStyle w:val="15"/>
                    <w:adjustRightInd w:val="0"/>
                    <w:snapToGrid w:val="0"/>
                    <w:spacing w:before="0" w:after="0"/>
                    <w:jc w:val="center"/>
                    <w:rPr>
                      <w:b w:val="0"/>
                      <w:sz w:val="21"/>
                      <w:szCs w:val="21"/>
                    </w:rPr>
                  </w:pPr>
                  <w:r>
                    <w:rPr>
                      <w:b w:val="0"/>
                      <w:sz w:val="21"/>
                      <w:szCs w:val="21"/>
                    </w:rPr>
                    <w:t>—</w:t>
                  </w:r>
                </w:p>
              </w:tc>
              <w:tc>
                <w:tcPr>
                  <w:tcW w:w="252" w:type="pct"/>
                  <w:vAlign w:val="center"/>
                </w:tcPr>
                <w:p w14:paraId="6A9C5781">
                  <w:pPr>
                    <w:pStyle w:val="15"/>
                    <w:adjustRightInd w:val="0"/>
                    <w:snapToGrid w:val="0"/>
                    <w:spacing w:before="0" w:after="0"/>
                    <w:jc w:val="center"/>
                    <w:rPr>
                      <w:b w:val="0"/>
                      <w:sz w:val="21"/>
                      <w:szCs w:val="21"/>
                    </w:rPr>
                  </w:pPr>
                  <w:r>
                    <w:rPr>
                      <w:b w:val="0"/>
                      <w:sz w:val="21"/>
                      <w:szCs w:val="21"/>
                    </w:rPr>
                    <w:t>6</w:t>
                  </w:r>
                </w:p>
              </w:tc>
              <w:tc>
                <w:tcPr>
                  <w:tcW w:w="288" w:type="pct"/>
                  <w:vAlign w:val="center"/>
                </w:tcPr>
                <w:p w14:paraId="56346B0F">
                  <w:pPr>
                    <w:pStyle w:val="15"/>
                    <w:adjustRightInd w:val="0"/>
                    <w:snapToGrid w:val="0"/>
                    <w:spacing w:before="0" w:after="0"/>
                    <w:jc w:val="center"/>
                    <w:rPr>
                      <w:b w:val="0"/>
                      <w:sz w:val="21"/>
                      <w:szCs w:val="21"/>
                    </w:rPr>
                  </w:pPr>
                  <w:r>
                    <w:rPr>
                      <w:b w:val="0"/>
                      <w:sz w:val="21"/>
                      <w:szCs w:val="21"/>
                    </w:rPr>
                    <w:t>—</w:t>
                  </w:r>
                </w:p>
              </w:tc>
              <w:tc>
                <w:tcPr>
                  <w:tcW w:w="241" w:type="pct"/>
                  <w:vAlign w:val="center"/>
                </w:tcPr>
                <w:p w14:paraId="7DF894F6">
                  <w:pPr>
                    <w:pStyle w:val="15"/>
                    <w:adjustRightInd w:val="0"/>
                    <w:snapToGrid w:val="0"/>
                    <w:spacing w:before="0" w:after="0"/>
                    <w:jc w:val="center"/>
                    <w:rPr>
                      <w:b w:val="0"/>
                      <w:sz w:val="21"/>
                      <w:szCs w:val="21"/>
                    </w:rPr>
                  </w:pPr>
                </w:p>
              </w:tc>
              <w:tc>
                <w:tcPr>
                  <w:tcW w:w="288" w:type="pct"/>
                  <w:vAlign w:val="center"/>
                </w:tcPr>
                <w:p w14:paraId="5DAD62C0">
                  <w:pPr>
                    <w:pStyle w:val="15"/>
                    <w:adjustRightInd w:val="0"/>
                    <w:snapToGrid w:val="0"/>
                    <w:spacing w:before="0" w:after="0"/>
                    <w:jc w:val="center"/>
                    <w:rPr>
                      <w:b w:val="0"/>
                      <w:sz w:val="21"/>
                      <w:szCs w:val="21"/>
                    </w:rPr>
                  </w:pPr>
                  <w:r>
                    <w:rPr>
                      <w:b w:val="0"/>
                      <w:sz w:val="21"/>
                      <w:szCs w:val="21"/>
                    </w:rPr>
                    <w:t>11</w:t>
                  </w:r>
                </w:p>
              </w:tc>
              <w:tc>
                <w:tcPr>
                  <w:tcW w:w="284" w:type="pct"/>
                  <w:vAlign w:val="center"/>
                </w:tcPr>
                <w:p w14:paraId="4CDD9E8A">
                  <w:pPr>
                    <w:pStyle w:val="15"/>
                    <w:adjustRightInd w:val="0"/>
                    <w:snapToGrid w:val="0"/>
                    <w:spacing w:before="0" w:after="0"/>
                    <w:jc w:val="center"/>
                    <w:rPr>
                      <w:b w:val="0"/>
                      <w:sz w:val="21"/>
                      <w:szCs w:val="21"/>
                    </w:rPr>
                  </w:pPr>
                  <w:r>
                    <w:rPr>
                      <w:b w:val="0"/>
                      <w:sz w:val="21"/>
                      <w:szCs w:val="21"/>
                    </w:rPr>
                    <w:t>—</w:t>
                  </w:r>
                </w:p>
              </w:tc>
              <w:tc>
                <w:tcPr>
                  <w:tcW w:w="252" w:type="pct"/>
                  <w:vAlign w:val="center"/>
                </w:tcPr>
                <w:p w14:paraId="44810A1C">
                  <w:pPr>
                    <w:pStyle w:val="15"/>
                    <w:adjustRightInd w:val="0"/>
                    <w:snapToGrid w:val="0"/>
                    <w:spacing w:before="0" w:after="0"/>
                    <w:jc w:val="center"/>
                    <w:rPr>
                      <w:b w:val="0"/>
                      <w:sz w:val="21"/>
                      <w:szCs w:val="21"/>
                    </w:rPr>
                  </w:pPr>
                  <w:r>
                    <w:rPr>
                      <w:b w:val="0"/>
                      <w:sz w:val="21"/>
                      <w:szCs w:val="21"/>
                    </w:rPr>
                    <w:t>6</w:t>
                  </w:r>
                </w:p>
              </w:tc>
              <w:tc>
                <w:tcPr>
                  <w:tcW w:w="291" w:type="pct"/>
                  <w:vAlign w:val="center"/>
                </w:tcPr>
                <w:p w14:paraId="2EBCA18C">
                  <w:pPr>
                    <w:pStyle w:val="15"/>
                    <w:adjustRightInd w:val="0"/>
                    <w:snapToGrid w:val="0"/>
                    <w:spacing w:before="0" w:after="0"/>
                    <w:jc w:val="center"/>
                    <w:rPr>
                      <w:b w:val="0"/>
                      <w:sz w:val="21"/>
                      <w:szCs w:val="21"/>
                    </w:rPr>
                  </w:pPr>
                  <w:r>
                    <w:rPr>
                      <w:b w:val="0"/>
                      <w:sz w:val="21"/>
                      <w:szCs w:val="21"/>
                    </w:rPr>
                    <w:t>—</w:t>
                  </w:r>
                </w:p>
              </w:tc>
              <w:tc>
                <w:tcPr>
                  <w:tcW w:w="240" w:type="pct"/>
                  <w:vAlign w:val="center"/>
                </w:tcPr>
                <w:p w14:paraId="24908C1B">
                  <w:pPr>
                    <w:pStyle w:val="15"/>
                    <w:adjustRightInd w:val="0"/>
                    <w:snapToGrid w:val="0"/>
                    <w:spacing w:before="0" w:after="0"/>
                    <w:jc w:val="center"/>
                    <w:rPr>
                      <w:b w:val="0"/>
                      <w:sz w:val="21"/>
                      <w:szCs w:val="21"/>
                    </w:rPr>
                  </w:pPr>
                  <w:r>
                    <w:rPr>
                      <w:b w:val="0"/>
                      <w:sz w:val="21"/>
                      <w:szCs w:val="21"/>
                    </w:rPr>
                    <w:t>—</w:t>
                  </w:r>
                </w:p>
              </w:tc>
              <w:tc>
                <w:tcPr>
                  <w:tcW w:w="288" w:type="pct"/>
                  <w:vAlign w:val="center"/>
                </w:tcPr>
                <w:p w14:paraId="773222A3">
                  <w:pPr>
                    <w:pStyle w:val="15"/>
                    <w:adjustRightInd w:val="0"/>
                    <w:snapToGrid w:val="0"/>
                    <w:spacing w:before="0" w:after="0"/>
                    <w:jc w:val="center"/>
                    <w:rPr>
                      <w:b w:val="0"/>
                      <w:sz w:val="21"/>
                      <w:szCs w:val="21"/>
                    </w:rPr>
                  </w:pPr>
                  <w:r>
                    <w:rPr>
                      <w:b w:val="0"/>
                      <w:sz w:val="21"/>
                      <w:szCs w:val="21"/>
                    </w:rPr>
                    <w:t>11</w:t>
                  </w:r>
                </w:p>
              </w:tc>
              <w:tc>
                <w:tcPr>
                  <w:tcW w:w="288" w:type="pct"/>
                  <w:vAlign w:val="center"/>
                </w:tcPr>
                <w:p w14:paraId="0C72112A">
                  <w:pPr>
                    <w:pStyle w:val="15"/>
                    <w:adjustRightInd w:val="0"/>
                    <w:snapToGrid w:val="0"/>
                    <w:spacing w:before="0" w:after="0"/>
                    <w:jc w:val="center"/>
                    <w:rPr>
                      <w:b w:val="0"/>
                      <w:sz w:val="21"/>
                      <w:szCs w:val="21"/>
                    </w:rPr>
                  </w:pPr>
                  <w:r>
                    <w:rPr>
                      <w:b w:val="0"/>
                      <w:sz w:val="21"/>
                      <w:szCs w:val="21"/>
                    </w:rPr>
                    <w:t>—</w:t>
                  </w:r>
                </w:p>
              </w:tc>
              <w:tc>
                <w:tcPr>
                  <w:tcW w:w="252" w:type="pct"/>
                  <w:vAlign w:val="center"/>
                </w:tcPr>
                <w:p w14:paraId="5D5915BE">
                  <w:pPr>
                    <w:pStyle w:val="15"/>
                    <w:adjustRightInd w:val="0"/>
                    <w:snapToGrid w:val="0"/>
                    <w:spacing w:before="0" w:after="0"/>
                    <w:jc w:val="center"/>
                    <w:rPr>
                      <w:b w:val="0"/>
                      <w:sz w:val="21"/>
                      <w:szCs w:val="21"/>
                    </w:rPr>
                  </w:pPr>
                  <w:r>
                    <w:rPr>
                      <w:b w:val="0"/>
                      <w:sz w:val="21"/>
                      <w:szCs w:val="21"/>
                    </w:rPr>
                    <w:t>6</w:t>
                  </w:r>
                </w:p>
              </w:tc>
              <w:tc>
                <w:tcPr>
                  <w:tcW w:w="288" w:type="pct"/>
                  <w:vAlign w:val="center"/>
                </w:tcPr>
                <w:p w14:paraId="30EE87BE">
                  <w:pPr>
                    <w:pStyle w:val="15"/>
                    <w:adjustRightInd w:val="0"/>
                    <w:snapToGrid w:val="0"/>
                    <w:spacing w:before="0" w:after="0"/>
                    <w:jc w:val="center"/>
                    <w:rPr>
                      <w:b w:val="0"/>
                      <w:sz w:val="21"/>
                      <w:szCs w:val="21"/>
                    </w:rPr>
                  </w:pPr>
                  <w:r>
                    <w:rPr>
                      <w:b w:val="0"/>
                      <w:sz w:val="21"/>
                      <w:szCs w:val="21"/>
                    </w:rPr>
                    <w:t>—</w:t>
                  </w:r>
                </w:p>
              </w:tc>
              <w:tc>
                <w:tcPr>
                  <w:tcW w:w="244" w:type="pct"/>
                  <w:vAlign w:val="center"/>
                </w:tcPr>
                <w:p w14:paraId="4E7B0146">
                  <w:pPr>
                    <w:pStyle w:val="15"/>
                    <w:adjustRightInd w:val="0"/>
                    <w:snapToGrid w:val="0"/>
                    <w:spacing w:before="0" w:after="0"/>
                    <w:jc w:val="center"/>
                    <w:rPr>
                      <w:b w:val="0"/>
                      <w:sz w:val="21"/>
                      <w:szCs w:val="21"/>
                    </w:rPr>
                  </w:pPr>
                  <w:r>
                    <w:rPr>
                      <w:b w:val="0"/>
                      <w:sz w:val="21"/>
                      <w:szCs w:val="21"/>
                    </w:rPr>
                    <w:t>—</w:t>
                  </w:r>
                </w:p>
              </w:tc>
            </w:tr>
            <w:tr w14:paraId="027A73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cantSplit/>
                <w:trHeight w:val="454" w:hRule="atLeast"/>
                <w:jc w:val="center"/>
              </w:trPr>
              <w:tc>
                <w:tcPr>
                  <w:tcW w:w="276" w:type="pct"/>
                  <w:vMerge w:val="continue"/>
                  <w:vAlign w:val="center"/>
                </w:tcPr>
                <w:p w14:paraId="10929FE4">
                  <w:pPr>
                    <w:pStyle w:val="15"/>
                    <w:adjustRightInd w:val="0"/>
                    <w:snapToGrid w:val="0"/>
                    <w:spacing w:before="0" w:after="0"/>
                    <w:jc w:val="center"/>
                    <w:rPr>
                      <w:b w:val="0"/>
                      <w:sz w:val="21"/>
                      <w:szCs w:val="21"/>
                    </w:rPr>
                  </w:pPr>
                </w:p>
              </w:tc>
              <w:tc>
                <w:tcPr>
                  <w:tcW w:w="644" w:type="pct"/>
                  <w:vAlign w:val="center"/>
                </w:tcPr>
                <w:p w14:paraId="5A29FF90">
                  <w:pPr>
                    <w:pStyle w:val="15"/>
                    <w:adjustRightInd w:val="0"/>
                    <w:snapToGrid w:val="0"/>
                    <w:spacing w:before="0" w:after="0"/>
                    <w:jc w:val="center"/>
                    <w:rPr>
                      <w:b w:val="0"/>
                      <w:sz w:val="21"/>
                      <w:szCs w:val="21"/>
                    </w:rPr>
                  </w:pPr>
                  <w:r>
                    <w:rPr>
                      <w:b w:val="0"/>
                      <w:sz w:val="21"/>
                      <w:szCs w:val="21"/>
                    </w:rPr>
                    <w:t>二类保护物</w:t>
                  </w:r>
                </w:p>
              </w:tc>
              <w:tc>
                <w:tcPr>
                  <w:tcW w:w="288" w:type="pct"/>
                  <w:vAlign w:val="center"/>
                </w:tcPr>
                <w:p w14:paraId="4638C4BF">
                  <w:pPr>
                    <w:pStyle w:val="15"/>
                    <w:adjustRightInd w:val="0"/>
                    <w:snapToGrid w:val="0"/>
                    <w:spacing w:before="0" w:after="0"/>
                    <w:jc w:val="center"/>
                    <w:rPr>
                      <w:b w:val="0"/>
                      <w:sz w:val="21"/>
                      <w:szCs w:val="21"/>
                    </w:rPr>
                  </w:pPr>
                  <w:r>
                    <w:rPr>
                      <w:b w:val="0"/>
                      <w:sz w:val="21"/>
                      <w:szCs w:val="21"/>
                    </w:rPr>
                    <w:t>8.5</w:t>
                  </w:r>
                </w:p>
              </w:tc>
              <w:tc>
                <w:tcPr>
                  <w:tcW w:w="288" w:type="pct"/>
                  <w:vAlign w:val="center"/>
                </w:tcPr>
                <w:p w14:paraId="63EAFA89">
                  <w:pPr>
                    <w:pStyle w:val="15"/>
                    <w:adjustRightInd w:val="0"/>
                    <w:snapToGrid w:val="0"/>
                    <w:spacing w:before="0" w:after="0"/>
                    <w:jc w:val="center"/>
                    <w:rPr>
                      <w:b w:val="0"/>
                      <w:sz w:val="21"/>
                      <w:szCs w:val="21"/>
                    </w:rPr>
                  </w:pPr>
                  <w:r>
                    <w:rPr>
                      <w:b w:val="0"/>
                      <w:sz w:val="21"/>
                      <w:szCs w:val="21"/>
                    </w:rPr>
                    <w:t>—</w:t>
                  </w:r>
                </w:p>
              </w:tc>
              <w:tc>
                <w:tcPr>
                  <w:tcW w:w="252" w:type="pct"/>
                  <w:vAlign w:val="center"/>
                </w:tcPr>
                <w:p w14:paraId="722F461B">
                  <w:pPr>
                    <w:pStyle w:val="15"/>
                    <w:adjustRightInd w:val="0"/>
                    <w:snapToGrid w:val="0"/>
                    <w:spacing w:before="0" w:after="0"/>
                    <w:jc w:val="center"/>
                    <w:rPr>
                      <w:b w:val="0"/>
                      <w:sz w:val="21"/>
                      <w:szCs w:val="21"/>
                    </w:rPr>
                  </w:pPr>
                  <w:r>
                    <w:rPr>
                      <w:b w:val="0"/>
                      <w:sz w:val="21"/>
                      <w:szCs w:val="21"/>
                    </w:rPr>
                    <w:t>6</w:t>
                  </w:r>
                </w:p>
              </w:tc>
              <w:tc>
                <w:tcPr>
                  <w:tcW w:w="288" w:type="pct"/>
                  <w:vAlign w:val="center"/>
                </w:tcPr>
                <w:p w14:paraId="0F3E7F36">
                  <w:pPr>
                    <w:pStyle w:val="15"/>
                    <w:adjustRightInd w:val="0"/>
                    <w:snapToGrid w:val="0"/>
                    <w:spacing w:before="0" w:after="0"/>
                    <w:jc w:val="center"/>
                    <w:rPr>
                      <w:b w:val="0"/>
                      <w:sz w:val="21"/>
                      <w:szCs w:val="21"/>
                    </w:rPr>
                  </w:pPr>
                  <w:r>
                    <w:rPr>
                      <w:b w:val="0"/>
                      <w:sz w:val="21"/>
                      <w:szCs w:val="21"/>
                    </w:rPr>
                    <w:t>—</w:t>
                  </w:r>
                </w:p>
              </w:tc>
              <w:tc>
                <w:tcPr>
                  <w:tcW w:w="241" w:type="pct"/>
                  <w:vAlign w:val="center"/>
                </w:tcPr>
                <w:p w14:paraId="04F2236A">
                  <w:pPr>
                    <w:pStyle w:val="15"/>
                    <w:adjustRightInd w:val="0"/>
                    <w:snapToGrid w:val="0"/>
                    <w:spacing w:before="0" w:after="0"/>
                    <w:jc w:val="center"/>
                    <w:rPr>
                      <w:b w:val="0"/>
                      <w:sz w:val="21"/>
                      <w:szCs w:val="21"/>
                    </w:rPr>
                  </w:pPr>
                  <w:r>
                    <w:rPr>
                      <w:b w:val="0"/>
                      <w:sz w:val="21"/>
                      <w:szCs w:val="21"/>
                    </w:rPr>
                    <w:t>—</w:t>
                  </w:r>
                </w:p>
              </w:tc>
              <w:tc>
                <w:tcPr>
                  <w:tcW w:w="288" w:type="pct"/>
                  <w:vAlign w:val="center"/>
                </w:tcPr>
                <w:p w14:paraId="07DD8610">
                  <w:pPr>
                    <w:pStyle w:val="15"/>
                    <w:adjustRightInd w:val="0"/>
                    <w:snapToGrid w:val="0"/>
                    <w:spacing w:before="0" w:after="0"/>
                    <w:jc w:val="center"/>
                    <w:rPr>
                      <w:b w:val="0"/>
                      <w:sz w:val="21"/>
                      <w:szCs w:val="21"/>
                    </w:rPr>
                  </w:pPr>
                  <w:r>
                    <w:rPr>
                      <w:b w:val="0"/>
                      <w:sz w:val="21"/>
                      <w:szCs w:val="21"/>
                    </w:rPr>
                    <w:t>8.5</w:t>
                  </w:r>
                </w:p>
              </w:tc>
              <w:tc>
                <w:tcPr>
                  <w:tcW w:w="284" w:type="pct"/>
                  <w:vAlign w:val="center"/>
                </w:tcPr>
                <w:p w14:paraId="6557B582">
                  <w:pPr>
                    <w:pStyle w:val="15"/>
                    <w:adjustRightInd w:val="0"/>
                    <w:snapToGrid w:val="0"/>
                    <w:spacing w:before="0" w:after="0"/>
                    <w:jc w:val="center"/>
                    <w:rPr>
                      <w:b w:val="0"/>
                      <w:sz w:val="21"/>
                      <w:szCs w:val="21"/>
                    </w:rPr>
                  </w:pPr>
                  <w:r>
                    <w:rPr>
                      <w:b w:val="0"/>
                      <w:sz w:val="21"/>
                      <w:szCs w:val="21"/>
                    </w:rPr>
                    <w:t>—</w:t>
                  </w:r>
                </w:p>
              </w:tc>
              <w:tc>
                <w:tcPr>
                  <w:tcW w:w="252" w:type="pct"/>
                  <w:vAlign w:val="center"/>
                </w:tcPr>
                <w:p w14:paraId="70B072AA">
                  <w:pPr>
                    <w:pStyle w:val="15"/>
                    <w:adjustRightInd w:val="0"/>
                    <w:snapToGrid w:val="0"/>
                    <w:spacing w:before="0" w:after="0"/>
                    <w:jc w:val="center"/>
                    <w:rPr>
                      <w:b w:val="0"/>
                      <w:sz w:val="21"/>
                      <w:szCs w:val="21"/>
                    </w:rPr>
                  </w:pPr>
                  <w:r>
                    <w:rPr>
                      <w:b w:val="0"/>
                      <w:sz w:val="21"/>
                      <w:szCs w:val="21"/>
                    </w:rPr>
                    <w:t>6</w:t>
                  </w:r>
                </w:p>
              </w:tc>
              <w:tc>
                <w:tcPr>
                  <w:tcW w:w="291" w:type="pct"/>
                  <w:vAlign w:val="center"/>
                </w:tcPr>
                <w:p w14:paraId="33C4BF39">
                  <w:pPr>
                    <w:pStyle w:val="15"/>
                    <w:adjustRightInd w:val="0"/>
                    <w:snapToGrid w:val="0"/>
                    <w:spacing w:before="0" w:after="0"/>
                    <w:jc w:val="center"/>
                    <w:rPr>
                      <w:b w:val="0"/>
                      <w:sz w:val="21"/>
                      <w:szCs w:val="21"/>
                    </w:rPr>
                  </w:pPr>
                  <w:r>
                    <w:rPr>
                      <w:b w:val="0"/>
                      <w:sz w:val="21"/>
                      <w:szCs w:val="21"/>
                    </w:rPr>
                    <w:t>—</w:t>
                  </w:r>
                </w:p>
              </w:tc>
              <w:tc>
                <w:tcPr>
                  <w:tcW w:w="240" w:type="pct"/>
                  <w:vAlign w:val="center"/>
                </w:tcPr>
                <w:p w14:paraId="6DEF9F29">
                  <w:pPr>
                    <w:pStyle w:val="15"/>
                    <w:adjustRightInd w:val="0"/>
                    <w:snapToGrid w:val="0"/>
                    <w:spacing w:before="0" w:after="0"/>
                    <w:jc w:val="center"/>
                    <w:rPr>
                      <w:b w:val="0"/>
                      <w:sz w:val="21"/>
                      <w:szCs w:val="21"/>
                    </w:rPr>
                  </w:pPr>
                  <w:r>
                    <w:rPr>
                      <w:b w:val="0"/>
                      <w:sz w:val="21"/>
                      <w:szCs w:val="21"/>
                    </w:rPr>
                    <w:t>—</w:t>
                  </w:r>
                </w:p>
              </w:tc>
              <w:tc>
                <w:tcPr>
                  <w:tcW w:w="288" w:type="pct"/>
                  <w:vAlign w:val="center"/>
                </w:tcPr>
                <w:p w14:paraId="64025FA2">
                  <w:pPr>
                    <w:pStyle w:val="15"/>
                    <w:adjustRightInd w:val="0"/>
                    <w:snapToGrid w:val="0"/>
                    <w:spacing w:before="0" w:after="0"/>
                    <w:jc w:val="center"/>
                    <w:rPr>
                      <w:b w:val="0"/>
                      <w:sz w:val="21"/>
                      <w:szCs w:val="21"/>
                    </w:rPr>
                  </w:pPr>
                  <w:r>
                    <w:rPr>
                      <w:b w:val="0"/>
                      <w:sz w:val="21"/>
                      <w:szCs w:val="21"/>
                    </w:rPr>
                    <w:t>8.5</w:t>
                  </w:r>
                </w:p>
              </w:tc>
              <w:tc>
                <w:tcPr>
                  <w:tcW w:w="288" w:type="pct"/>
                  <w:vAlign w:val="center"/>
                </w:tcPr>
                <w:p w14:paraId="02FD399E">
                  <w:pPr>
                    <w:pStyle w:val="15"/>
                    <w:adjustRightInd w:val="0"/>
                    <w:snapToGrid w:val="0"/>
                    <w:spacing w:before="0" w:after="0"/>
                    <w:jc w:val="center"/>
                    <w:rPr>
                      <w:b w:val="0"/>
                      <w:sz w:val="21"/>
                      <w:szCs w:val="21"/>
                    </w:rPr>
                  </w:pPr>
                  <w:r>
                    <w:rPr>
                      <w:b w:val="0"/>
                      <w:sz w:val="21"/>
                      <w:szCs w:val="21"/>
                    </w:rPr>
                    <w:t>—</w:t>
                  </w:r>
                </w:p>
              </w:tc>
              <w:tc>
                <w:tcPr>
                  <w:tcW w:w="252" w:type="pct"/>
                  <w:vAlign w:val="center"/>
                </w:tcPr>
                <w:p w14:paraId="752A172F">
                  <w:pPr>
                    <w:pStyle w:val="15"/>
                    <w:adjustRightInd w:val="0"/>
                    <w:snapToGrid w:val="0"/>
                    <w:spacing w:before="0" w:after="0"/>
                    <w:jc w:val="center"/>
                    <w:rPr>
                      <w:b w:val="0"/>
                      <w:sz w:val="21"/>
                      <w:szCs w:val="21"/>
                    </w:rPr>
                  </w:pPr>
                  <w:r>
                    <w:rPr>
                      <w:b w:val="0"/>
                      <w:sz w:val="21"/>
                      <w:szCs w:val="21"/>
                    </w:rPr>
                    <w:t>6</w:t>
                  </w:r>
                </w:p>
              </w:tc>
              <w:tc>
                <w:tcPr>
                  <w:tcW w:w="288" w:type="pct"/>
                  <w:vAlign w:val="center"/>
                </w:tcPr>
                <w:p w14:paraId="1BB0C220">
                  <w:pPr>
                    <w:pStyle w:val="15"/>
                    <w:adjustRightInd w:val="0"/>
                    <w:snapToGrid w:val="0"/>
                    <w:spacing w:before="0" w:after="0"/>
                    <w:jc w:val="center"/>
                    <w:rPr>
                      <w:b w:val="0"/>
                      <w:sz w:val="21"/>
                      <w:szCs w:val="21"/>
                    </w:rPr>
                  </w:pPr>
                  <w:r>
                    <w:rPr>
                      <w:b w:val="0"/>
                      <w:sz w:val="21"/>
                      <w:szCs w:val="21"/>
                    </w:rPr>
                    <w:t>—</w:t>
                  </w:r>
                </w:p>
              </w:tc>
              <w:tc>
                <w:tcPr>
                  <w:tcW w:w="244" w:type="pct"/>
                  <w:vAlign w:val="center"/>
                </w:tcPr>
                <w:p w14:paraId="4D907BD5">
                  <w:pPr>
                    <w:pStyle w:val="15"/>
                    <w:adjustRightInd w:val="0"/>
                    <w:snapToGrid w:val="0"/>
                    <w:spacing w:before="0" w:after="0"/>
                    <w:jc w:val="center"/>
                    <w:rPr>
                      <w:b w:val="0"/>
                      <w:sz w:val="21"/>
                      <w:szCs w:val="21"/>
                    </w:rPr>
                  </w:pPr>
                  <w:r>
                    <w:rPr>
                      <w:b w:val="0"/>
                      <w:sz w:val="21"/>
                      <w:szCs w:val="21"/>
                    </w:rPr>
                    <w:t>—</w:t>
                  </w:r>
                </w:p>
              </w:tc>
            </w:tr>
            <w:tr w14:paraId="1834BA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cantSplit/>
                <w:trHeight w:val="454" w:hRule="atLeast"/>
                <w:jc w:val="center"/>
              </w:trPr>
              <w:tc>
                <w:tcPr>
                  <w:tcW w:w="276" w:type="pct"/>
                  <w:vMerge w:val="continue"/>
                  <w:vAlign w:val="center"/>
                </w:tcPr>
                <w:p w14:paraId="147B4D58">
                  <w:pPr>
                    <w:pStyle w:val="15"/>
                    <w:adjustRightInd w:val="0"/>
                    <w:snapToGrid w:val="0"/>
                    <w:spacing w:before="0" w:after="0"/>
                    <w:jc w:val="center"/>
                    <w:rPr>
                      <w:b w:val="0"/>
                      <w:sz w:val="21"/>
                      <w:szCs w:val="21"/>
                    </w:rPr>
                  </w:pPr>
                </w:p>
              </w:tc>
              <w:tc>
                <w:tcPr>
                  <w:tcW w:w="644" w:type="pct"/>
                  <w:vAlign w:val="center"/>
                </w:tcPr>
                <w:p w14:paraId="7ACF405C">
                  <w:pPr>
                    <w:pStyle w:val="15"/>
                    <w:adjustRightInd w:val="0"/>
                    <w:snapToGrid w:val="0"/>
                    <w:spacing w:before="0" w:after="0"/>
                    <w:jc w:val="center"/>
                    <w:rPr>
                      <w:b w:val="0"/>
                      <w:sz w:val="21"/>
                      <w:szCs w:val="21"/>
                    </w:rPr>
                  </w:pPr>
                  <w:r>
                    <w:rPr>
                      <w:b w:val="0"/>
                      <w:sz w:val="21"/>
                      <w:szCs w:val="21"/>
                    </w:rPr>
                    <w:t>三类保护物</w:t>
                  </w:r>
                </w:p>
                <w:p w14:paraId="22AD879F">
                  <w:pPr>
                    <w:adjustRightInd w:val="0"/>
                    <w:snapToGrid w:val="0"/>
                    <w:jc w:val="center"/>
                    <w:rPr>
                      <w:szCs w:val="21"/>
                    </w:rPr>
                  </w:pPr>
                  <w:r>
                    <w:rPr>
                      <w:szCs w:val="21"/>
                    </w:rPr>
                    <w:t>（取最近距离）</w:t>
                  </w:r>
                </w:p>
              </w:tc>
              <w:tc>
                <w:tcPr>
                  <w:tcW w:w="288" w:type="pct"/>
                  <w:vAlign w:val="center"/>
                </w:tcPr>
                <w:p w14:paraId="44A7726C">
                  <w:pPr>
                    <w:pStyle w:val="15"/>
                    <w:adjustRightInd w:val="0"/>
                    <w:snapToGrid w:val="0"/>
                    <w:spacing w:before="0" w:after="0"/>
                    <w:jc w:val="center"/>
                    <w:rPr>
                      <w:b w:val="0"/>
                      <w:sz w:val="21"/>
                      <w:szCs w:val="21"/>
                    </w:rPr>
                  </w:pPr>
                  <w:r>
                    <w:rPr>
                      <w:b w:val="0"/>
                      <w:sz w:val="21"/>
                      <w:szCs w:val="21"/>
                    </w:rPr>
                    <w:t>7</w:t>
                  </w:r>
                </w:p>
              </w:tc>
              <w:tc>
                <w:tcPr>
                  <w:tcW w:w="288" w:type="pct"/>
                  <w:vAlign w:val="center"/>
                </w:tcPr>
                <w:p w14:paraId="3CFE1220">
                  <w:pPr>
                    <w:pStyle w:val="15"/>
                    <w:adjustRightInd w:val="0"/>
                    <w:snapToGrid w:val="0"/>
                    <w:spacing w:before="0" w:after="0"/>
                    <w:jc w:val="center"/>
                    <w:rPr>
                      <w:b w:val="0"/>
                      <w:sz w:val="21"/>
                      <w:szCs w:val="21"/>
                    </w:rPr>
                  </w:pPr>
                  <w:r>
                    <w:rPr>
                      <w:b w:val="0"/>
                      <w:sz w:val="21"/>
                      <w:szCs w:val="21"/>
                    </w:rPr>
                    <w:t>29</w:t>
                  </w:r>
                </w:p>
              </w:tc>
              <w:tc>
                <w:tcPr>
                  <w:tcW w:w="252" w:type="pct"/>
                  <w:vAlign w:val="center"/>
                </w:tcPr>
                <w:p w14:paraId="6F1A14ED">
                  <w:pPr>
                    <w:pStyle w:val="15"/>
                    <w:adjustRightInd w:val="0"/>
                    <w:snapToGrid w:val="0"/>
                    <w:spacing w:before="0" w:after="0"/>
                    <w:jc w:val="center"/>
                    <w:rPr>
                      <w:b w:val="0"/>
                      <w:sz w:val="21"/>
                      <w:szCs w:val="21"/>
                    </w:rPr>
                  </w:pPr>
                  <w:r>
                    <w:rPr>
                      <w:b w:val="0"/>
                      <w:sz w:val="21"/>
                      <w:szCs w:val="21"/>
                    </w:rPr>
                    <w:t>6</w:t>
                  </w:r>
                </w:p>
              </w:tc>
              <w:tc>
                <w:tcPr>
                  <w:tcW w:w="288" w:type="pct"/>
                  <w:vAlign w:val="center"/>
                </w:tcPr>
                <w:p w14:paraId="2EE4DD66">
                  <w:pPr>
                    <w:adjustRightInd w:val="0"/>
                    <w:snapToGrid w:val="0"/>
                    <w:jc w:val="center"/>
                    <w:rPr>
                      <w:szCs w:val="21"/>
                    </w:rPr>
                  </w:pPr>
                  <w:r>
                    <w:rPr>
                      <w:szCs w:val="21"/>
                    </w:rPr>
                    <w:t>28</w:t>
                  </w:r>
                </w:p>
              </w:tc>
              <w:tc>
                <w:tcPr>
                  <w:tcW w:w="241" w:type="pct"/>
                  <w:vAlign w:val="center"/>
                </w:tcPr>
                <w:p w14:paraId="7435D5D2">
                  <w:pPr>
                    <w:adjustRightInd w:val="0"/>
                    <w:snapToGrid w:val="0"/>
                    <w:jc w:val="center"/>
                    <w:rPr>
                      <w:szCs w:val="21"/>
                    </w:rPr>
                  </w:pPr>
                  <w:r>
                    <w:rPr>
                      <w:szCs w:val="21"/>
                    </w:rPr>
                    <w:t>合格</w:t>
                  </w:r>
                </w:p>
              </w:tc>
              <w:tc>
                <w:tcPr>
                  <w:tcW w:w="288" w:type="pct"/>
                  <w:vAlign w:val="center"/>
                </w:tcPr>
                <w:p w14:paraId="013A5071">
                  <w:pPr>
                    <w:pStyle w:val="15"/>
                    <w:adjustRightInd w:val="0"/>
                    <w:snapToGrid w:val="0"/>
                    <w:spacing w:before="0" w:after="0"/>
                    <w:jc w:val="center"/>
                    <w:rPr>
                      <w:b w:val="0"/>
                      <w:sz w:val="21"/>
                      <w:szCs w:val="21"/>
                    </w:rPr>
                  </w:pPr>
                  <w:r>
                    <w:rPr>
                      <w:b w:val="0"/>
                      <w:sz w:val="21"/>
                      <w:szCs w:val="21"/>
                    </w:rPr>
                    <w:t>7</w:t>
                  </w:r>
                </w:p>
              </w:tc>
              <w:tc>
                <w:tcPr>
                  <w:tcW w:w="284" w:type="pct"/>
                  <w:vAlign w:val="center"/>
                </w:tcPr>
                <w:p w14:paraId="02EA50AD">
                  <w:pPr>
                    <w:pStyle w:val="15"/>
                    <w:adjustRightInd w:val="0"/>
                    <w:snapToGrid w:val="0"/>
                    <w:spacing w:before="0" w:after="0"/>
                    <w:jc w:val="center"/>
                    <w:rPr>
                      <w:b w:val="0"/>
                      <w:sz w:val="21"/>
                      <w:szCs w:val="21"/>
                    </w:rPr>
                  </w:pPr>
                  <w:r>
                    <w:rPr>
                      <w:b w:val="0"/>
                      <w:sz w:val="21"/>
                      <w:szCs w:val="21"/>
                    </w:rPr>
                    <w:t>11.8</w:t>
                  </w:r>
                </w:p>
              </w:tc>
              <w:tc>
                <w:tcPr>
                  <w:tcW w:w="252" w:type="pct"/>
                  <w:vAlign w:val="center"/>
                </w:tcPr>
                <w:p w14:paraId="0D6AF851">
                  <w:pPr>
                    <w:pStyle w:val="15"/>
                    <w:adjustRightInd w:val="0"/>
                    <w:snapToGrid w:val="0"/>
                    <w:spacing w:before="0" w:after="0"/>
                    <w:jc w:val="center"/>
                    <w:rPr>
                      <w:b w:val="0"/>
                      <w:sz w:val="21"/>
                      <w:szCs w:val="21"/>
                    </w:rPr>
                  </w:pPr>
                  <w:r>
                    <w:rPr>
                      <w:b w:val="0"/>
                      <w:sz w:val="21"/>
                      <w:szCs w:val="21"/>
                    </w:rPr>
                    <w:t>6</w:t>
                  </w:r>
                </w:p>
              </w:tc>
              <w:tc>
                <w:tcPr>
                  <w:tcW w:w="291" w:type="pct"/>
                  <w:vAlign w:val="center"/>
                </w:tcPr>
                <w:p w14:paraId="4DE388FF">
                  <w:pPr>
                    <w:adjustRightInd w:val="0"/>
                    <w:snapToGrid w:val="0"/>
                    <w:jc w:val="center"/>
                    <w:rPr>
                      <w:szCs w:val="21"/>
                    </w:rPr>
                  </w:pPr>
                  <w:r>
                    <w:rPr>
                      <w:szCs w:val="21"/>
                    </w:rPr>
                    <w:t>11.8</w:t>
                  </w:r>
                </w:p>
              </w:tc>
              <w:tc>
                <w:tcPr>
                  <w:tcW w:w="240" w:type="pct"/>
                  <w:vAlign w:val="center"/>
                </w:tcPr>
                <w:p w14:paraId="7D2DE24E">
                  <w:pPr>
                    <w:adjustRightInd w:val="0"/>
                    <w:snapToGrid w:val="0"/>
                    <w:jc w:val="center"/>
                    <w:rPr>
                      <w:szCs w:val="21"/>
                    </w:rPr>
                  </w:pPr>
                  <w:r>
                    <w:rPr>
                      <w:szCs w:val="21"/>
                    </w:rPr>
                    <w:t>合格</w:t>
                  </w:r>
                </w:p>
              </w:tc>
              <w:tc>
                <w:tcPr>
                  <w:tcW w:w="288" w:type="pct"/>
                  <w:vAlign w:val="center"/>
                </w:tcPr>
                <w:p w14:paraId="1CE2F47A">
                  <w:pPr>
                    <w:pStyle w:val="15"/>
                    <w:adjustRightInd w:val="0"/>
                    <w:snapToGrid w:val="0"/>
                    <w:spacing w:before="0" w:after="0"/>
                    <w:jc w:val="center"/>
                    <w:rPr>
                      <w:b w:val="0"/>
                      <w:sz w:val="21"/>
                      <w:szCs w:val="21"/>
                    </w:rPr>
                  </w:pPr>
                  <w:r>
                    <w:rPr>
                      <w:b w:val="0"/>
                      <w:sz w:val="21"/>
                      <w:szCs w:val="21"/>
                    </w:rPr>
                    <w:t>7</w:t>
                  </w:r>
                </w:p>
              </w:tc>
              <w:tc>
                <w:tcPr>
                  <w:tcW w:w="288" w:type="pct"/>
                  <w:vAlign w:val="center"/>
                </w:tcPr>
                <w:p w14:paraId="2380AF1F">
                  <w:pPr>
                    <w:pStyle w:val="15"/>
                    <w:adjustRightInd w:val="0"/>
                    <w:snapToGrid w:val="0"/>
                    <w:spacing w:before="0" w:after="0"/>
                    <w:jc w:val="center"/>
                    <w:rPr>
                      <w:b w:val="0"/>
                      <w:sz w:val="21"/>
                      <w:szCs w:val="21"/>
                    </w:rPr>
                  </w:pPr>
                  <w:r>
                    <w:rPr>
                      <w:b w:val="0"/>
                      <w:sz w:val="21"/>
                      <w:szCs w:val="21"/>
                    </w:rPr>
                    <w:t>28.9</w:t>
                  </w:r>
                </w:p>
              </w:tc>
              <w:tc>
                <w:tcPr>
                  <w:tcW w:w="252" w:type="pct"/>
                  <w:vAlign w:val="center"/>
                </w:tcPr>
                <w:p w14:paraId="1445D62E">
                  <w:pPr>
                    <w:pStyle w:val="15"/>
                    <w:adjustRightInd w:val="0"/>
                    <w:snapToGrid w:val="0"/>
                    <w:spacing w:before="0" w:after="0"/>
                    <w:jc w:val="center"/>
                    <w:rPr>
                      <w:b w:val="0"/>
                      <w:sz w:val="21"/>
                      <w:szCs w:val="21"/>
                    </w:rPr>
                  </w:pPr>
                  <w:r>
                    <w:rPr>
                      <w:b w:val="0"/>
                      <w:sz w:val="21"/>
                      <w:szCs w:val="21"/>
                    </w:rPr>
                    <w:t>6</w:t>
                  </w:r>
                </w:p>
              </w:tc>
              <w:tc>
                <w:tcPr>
                  <w:tcW w:w="288" w:type="pct"/>
                  <w:vAlign w:val="center"/>
                </w:tcPr>
                <w:p w14:paraId="0E57AAA4">
                  <w:pPr>
                    <w:adjustRightInd w:val="0"/>
                    <w:snapToGrid w:val="0"/>
                    <w:jc w:val="center"/>
                    <w:rPr>
                      <w:szCs w:val="21"/>
                    </w:rPr>
                  </w:pPr>
                  <w:r>
                    <w:rPr>
                      <w:bCs/>
                      <w:caps/>
                      <w:szCs w:val="21"/>
                    </w:rPr>
                    <w:t>28.9</w:t>
                  </w:r>
                </w:p>
              </w:tc>
              <w:tc>
                <w:tcPr>
                  <w:tcW w:w="244" w:type="pct"/>
                  <w:vAlign w:val="center"/>
                </w:tcPr>
                <w:p w14:paraId="6B9B7D50">
                  <w:pPr>
                    <w:adjustRightInd w:val="0"/>
                    <w:snapToGrid w:val="0"/>
                    <w:jc w:val="center"/>
                    <w:rPr>
                      <w:szCs w:val="21"/>
                    </w:rPr>
                  </w:pPr>
                  <w:r>
                    <w:rPr>
                      <w:szCs w:val="21"/>
                    </w:rPr>
                    <w:t>合格</w:t>
                  </w:r>
                </w:p>
              </w:tc>
            </w:tr>
            <w:tr w14:paraId="5C85DF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cantSplit/>
                <w:trHeight w:val="454" w:hRule="atLeast"/>
                <w:jc w:val="center"/>
              </w:trPr>
              <w:tc>
                <w:tcPr>
                  <w:tcW w:w="921" w:type="pct"/>
                  <w:gridSpan w:val="2"/>
                  <w:vAlign w:val="center"/>
                </w:tcPr>
                <w:p w14:paraId="45EB5E4D">
                  <w:pPr>
                    <w:pStyle w:val="15"/>
                    <w:adjustRightInd w:val="0"/>
                    <w:snapToGrid w:val="0"/>
                    <w:spacing w:before="0" w:after="0"/>
                    <w:jc w:val="center"/>
                    <w:rPr>
                      <w:b w:val="0"/>
                      <w:sz w:val="21"/>
                      <w:szCs w:val="21"/>
                    </w:rPr>
                  </w:pPr>
                  <w:r>
                    <w:rPr>
                      <w:b w:val="0"/>
                      <w:sz w:val="21"/>
                      <w:szCs w:val="21"/>
                    </w:rPr>
                    <w:t>甲、乙类物品生产厂房、库房和甲、乙类液体储罐</w:t>
                  </w:r>
                </w:p>
              </w:tc>
              <w:tc>
                <w:tcPr>
                  <w:tcW w:w="288" w:type="pct"/>
                  <w:vAlign w:val="center"/>
                </w:tcPr>
                <w:p w14:paraId="0542196E">
                  <w:pPr>
                    <w:pStyle w:val="15"/>
                    <w:adjustRightInd w:val="0"/>
                    <w:snapToGrid w:val="0"/>
                    <w:spacing w:before="0" w:after="0"/>
                    <w:jc w:val="center"/>
                    <w:rPr>
                      <w:b w:val="0"/>
                      <w:sz w:val="21"/>
                      <w:szCs w:val="21"/>
                    </w:rPr>
                  </w:pPr>
                  <w:r>
                    <w:rPr>
                      <w:b w:val="0"/>
                      <w:sz w:val="21"/>
                      <w:szCs w:val="21"/>
                    </w:rPr>
                    <w:t>12.5</w:t>
                  </w:r>
                </w:p>
              </w:tc>
              <w:tc>
                <w:tcPr>
                  <w:tcW w:w="288" w:type="pct"/>
                  <w:vAlign w:val="center"/>
                </w:tcPr>
                <w:p w14:paraId="1DBA72E5">
                  <w:pPr>
                    <w:pStyle w:val="15"/>
                    <w:adjustRightInd w:val="0"/>
                    <w:snapToGrid w:val="0"/>
                    <w:spacing w:before="0" w:after="0"/>
                    <w:jc w:val="center"/>
                    <w:rPr>
                      <w:b w:val="0"/>
                      <w:sz w:val="21"/>
                      <w:szCs w:val="21"/>
                    </w:rPr>
                  </w:pPr>
                  <w:r>
                    <w:rPr>
                      <w:b w:val="0"/>
                      <w:sz w:val="21"/>
                      <w:szCs w:val="21"/>
                    </w:rPr>
                    <w:t>—</w:t>
                  </w:r>
                </w:p>
              </w:tc>
              <w:tc>
                <w:tcPr>
                  <w:tcW w:w="252" w:type="pct"/>
                  <w:vAlign w:val="center"/>
                </w:tcPr>
                <w:p w14:paraId="0A8D9C6E">
                  <w:pPr>
                    <w:pStyle w:val="15"/>
                    <w:adjustRightInd w:val="0"/>
                    <w:snapToGrid w:val="0"/>
                    <w:spacing w:before="0" w:after="0"/>
                    <w:jc w:val="center"/>
                    <w:rPr>
                      <w:b w:val="0"/>
                      <w:sz w:val="21"/>
                      <w:szCs w:val="21"/>
                    </w:rPr>
                  </w:pPr>
                  <w:r>
                    <w:rPr>
                      <w:b w:val="0"/>
                      <w:sz w:val="21"/>
                      <w:szCs w:val="21"/>
                    </w:rPr>
                    <w:t>9</w:t>
                  </w:r>
                </w:p>
              </w:tc>
              <w:tc>
                <w:tcPr>
                  <w:tcW w:w="288" w:type="pct"/>
                  <w:vAlign w:val="center"/>
                </w:tcPr>
                <w:p w14:paraId="4E8772C5">
                  <w:pPr>
                    <w:pStyle w:val="15"/>
                    <w:adjustRightInd w:val="0"/>
                    <w:snapToGrid w:val="0"/>
                    <w:spacing w:before="0" w:after="0"/>
                    <w:jc w:val="center"/>
                    <w:rPr>
                      <w:b w:val="0"/>
                      <w:sz w:val="21"/>
                      <w:szCs w:val="21"/>
                    </w:rPr>
                  </w:pPr>
                  <w:r>
                    <w:rPr>
                      <w:b w:val="0"/>
                      <w:sz w:val="21"/>
                      <w:szCs w:val="21"/>
                    </w:rPr>
                    <w:t>—</w:t>
                  </w:r>
                </w:p>
              </w:tc>
              <w:tc>
                <w:tcPr>
                  <w:tcW w:w="241" w:type="pct"/>
                  <w:vAlign w:val="center"/>
                </w:tcPr>
                <w:p w14:paraId="13ECF5A0">
                  <w:pPr>
                    <w:pStyle w:val="15"/>
                    <w:adjustRightInd w:val="0"/>
                    <w:snapToGrid w:val="0"/>
                    <w:spacing w:before="0" w:after="0"/>
                    <w:jc w:val="center"/>
                    <w:rPr>
                      <w:b w:val="0"/>
                      <w:sz w:val="21"/>
                      <w:szCs w:val="21"/>
                    </w:rPr>
                  </w:pPr>
                  <w:r>
                    <w:rPr>
                      <w:b w:val="0"/>
                      <w:sz w:val="21"/>
                      <w:szCs w:val="21"/>
                    </w:rPr>
                    <w:t>—</w:t>
                  </w:r>
                </w:p>
              </w:tc>
              <w:tc>
                <w:tcPr>
                  <w:tcW w:w="288" w:type="pct"/>
                  <w:vAlign w:val="center"/>
                </w:tcPr>
                <w:p w14:paraId="3A2FA1D0">
                  <w:pPr>
                    <w:pStyle w:val="15"/>
                    <w:adjustRightInd w:val="0"/>
                    <w:snapToGrid w:val="0"/>
                    <w:spacing w:before="0" w:after="0"/>
                    <w:jc w:val="center"/>
                    <w:rPr>
                      <w:b w:val="0"/>
                      <w:sz w:val="21"/>
                      <w:szCs w:val="21"/>
                    </w:rPr>
                  </w:pPr>
                  <w:r>
                    <w:rPr>
                      <w:b w:val="0"/>
                      <w:sz w:val="21"/>
                      <w:szCs w:val="21"/>
                    </w:rPr>
                    <w:t>12.5</w:t>
                  </w:r>
                </w:p>
              </w:tc>
              <w:tc>
                <w:tcPr>
                  <w:tcW w:w="284" w:type="pct"/>
                  <w:vAlign w:val="center"/>
                </w:tcPr>
                <w:p w14:paraId="30F2BADC">
                  <w:pPr>
                    <w:pStyle w:val="15"/>
                    <w:adjustRightInd w:val="0"/>
                    <w:snapToGrid w:val="0"/>
                    <w:spacing w:before="0" w:after="0"/>
                    <w:jc w:val="center"/>
                    <w:rPr>
                      <w:b w:val="0"/>
                      <w:sz w:val="21"/>
                      <w:szCs w:val="21"/>
                    </w:rPr>
                  </w:pPr>
                  <w:r>
                    <w:rPr>
                      <w:b w:val="0"/>
                      <w:sz w:val="21"/>
                      <w:szCs w:val="21"/>
                    </w:rPr>
                    <w:t>—</w:t>
                  </w:r>
                </w:p>
              </w:tc>
              <w:tc>
                <w:tcPr>
                  <w:tcW w:w="252" w:type="pct"/>
                  <w:vAlign w:val="center"/>
                </w:tcPr>
                <w:p w14:paraId="14149A79">
                  <w:pPr>
                    <w:pStyle w:val="15"/>
                    <w:adjustRightInd w:val="0"/>
                    <w:snapToGrid w:val="0"/>
                    <w:spacing w:before="0" w:after="0"/>
                    <w:jc w:val="center"/>
                    <w:rPr>
                      <w:b w:val="0"/>
                      <w:sz w:val="21"/>
                      <w:szCs w:val="21"/>
                    </w:rPr>
                  </w:pPr>
                  <w:r>
                    <w:rPr>
                      <w:b w:val="0"/>
                      <w:sz w:val="21"/>
                      <w:szCs w:val="21"/>
                    </w:rPr>
                    <w:t>9</w:t>
                  </w:r>
                </w:p>
              </w:tc>
              <w:tc>
                <w:tcPr>
                  <w:tcW w:w="291" w:type="pct"/>
                  <w:vAlign w:val="center"/>
                </w:tcPr>
                <w:p w14:paraId="1806B1E3">
                  <w:pPr>
                    <w:pStyle w:val="15"/>
                    <w:adjustRightInd w:val="0"/>
                    <w:snapToGrid w:val="0"/>
                    <w:spacing w:before="0" w:after="0"/>
                    <w:jc w:val="center"/>
                    <w:rPr>
                      <w:b w:val="0"/>
                      <w:sz w:val="21"/>
                      <w:szCs w:val="21"/>
                    </w:rPr>
                  </w:pPr>
                  <w:r>
                    <w:rPr>
                      <w:b w:val="0"/>
                      <w:sz w:val="21"/>
                      <w:szCs w:val="21"/>
                    </w:rPr>
                    <w:t>—</w:t>
                  </w:r>
                </w:p>
              </w:tc>
              <w:tc>
                <w:tcPr>
                  <w:tcW w:w="240" w:type="pct"/>
                  <w:vAlign w:val="center"/>
                </w:tcPr>
                <w:p w14:paraId="5EBE4094">
                  <w:pPr>
                    <w:pStyle w:val="15"/>
                    <w:adjustRightInd w:val="0"/>
                    <w:snapToGrid w:val="0"/>
                    <w:spacing w:before="0" w:after="0"/>
                    <w:jc w:val="center"/>
                    <w:rPr>
                      <w:b w:val="0"/>
                      <w:sz w:val="21"/>
                      <w:szCs w:val="21"/>
                    </w:rPr>
                  </w:pPr>
                  <w:r>
                    <w:rPr>
                      <w:b w:val="0"/>
                      <w:sz w:val="21"/>
                      <w:szCs w:val="21"/>
                    </w:rPr>
                    <w:t>—</w:t>
                  </w:r>
                </w:p>
              </w:tc>
              <w:tc>
                <w:tcPr>
                  <w:tcW w:w="288" w:type="pct"/>
                  <w:vAlign w:val="center"/>
                </w:tcPr>
                <w:p w14:paraId="10681BB3">
                  <w:pPr>
                    <w:pStyle w:val="15"/>
                    <w:adjustRightInd w:val="0"/>
                    <w:snapToGrid w:val="0"/>
                    <w:spacing w:before="0" w:after="0"/>
                    <w:jc w:val="center"/>
                    <w:rPr>
                      <w:b w:val="0"/>
                      <w:sz w:val="21"/>
                      <w:szCs w:val="21"/>
                    </w:rPr>
                  </w:pPr>
                  <w:r>
                    <w:rPr>
                      <w:b w:val="0"/>
                      <w:sz w:val="21"/>
                      <w:szCs w:val="21"/>
                    </w:rPr>
                    <w:t>12.5</w:t>
                  </w:r>
                </w:p>
              </w:tc>
              <w:tc>
                <w:tcPr>
                  <w:tcW w:w="288" w:type="pct"/>
                  <w:vAlign w:val="center"/>
                </w:tcPr>
                <w:p w14:paraId="24D8004C">
                  <w:pPr>
                    <w:pStyle w:val="15"/>
                    <w:adjustRightInd w:val="0"/>
                    <w:snapToGrid w:val="0"/>
                    <w:spacing w:before="0" w:after="0"/>
                    <w:jc w:val="center"/>
                    <w:rPr>
                      <w:b w:val="0"/>
                      <w:sz w:val="21"/>
                      <w:szCs w:val="21"/>
                    </w:rPr>
                  </w:pPr>
                  <w:r>
                    <w:rPr>
                      <w:b w:val="0"/>
                      <w:sz w:val="21"/>
                      <w:szCs w:val="21"/>
                    </w:rPr>
                    <w:t>—</w:t>
                  </w:r>
                </w:p>
              </w:tc>
              <w:tc>
                <w:tcPr>
                  <w:tcW w:w="252" w:type="pct"/>
                  <w:vAlign w:val="center"/>
                </w:tcPr>
                <w:p w14:paraId="361DEC55">
                  <w:pPr>
                    <w:pStyle w:val="15"/>
                    <w:adjustRightInd w:val="0"/>
                    <w:snapToGrid w:val="0"/>
                    <w:spacing w:before="0" w:after="0"/>
                    <w:jc w:val="center"/>
                    <w:rPr>
                      <w:b w:val="0"/>
                      <w:sz w:val="21"/>
                      <w:szCs w:val="21"/>
                    </w:rPr>
                  </w:pPr>
                  <w:r>
                    <w:rPr>
                      <w:b w:val="0"/>
                      <w:sz w:val="21"/>
                      <w:szCs w:val="21"/>
                    </w:rPr>
                    <w:t>9</w:t>
                  </w:r>
                </w:p>
              </w:tc>
              <w:tc>
                <w:tcPr>
                  <w:tcW w:w="288" w:type="pct"/>
                  <w:vAlign w:val="center"/>
                </w:tcPr>
                <w:p w14:paraId="77A10677">
                  <w:pPr>
                    <w:pStyle w:val="15"/>
                    <w:adjustRightInd w:val="0"/>
                    <w:snapToGrid w:val="0"/>
                    <w:spacing w:before="0" w:after="0"/>
                    <w:jc w:val="center"/>
                    <w:rPr>
                      <w:b w:val="0"/>
                      <w:sz w:val="21"/>
                      <w:szCs w:val="21"/>
                    </w:rPr>
                  </w:pPr>
                  <w:r>
                    <w:rPr>
                      <w:b w:val="0"/>
                      <w:sz w:val="21"/>
                      <w:szCs w:val="21"/>
                    </w:rPr>
                    <w:t>—</w:t>
                  </w:r>
                </w:p>
              </w:tc>
              <w:tc>
                <w:tcPr>
                  <w:tcW w:w="244" w:type="pct"/>
                  <w:vAlign w:val="center"/>
                </w:tcPr>
                <w:p w14:paraId="0C401393">
                  <w:pPr>
                    <w:pStyle w:val="15"/>
                    <w:adjustRightInd w:val="0"/>
                    <w:snapToGrid w:val="0"/>
                    <w:spacing w:before="0" w:after="0"/>
                    <w:jc w:val="center"/>
                    <w:rPr>
                      <w:b w:val="0"/>
                      <w:sz w:val="21"/>
                      <w:szCs w:val="21"/>
                    </w:rPr>
                  </w:pPr>
                  <w:r>
                    <w:rPr>
                      <w:b w:val="0"/>
                      <w:sz w:val="21"/>
                      <w:szCs w:val="21"/>
                    </w:rPr>
                    <w:t>—</w:t>
                  </w:r>
                </w:p>
              </w:tc>
            </w:tr>
            <w:tr w14:paraId="666BFB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cantSplit/>
                <w:trHeight w:val="454" w:hRule="atLeast"/>
                <w:jc w:val="center"/>
              </w:trPr>
              <w:tc>
                <w:tcPr>
                  <w:tcW w:w="921" w:type="pct"/>
                  <w:gridSpan w:val="2"/>
                  <w:vAlign w:val="center"/>
                </w:tcPr>
                <w:p w14:paraId="608237CA">
                  <w:pPr>
                    <w:pStyle w:val="15"/>
                    <w:adjustRightInd w:val="0"/>
                    <w:snapToGrid w:val="0"/>
                    <w:spacing w:before="0" w:after="0"/>
                    <w:jc w:val="center"/>
                    <w:rPr>
                      <w:b w:val="0"/>
                      <w:sz w:val="21"/>
                      <w:szCs w:val="21"/>
                    </w:rPr>
                  </w:pPr>
                  <w:r>
                    <w:rPr>
                      <w:b w:val="0"/>
                      <w:sz w:val="21"/>
                      <w:szCs w:val="21"/>
                    </w:rPr>
                    <w:t>丙、丁、戊类物品生产厂房、库房和丙类液体储罐以及容积不大于50立方米的</w:t>
                  </w:r>
                  <w:r>
                    <w:rPr>
                      <w:rFonts w:hint="eastAsia"/>
                      <w:b w:val="0"/>
                      <w:sz w:val="21"/>
                      <w:szCs w:val="21"/>
                    </w:rPr>
                    <w:t>埋地</w:t>
                  </w:r>
                  <w:r>
                    <w:rPr>
                      <w:b w:val="0"/>
                      <w:sz w:val="21"/>
                      <w:szCs w:val="21"/>
                    </w:rPr>
                    <w:t>甲、乙类液体储罐</w:t>
                  </w:r>
                </w:p>
              </w:tc>
              <w:tc>
                <w:tcPr>
                  <w:tcW w:w="288" w:type="pct"/>
                  <w:vAlign w:val="center"/>
                </w:tcPr>
                <w:p w14:paraId="74BB24E4">
                  <w:pPr>
                    <w:pStyle w:val="15"/>
                    <w:adjustRightInd w:val="0"/>
                    <w:snapToGrid w:val="0"/>
                    <w:spacing w:before="0" w:after="0"/>
                    <w:jc w:val="center"/>
                    <w:rPr>
                      <w:b w:val="0"/>
                      <w:sz w:val="21"/>
                      <w:szCs w:val="21"/>
                    </w:rPr>
                  </w:pPr>
                  <w:r>
                    <w:rPr>
                      <w:b w:val="0"/>
                      <w:sz w:val="21"/>
                      <w:szCs w:val="21"/>
                    </w:rPr>
                    <w:t>10.5</w:t>
                  </w:r>
                </w:p>
              </w:tc>
              <w:tc>
                <w:tcPr>
                  <w:tcW w:w="288" w:type="pct"/>
                  <w:vAlign w:val="center"/>
                </w:tcPr>
                <w:p w14:paraId="0009D304">
                  <w:pPr>
                    <w:pStyle w:val="15"/>
                    <w:adjustRightInd w:val="0"/>
                    <w:snapToGrid w:val="0"/>
                    <w:spacing w:before="0" w:after="0"/>
                    <w:jc w:val="center"/>
                    <w:rPr>
                      <w:b w:val="0"/>
                      <w:sz w:val="21"/>
                      <w:szCs w:val="21"/>
                    </w:rPr>
                  </w:pPr>
                  <w:r>
                    <w:rPr>
                      <w:b w:val="0"/>
                      <w:sz w:val="21"/>
                      <w:szCs w:val="21"/>
                    </w:rPr>
                    <w:t>—</w:t>
                  </w:r>
                </w:p>
              </w:tc>
              <w:tc>
                <w:tcPr>
                  <w:tcW w:w="252" w:type="pct"/>
                  <w:vAlign w:val="center"/>
                </w:tcPr>
                <w:p w14:paraId="24C73A6F">
                  <w:pPr>
                    <w:pStyle w:val="15"/>
                    <w:adjustRightInd w:val="0"/>
                    <w:snapToGrid w:val="0"/>
                    <w:spacing w:before="0" w:after="0"/>
                    <w:jc w:val="center"/>
                    <w:rPr>
                      <w:b w:val="0"/>
                      <w:sz w:val="21"/>
                      <w:szCs w:val="21"/>
                    </w:rPr>
                  </w:pPr>
                  <w:r>
                    <w:rPr>
                      <w:b w:val="0"/>
                      <w:sz w:val="21"/>
                      <w:szCs w:val="21"/>
                    </w:rPr>
                    <w:t>9</w:t>
                  </w:r>
                </w:p>
              </w:tc>
              <w:tc>
                <w:tcPr>
                  <w:tcW w:w="288" w:type="pct"/>
                  <w:vAlign w:val="center"/>
                </w:tcPr>
                <w:p w14:paraId="1FCF2FE4">
                  <w:pPr>
                    <w:pStyle w:val="15"/>
                    <w:adjustRightInd w:val="0"/>
                    <w:snapToGrid w:val="0"/>
                    <w:spacing w:before="0" w:after="0"/>
                    <w:jc w:val="center"/>
                    <w:rPr>
                      <w:b w:val="0"/>
                      <w:sz w:val="21"/>
                      <w:szCs w:val="21"/>
                    </w:rPr>
                  </w:pPr>
                  <w:r>
                    <w:rPr>
                      <w:b w:val="0"/>
                      <w:sz w:val="21"/>
                      <w:szCs w:val="21"/>
                    </w:rPr>
                    <w:t>—</w:t>
                  </w:r>
                </w:p>
              </w:tc>
              <w:tc>
                <w:tcPr>
                  <w:tcW w:w="241" w:type="pct"/>
                  <w:vAlign w:val="center"/>
                </w:tcPr>
                <w:p w14:paraId="1238A036">
                  <w:pPr>
                    <w:pStyle w:val="15"/>
                    <w:adjustRightInd w:val="0"/>
                    <w:snapToGrid w:val="0"/>
                    <w:spacing w:before="0" w:after="0"/>
                    <w:jc w:val="center"/>
                    <w:rPr>
                      <w:b w:val="0"/>
                      <w:sz w:val="21"/>
                      <w:szCs w:val="21"/>
                    </w:rPr>
                  </w:pPr>
                  <w:r>
                    <w:rPr>
                      <w:b w:val="0"/>
                      <w:sz w:val="21"/>
                      <w:szCs w:val="21"/>
                    </w:rPr>
                    <w:t>—</w:t>
                  </w:r>
                </w:p>
              </w:tc>
              <w:tc>
                <w:tcPr>
                  <w:tcW w:w="288" w:type="pct"/>
                  <w:vAlign w:val="center"/>
                </w:tcPr>
                <w:p w14:paraId="5DE0A161">
                  <w:pPr>
                    <w:pStyle w:val="15"/>
                    <w:adjustRightInd w:val="0"/>
                    <w:snapToGrid w:val="0"/>
                    <w:spacing w:before="0" w:after="0"/>
                    <w:jc w:val="center"/>
                    <w:rPr>
                      <w:b w:val="0"/>
                      <w:sz w:val="21"/>
                      <w:szCs w:val="21"/>
                    </w:rPr>
                  </w:pPr>
                  <w:r>
                    <w:rPr>
                      <w:b w:val="0"/>
                      <w:sz w:val="21"/>
                      <w:szCs w:val="21"/>
                    </w:rPr>
                    <w:t>10.5</w:t>
                  </w:r>
                </w:p>
              </w:tc>
              <w:tc>
                <w:tcPr>
                  <w:tcW w:w="284" w:type="pct"/>
                  <w:vAlign w:val="center"/>
                </w:tcPr>
                <w:p w14:paraId="021BB424">
                  <w:pPr>
                    <w:pStyle w:val="15"/>
                    <w:adjustRightInd w:val="0"/>
                    <w:snapToGrid w:val="0"/>
                    <w:spacing w:before="0" w:after="0"/>
                    <w:jc w:val="center"/>
                    <w:rPr>
                      <w:b w:val="0"/>
                      <w:sz w:val="21"/>
                      <w:szCs w:val="21"/>
                    </w:rPr>
                  </w:pPr>
                  <w:r>
                    <w:rPr>
                      <w:b w:val="0"/>
                      <w:sz w:val="21"/>
                      <w:szCs w:val="21"/>
                    </w:rPr>
                    <w:t>—</w:t>
                  </w:r>
                </w:p>
              </w:tc>
              <w:tc>
                <w:tcPr>
                  <w:tcW w:w="252" w:type="pct"/>
                  <w:vAlign w:val="center"/>
                </w:tcPr>
                <w:p w14:paraId="19A41696">
                  <w:pPr>
                    <w:pStyle w:val="15"/>
                    <w:adjustRightInd w:val="0"/>
                    <w:snapToGrid w:val="0"/>
                    <w:spacing w:before="0" w:after="0"/>
                    <w:jc w:val="center"/>
                    <w:rPr>
                      <w:b w:val="0"/>
                      <w:sz w:val="21"/>
                      <w:szCs w:val="21"/>
                    </w:rPr>
                  </w:pPr>
                  <w:r>
                    <w:rPr>
                      <w:b w:val="0"/>
                      <w:sz w:val="21"/>
                      <w:szCs w:val="21"/>
                    </w:rPr>
                    <w:t>9</w:t>
                  </w:r>
                </w:p>
              </w:tc>
              <w:tc>
                <w:tcPr>
                  <w:tcW w:w="291" w:type="pct"/>
                  <w:vAlign w:val="center"/>
                </w:tcPr>
                <w:p w14:paraId="65B119B7">
                  <w:pPr>
                    <w:pStyle w:val="15"/>
                    <w:adjustRightInd w:val="0"/>
                    <w:snapToGrid w:val="0"/>
                    <w:spacing w:before="0" w:after="0"/>
                    <w:jc w:val="center"/>
                    <w:rPr>
                      <w:b w:val="0"/>
                      <w:sz w:val="21"/>
                      <w:szCs w:val="21"/>
                    </w:rPr>
                  </w:pPr>
                  <w:r>
                    <w:rPr>
                      <w:b w:val="0"/>
                      <w:sz w:val="21"/>
                      <w:szCs w:val="21"/>
                    </w:rPr>
                    <w:t>—</w:t>
                  </w:r>
                </w:p>
              </w:tc>
              <w:tc>
                <w:tcPr>
                  <w:tcW w:w="240" w:type="pct"/>
                  <w:vAlign w:val="center"/>
                </w:tcPr>
                <w:p w14:paraId="25672697">
                  <w:pPr>
                    <w:pStyle w:val="15"/>
                    <w:adjustRightInd w:val="0"/>
                    <w:snapToGrid w:val="0"/>
                    <w:spacing w:before="0" w:after="0"/>
                    <w:jc w:val="center"/>
                    <w:rPr>
                      <w:b w:val="0"/>
                      <w:sz w:val="21"/>
                      <w:szCs w:val="21"/>
                    </w:rPr>
                  </w:pPr>
                  <w:r>
                    <w:rPr>
                      <w:b w:val="0"/>
                      <w:sz w:val="21"/>
                      <w:szCs w:val="21"/>
                    </w:rPr>
                    <w:t>—</w:t>
                  </w:r>
                </w:p>
              </w:tc>
              <w:tc>
                <w:tcPr>
                  <w:tcW w:w="288" w:type="pct"/>
                  <w:vAlign w:val="center"/>
                </w:tcPr>
                <w:p w14:paraId="2BE3AB65">
                  <w:pPr>
                    <w:pStyle w:val="15"/>
                    <w:adjustRightInd w:val="0"/>
                    <w:snapToGrid w:val="0"/>
                    <w:spacing w:before="0" w:after="0"/>
                    <w:jc w:val="center"/>
                    <w:rPr>
                      <w:b w:val="0"/>
                      <w:sz w:val="21"/>
                      <w:szCs w:val="21"/>
                    </w:rPr>
                  </w:pPr>
                  <w:r>
                    <w:rPr>
                      <w:b w:val="0"/>
                      <w:sz w:val="21"/>
                      <w:szCs w:val="21"/>
                    </w:rPr>
                    <w:t>10.5</w:t>
                  </w:r>
                </w:p>
              </w:tc>
              <w:tc>
                <w:tcPr>
                  <w:tcW w:w="288" w:type="pct"/>
                  <w:vAlign w:val="center"/>
                </w:tcPr>
                <w:p w14:paraId="737CB617">
                  <w:pPr>
                    <w:pStyle w:val="15"/>
                    <w:adjustRightInd w:val="0"/>
                    <w:snapToGrid w:val="0"/>
                    <w:spacing w:before="0" w:after="0"/>
                    <w:jc w:val="center"/>
                    <w:rPr>
                      <w:b w:val="0"/>
                      <w:sz w:val="21"/>
                      <w:szCs w:val="21"/>
                    </w:rPr>
                  </w:pPr>
                  <w:r>
                    <w:rPr>
                      <w:b w:val="0"/>
                      <w:sz w:val="21"/>
                      <w:szCs w:val="21"/>
                    </w:rPr>
                    <w:t>—</w:t>
                  </w:r>
                </w:p>
              </w:tc>
              <w:tc>
                <w:tcPr>
                  <w:tcW w:w="252" w:type="pct"/>
                  <w:vAlign w:val="center"/>
                </w:tcPr>
                <w:p w14:paraId="32CFED11">
                  <w:pPr>
                    <w:pStyle w:val="15"/>
                    <w:adjustRightInd w:val="0"/>
                    <w:snapToGrid w:val="0"/>
                    <w:spacing w:before="0" w:after="0"/>
                    <w:jc w:val="center"/>
                    <w:rPr>
                      <w:b w:val="0"/>
                      <w:sz w:val="21"/>
                      <w:szCs w:val="21"/>
                    </w:rPr>
                  </w:pPr>
                  <w:r>
                    <w:rPr>
                      <w:b w:val="0"/>
                      <w:sz w:val="21"/>
                      <w:szCs w:val="21"/>
                    </w:rPr>
                    <w:t>9</w:t>
                  </w:r>
                </w:p>
              </w:tc>
              <w:tc>
                <w:tcPr>
                  <w:tcW w:w="288" w:type="pct"/>
                  <w:vAlign w:val="center"/>
                </w:tcPr>
                <w:p w14:paraId="33E4C4AF">
                  <w:pPr>
                    <w:pStyle w:val="15"/>
                    <w:adjustRightInd w:val="0"/>
                    <w:snapToGrid w:val="0"/>
                    <w:spacing w:before="0" w:after="0"/>
                    <w:jc w:val="center"/>
                    <w:rPr>
                      <w:b w:val="0"/>
                      <w:sz w:val="21"/>
                      <w:szCs w:val="21"/>
                    </w:rPr>
                  </w:pPr>
                  <w:r>
                    <w:rPr>
                      <w:b w:val="0"/>
                      <w:sz w:val="21"/>
                      <w:szCs w:val="21"/>
                    </w:rPr>
                    <w:t>—</w:t>
                  </w:r>
                </w:p>
              </w:tc>
              <w:tc>
                <w:tcPr>
                  <w:tcW w:w="244" w:type="pct"/>
                  <w:vAlign w:val="center"/>
                </w:tcPr>
                <w:p w14:paraId="3B60F37E">
                  <w:pPr>
                    <w:pStyle w:val="15"/>
                    <w:adjustRightInd w:val="0"/>
                    <w:snapToGrid w:val="0"/>
                    <w:spacing w:before="0" w:after="0"/>
                    <w:jc w:val="center"/>
                    <w:rPr>
                      <w:b w:val="0"/>
                      <w:sz w:val="21"/>
                      <w:szCs w:val="21"/>
                    </w:rPr>
                  </w:pPr>
                  <w:r>
                    <w:rPr>
                      <w:b w:val="0"/>
                      <w:sz w:val="21"/>
                      <w:szCs w:val="21"/>
                    </w:rPr>
                    <w:t>—</w:t>
                  </w:r>
                </w:p>
              </w:tc>
            </w:tr>
            <w:tr w14:paraId="112EE0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cantSplit/>
                <w:trHeight w:val="454" w:hRule="atLeast"/>
                <w:jc w:val="center"/>
              </w:trPr>
              <w:tc>
                <w:tcPr>
                  <w:tcW w:w="921" w:type="pct"/>
                  <w:gridSpan w:val="2"/>
                  <w:vAlign w:val="center"/>
                </w:tcPr>
                <w:p w14:paraId="5A8FFAF2">
                  <w:pPr>
                    <w:pStyle w:val="15"/>
                    <w:adjustRightInd w:val="0"/>
                    <w:snapToGrid w:val="0"/>
                    <w:spacing w:before="0" w:after="0"/>
                    <w:jc w:val="center"/>
                    <w:rPr>
                      <w:b w:val="0"/>
                      <w:sz w:val="21"/>
                      <w:szCs w:val="21"/>
                    </w:rPr>
                  </w:pPr>
                  <w:r>
                    <w:rPr>
                      <w:b w:val="0"/>
                      <w:sz w:val="21"/>
                      <w:szCs w:val="21"/>
                    </w:rPr>
                    <w:t>室外变配电站</w:t>
                  </w:r>
                </w:p>
              </w:tc>
              <w:tc>
                <w:tcPr>
                  <w:tcW w:w="288" w:type="pct"/>
                  <w:vAlign w:val="center"/>
                </w:tcPr>
                <w:p w14:paraId="04170565">
                  <w:pPr>
                    <w:pStyle w:val="15"/>
                    <w:adjustRightInd w:val="0"/>
                    <w:snapToGrid w:val="0"/>
                    <w:spacing w:before="0" w:after="0"/>
                    <w:jc w:val="center"/>
                    <w:rPr>
                      <w:b w:val="0"/>
                      <w:sz w:val="21"/>
                      <w:szCs w:val="21"/>
                    </w:rPr>
                  </w:pPr>
                  <w:r>
                    <w:rPr>
                      <w:b w:val="0"/>
                      <w:sz w:val="21"/>
                      <w:szCs w:val="21"/>
                    </w:rPr>
                    <w:t>12.5</w:t>
                  </w:r>
                </w:p>
              </w:tc>
              <w:tc>
                <w:tcPr>
                  <w:tcW w:w="288" w:type="pct"/>
                  <w:vAlign w:val="center"/>
                </w:tcPr>
                <w:p w14:paraId="094E6B76">
                  <w:pPr>
                    <w:pStyle w:val="15"/>
                    <w:adjustRightInd w:val="0"/>
                    <w:snapToGrid w:val="0"/>
                    <w:spacing w:before="0" w:after="0"/>
                    <w:jc w:val="center"/>
                    <w:rPr>
                      <w:b w:val="0"/>
                      <w:sz w:val="21"/>
                      <w:szCs w:val="21"/>
                    </w:rPr>
                  </w:pPr>
                  <w:r>
                    <w:rPr>
                      <w:b w:val="0"/>
                      <w:sz w:val="21"/>
                      <w:szCs w:val="21"/>
                    </w:rPr>
                    <w:t>—</w:t>
                  </w:r>
                </w:p>
              </w:tc>
              <w:tc>
                <w:tcPr>
                  <w:tcW w:w="252" w:type="pct"/>
                  <w:vAlign w:val="center"/>
                </w:tcPr>
                <w:p w14:paraId="4F152537">
                  <w:pPr>
                    <w:pStyle w:val="15"/>
                    <w:adjustRightInd w:val="0"/>
                    <w:snapToGrid w:val="0"/>
                    <w:spacing w:before="0" w:after="0"/>
                    <w:jc w:val="center"/>
                    <w:rPr>
                      <w:b w:val="0"/>
                      <w:sz w:val="21"/>
                      <w:szCs w:val="21"/>
                    </w:rPr>
                  </w:pPr>
                  <w:r>
                    <w:rPr>
                      <w:b w:val="0"/>
                      <w:sz w:val="21"/>
                      <w:szCs w:val="21"/>
                    </w:rPr>
                    <w:t>15</w:t>
                  </w:r>
                </w:p>
              </w:tc>
              <w:tc>
                <w:tcPr>
                  <w:tcW w:w="288" w:type="pct"/>
                  <w:vAlign w:val="center"/>
                </w:tcPr>
                <w:p w14:paraId="01D08201">
                  <w:pPr>
                    <w:pStyle w:val="15"/>
                    <w:adjustRightInd w:val="0"/>
                    <w:snapToGrid w:val="0"/>
                    <w:spacing w:before="0" w:after="0"/>
                    <w:jc w:val="center"/>
                    <w:rPr>
                      <w:b w:val="0"/>
                      <w:sz w:val="21"/>
                      <w:szCs w:val="21"/>
                    </w:rPr>
                  </w:pPr>
                  <w:r>
                    <w:rPr>
                      <w:b w:val="0"/>
                      <w:sz w:val="21"/>
                      <w:szCs w:val="21"/>
                    </w:rPr>
                    <w:t>—</w:t>
                  </w:r>
                </w:p>
              </w:tc>
              <w:tc>
                <w:tcPr>
                  <w:tcW w:w="241" w:type="pct"/>
                  <w:vAlign w:val="center"/>
                </w:tcPr>
                <w:p w14:paraId="5D8FA310">
                  <w:pPr>
                    <w:pStyle w:val="15"/>
                    <w:adjustRightInd w:val="0"/>
                    <w:snapToGrid w:val="0"/>
                    <w:spacing w:before="0" w:after="0"/>
                    <w:jc w:val="center"/>
                    <w:rPr>
                      <w:b w:val="0"/>
                      <w:sz w:val="21"/>
                      <w:szCs w:val="21"/>
                    </w:rPr>
                  </w:pPr>
                  <w:r>
                    <w:rPr>
                      <w:b w:val="0"/>
                      <w:sz w:val="21"/>
                      <w:szCs w:val="21"/>
                    </w:rPr>
                    <w:t>—</w:t>
                  </w:r>
                </w:p>
              </w:tc>
              <w:tc>
                <w:tcPr>
                  <w:tcW w:w="288" w:type="pct"/>
                  <w:vAlign w:val="center"/>
                </w:tcPr>
                <w:p w14:paraId="04554943">
                  <w:pPr>
                    <w:pStyle w:val="15"/>
                    <w:adjustRightInd w:val="0"/>
                    <w:snapToGrid w:val="0"/>
                    <w:spacing w:before="0" w:after="0"/>
                    <w:jc w:val="center"/>
                    <w:rPr>
                      <w:b w:val="0"/>
                      <w:sz w:val="21"/>
                      <w:szCs w:val="21"/>
                    </w:rPr>
                  </w:pPr>
                  <w:r>
                    <w:rPr>
                      <w:b w:val="0"/>
                      <w:sz w:val="21"/>
                      <w:szCs w:val="21"/>
                    </w:rPr>
                    <w:t>12.5</w:t>
                  </w:r>
                </w:p>
              </w:tc>
              <w:tc>
                <w:tcPr>
                  <w:tcW w:w="284" w:type="pct"/>
                  <w:vAlign w:val="center"/>
                </w:tcPr>
                <w:p w14:paraId="1C10060B">
                  <w:pPr>
                    <w:pStyle w:val="15"/>
                    <w:adjustRightInd w:val="0"/>
                    <w:snapToGrid w:val="0"/>
                    <w:spacing w:before="0" w:after="0"/>
                    <w:jc w:val="center"/>
                    <w:rPr>
                      <w:b w:val="0"/>
                      <w:sz w:val="21"/>
                      <w:szCs w:val="21"/>
                    </w:rPr>
                  </w:pPr>
                  <w:r>
                    <w:rPr>
                      <w:b w:val="0"/>
                      <w:sz w:val="21"/>
                      <w:szCs w:val="21"/>
                    </w:rPr>
                    <w:t>—</w:t>
                  </w:r>
                </w:p>
              </w:tc>
              <w:tc>
                <w:tcPr>
                  <w:tcW w:w="252" w:type="pct"/>
                  <w:vAlign w:val="center"/>
                </w:tcPr>
                <w:p w14:paraId="68C2B70C">
                  <w:pPr>
                    <w:pStyle w:val="15"/>
                    <w:adjustRightInd w:val="0"/>
                    <w:snapToGrid w:val="0"/>
                    <w:spacing w:before="0" w:after="0"/>
                    <w:jc w:val="center"/>
                    <w:rPr>
                      <w:b w:val="0"/>
                      <w:sz w:val="21"/>
                      <w:szCs w:val="21"/>
                    </w:rPr>
                  </w:pPr>
                  <w:r>
                    <w:rPr>
                      <w:b w:val="0"/>
                      <w:sz w:val="21"/>
                      <w:szCs w:val="21"/>
                    </w:rPr>
                    <w:t>15</w:t>
                  </w:r>
                </w:p>
              </w:tc>
              <w:tc>
                <w:tcPr>
                  <w:tcW w:w="291" w:type="pct"/>
                  <w:vAlign w:val="center"/>
                </w:tcPr>
                <w:p w14:paraId="4ADC0A70">
                  <w:pPr>
                    <w:pStyle w:val="15"/>
                    <w:adjustRightInd w:val="0"/>
                    <w:snapToGrid w:val="0"/>
                    <w:spacing w:before="0" w:after="0"/>
                    <w:jc w:val="center"/>
                    <w:rPr>
                      <w:b w:val="0"/>
                      <w:sz w:val="21"/>
                      <w:szCs w:val="21"/>
                    </w:rPr>
                  </w:pPr>
                  <w:r>
                    <w:rPr>
                      <w:b w:val="0"/>
                      <w:sz w:val="21"/>
                      <w:szCs w:val="21"/>
                    </w:rPr>
                    <w:t>—</w:t>
                  </w:r>
                </w:p>
              </w:tc>
              <w:tc>
                <w:tcPr>
                  <w:tcW w:w="240" w:type="pct"/>
                  <w:vAlign w:val="center"/>
                </w:tcPr>
                <w:p w14:paraId="53F54842">
                  <w:pPr>
                    <w:pStyle w:val="15"/>
                    <w:adjustRightInd w:val="0"/>
                    <w:snapToGrid w:val="0"/>
                    <w:spacing w:before="0" w:after="0"/>
                    <w:jc w:val="center"/>
                    <w:rPr>
                      <w:b w:val="0"/>
                      <w:sz w:val="21"/>
                      <w:szCs w:val="21"/>
                    </w:rPr>
                  </w:pPr>
                  <w:r>
                    <w:rPr>
                      <w:b w:val="0"/>
                      <w:sz w:val="21"/>
                      <w:szCs w:val="21"/>
                    </w:rPr>
                    <w:t>—</w:t>
                  </w:r>
                </w:p>
              </w:tc>
              <w:tc>
                <w:tcPr>
                  <w:tcW w:w="288" w:type="pct"/>
                  <w:vAlign w:val="center"/>
                </w:tcPr>
                <w:p w14:paraId="5C03F43F">
                  <w:pPr>
                    <w:pStyle w:val="15"/>
                    <w:adjustRightInd w:val="0"/>
                    <w:snapToGrid w:val="0"/>
                    <w:spacing w:before="0" w:after="0"/>
                    <w:jc w:val="center"/>
                    <w:rPr>
                      <w:b w:val="0"/>
                      <w:sz w:val="21"/>
                      <w:szCs w:val="21"/>
                    </w:rPr>
                  </w:pPr>
                  <w:r>
                    <w:rPr>
                      <w:b w:val="0"/>
                      <w:sz w:val="21"/>
                      <w:szCs w:val="21"/>
                    </w:rPr>
                    <w:t>12.5</w:t>
                  </w:r>
                </w:p>
              </w:tc>
              <w:tc>
                <w:tcPr>
                  <w:tcW w:w="288" w:type="pct"/>
                  <w:vAlign w:val="center"/>
                </w:tcPr>
                <w:p w14:paraId="6AF078A0">
                  <w:pPr>
                    <w:pStyle w:val="15"/>
                    <w:adjustRightInd w:val="0"/>
                    <w:snapToGrid w:val="0"/>
                    <w:spacing w:before="0" w:after="0"/>
                    <w:jc w:val="center"/>
                    <w:rPr>
                      <w:b w:val="0"/>
                      <w:sz w:val="21"/>
                      <w:szCs w:val="21"/>
                    </w:rPr>
                  </w:pPr>
                  <w:r>
                    <w:rPr>
                      <w:b w:val="0"/>
                      <w:sz w:val="21"/>
                      <w:szCs w:val="21"/>
                    </w:rPr>
                    <w:t>—</w:t>
                  </w:r>
                </w:p>
              </w:tc>
              <w:tc>
                <w:tcPr>
                  <w:tcW w:w="252" w:type="pct"/>
                  <w:vAlign w:val="center"/>
                </w:tcPr>
                <w:p w14:paraId="3E670823">
                  <w:pPr>
                    <w:pStyle w:val="15"/>
                    <w:adjustRightInd w:val="0"/>
                    <w:snapToGrid w:val="0"/>
                    <w:spacing w:before="0" w:after="0"/>
                    <w:jc w:val="center"/>
                    <w:rPr>
                      <w:b w:val="0"/>
                      <w:sz w:val="21"/>
                      <w:szCs w:val="21"/>
                    </w:rPr>
                  </w:pPr>
                  <w:r>
                    <w:rPr>
                      <w:b w:val="0"/>
                      <w:sz w:val="21"/>
                      <w:szCs w:val="21"/>
                    </w:rPr>
                    <w:t>15</w:t>
                  </w:r>
                </w:p>
              </w:tc>
              <w:tc>
                <w:tcPr>
                  <w:tcW w:w="288" w:type="pct"/>
                  <w:vAlign w:val="center"/>
                </w:tcPr>
                <w:p w14:paraId="327C0B7B">
                  <w:pPr>
                    <w:pStyle w:val="15"/>
                    <w:adjustRightInd w:val="0"/>
                    <w:snapToGrid w:val="0"/>
                    <w:spacing w:before="0" w:after="0"/>
                    <w:jc w:val="center"/>
                    <w:rPr>
                      <w:b w:val="0"/>
                      <w:sz w:val="21"/>
                      <w:szCs w:val="21"/>
                    </w:rPr>
                  </w:pPr>
                  <w:r>
                    <w:rPr>
                      <w:b w:val="0"/>
                      <w:sz w:val="21"/>
                      <w:szCs w:val="21"/>
                    </w:rPr>
                    <w:t>—</w:t>
                  </w:r>
                </w:p>
              </w:tc>
              <w:tc>
                <w:tcPr>
                  <w:tcW w:w="244" w:type="pct"/>
                  <w:vAlign w:val="center"/>
                </w:tcPr>
                <w:p w14:paraId="38EC0654">
                  <w:pPr>
                    <w:pStyle w:val="15"/>
                    <w:adjustRightInd w:val="0"/>
                    <w:snapToGrid w:val="0"/>
                    <w:spacing w:before="0" w:after="0"/>
                    <w:jc w:val="center"/>
                    <w:rPr>
                      <w:b w:val="0"/>
                      <w:sz w:val="21"/>
                      <w:szCs w:val="21"/>
                    </w:rPr>
                  </w:pPr>
                  <w:r>
                    <w:rPr>
                      <w:b w:val="0"/>
                      <w:sz w:val="21"/>
                      <w:szCs w:val="21"/>
                    </w:rPr>
                    <w:t>—</w:t>
                  </w:r>
                </w:p>
              </w:tc>
            </w:tr>
            <w:tr w14:paraId="5AB867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cantSplit/>
                <w:trHeight w:val="454" w:hRule="atLeast"/>
                <w:jc w:val="center"/>
              </w:trPr>
              <w:tc>
                <w:tcPr>
                  <w:tcW w:w="921" w:type="pct"/>
                  <w:gridSpan w:val="2"/>
                  <w:vAlign w:val="center"/>
                </w:tcPr>
                <w:p w14:paraId="3F79BB73">
                  <w:pPr>
                    <w:pStyle w:val="15"/>
                    <w:adjustRightInd w:val="0"/>
                    <w:snapToGrid w:val="0"/>
                    <w:spacing w:before="0" w:after="0"/>
                    <w:jc w:val="center"/>
                    <w:rPr>
                      <w:b w:val="0"/>
                      <w:sz w:val="21"/>
                      <w:szCs w:val="21"/>
                    </w:rPr>
                  </w:pPr>
                  <w:r>
                    <w:rPr>
                      <w:b w:val="0"/>
                      <w:sz w:val="21"/>
                      <w:szCs w:val="21"/>
                    </w:rPr>
                    <w:t>铁路</w:t>
                  </w:r>
                </w:p>
              </w:tc>
              <w:tc>
                <w:tcPr>
                  <w:tcW w:w="288" w:type="pct"/>
                  <w:vAlign w:val="center"/>
                </w:tcPr>
                <w:p w14:paraId="1B88FC1E">
                  <w:pPr>
                    <w:pStyle w:val="15"/>
                    <w:adjustRightInd w:val="0"/>
                    <w:snapToGrid w:val="0"/>
                    <w:spacing w:before="0" w:after="0"/>
                    <w:jc w:val="center"/>
                    <w:rPr>
                      <w:b w:val="0"/>
                      <w:sz w:val="21"/>
                      <w:szCs w:val="21"/>
                    </w:rPr>
                  </w:pPr>
                  <w:r>
                    <w:rPr>
                      <w:b w:val="0"/>
                      <w:sz w:val="21"/>
                      <w:szCs w:val="21"/>
                    </w:rPr>
                    <w:t>15.5</w:t>
                  </w:r>
                </w:p>
              </w:tc>
              <w:tc>
                <w:tcPr>
                  <w:tcW w:w="288" w:type="pct"/>
                  <w:vAlign w:val="center"/>
                </w:tcPr>
                <w:p w14:paraId="331073C4">
                  <w:pPr>
                    <w:pStyle w:val="15"/>
                    <w:adjustRightInd w:val="0"/>
                    <w:snapToGrid w:val="0"/>
                    <w:spacing w:before="0" w:after="0"/>
                    <w:jc w:val="center"/>
                    <w:rPr>
                      <w:b w:val="0"/>
                      <w:sz w:val="21"/>
                      <w:szCs w:val="21"/>
                    </w:rPr>
                  </w:pPr>
                  <w:r>
                    <w:rPr>
                      <w:b w:val="0"/>
                      <w:sz w:val="21"/>
                      <w:szCs w:val="21"/>
                    </w:rPr>
                    <w:t>—</w:t>
                  </w:r>
                </w:p>
              </w:tc>
              <w:tc>
                <w:tcPr>
                  <w:tcW w:w="252" w:type="pct"/>
                  <w:vAlign w:val="center"/>
                </w:tcPr>
                <w:p w14:paraId="4516F139">
                  <w:pPr>
                    <w:pStyle w:val="15"/>
                    <w:adjustRightInd w:val="0"/>
                    <w:snapToGrid w:val="0"/>
                    <w:spacing w:before="0" w:after="0"/>
                    <w:jc w:val="center"/>
                    <w:rPr>
                      <w:b w:val="0"/>
                      <w:sz w:val="21"/>
                      <w:szCs w:val="21"/>
                    </w:rPr>
                  </w:pPr>
                  <w:r>
                    <w:rPr>
                      <w:b w:val="0"/>
                      <w:sz w:val="21"/>
                      <w:szCs w:val="21"/>
                    </w:rPr>
                    <w:t>15</w:t>
                  </w:r>
                </w:p>
              </w:tc>
              <w:tc>
                <w:tcPr>
                  <w:tcW w:w="288" w:type="pct"/>
                  <w:vAlign w:val="center"/>
                </w:tcPr>
                <w:p w14:paraId="3DC51B6E">
                  <w:pPr>
                    <w:pStyle w:val="15"/>
                    <w:adjustRightInd w:val="0"/>
                    <w:snapToGrid w:val="0"/>
                    <w:spacing w:before="0" w:after="0"/>
                    <w:jc w:val="center"/>
                    <w:rPr>
                      <w:b w:val="0"/>
                      <w:sz w:val="21"/>
                      <w:szCs w:val="21"/>
                    </w:rPr>
                  </w:pPr>
                  <w:r>
                    <w:rPr>
                      <w:b w:val="0"/>
                      <w:sz w:val="21"/>
                      <w:szCs w:val="21"/>
                    </w:rPr>
                    <w:t>—</w:t>
                  </w:r>
                </w:p>
              </w:tc>
              <w:tc>
                <w:tcPr>
                  <w:tcW w:w="241" w:type="pct"/>
                  <w:vAlign w:val="center"/>
                </w:tcPr>
                <w:p w14:paraId="1FBC3DAA">
                  <w:pPr>
                    <w:pStyle w:val="15"/>
                    <w:adjustRightInd w:val="0"/>
                    <w:snapToGrid w:val="0"/>
                    <w:spacing w:before="0" w:after="0"/>
                    <w:jc w:val="center"/>
                    <w:rPr>
                      <w:b w:val="0"/>
                      <w:sz w:val="21"/>
                      <w:szCs w:val="21"/>
                    </w:rPr>
                  </w:pPr>
                  <w:r>
                    <w:rPr>
                      <w:b w:val="0"/>
                      <w:sz w:val="21"/>
                      <w:szCs w:val="21"/>
                    </w:rPr>
                    <w:t>—</w:t>
                  </w:r>
                </w:p>
              </w:tc>
              <w:tc>
                <w:tcPr>
                  <w:tcW w:w="288" w:type="pct"/>
                  <w:vAlign w:val="center"/>
                </w:tcPr>
                <w:p w14:paraId="72D8F239">
                  <w:pPr>
                    <w:pStyle w:val="15"/>
                    <w:adjustRightInd w:val="0"/>
                    <w:snapToGrid w:val="0"/>
                    <w:spacing w:before="0" w:after="0"/>
                    <w:jc w:val="center"/>
                    <w:rPr>
                      <w:b w:val="0"/>
                      <w:sz w:val="21"/>
                      <w:szCs w:val="21"/>
                    </w:rPr>
                  </w:pPr>
                  <w:r>
                    <w:rPr>
                      <w:b w:val="0"/>
                      <w:sz w:val="21"/>
                      <w:szCs w:val="21"/>
                    </w:rPr>
                    <w:t>15.5</w:t>
                  </w:r>
                </w:p>
              </w:tc>
              <w:tc>
                <w:tcPr>
                  <w:tcW w:w="284" w:type="pct"/>
                  <w:vAlign w:val="center"/>
                </w:tcPr>
                <w:p w14:paraId="31EB77A8">
                  <w:pPr>
                    <w:pStyle w:val="15"/>
                    <w:adjustRightInd w:val="0"/>
                    <w:snapToGrid w:val="0"/>
                    <w:spacing w:before="0" w:after="0"/>
                    <w:jc w:val="center"/>
                    <w:rPr>
                      <w:b w:val="0"/>
                      <w:sz w:val="21"/>
                      <w:szCs w:val="21"/>
                    </w:rPr>
                  </w:pPr>
                  <w:r>
                    <w:rPr>
                      <w:b w:val="0"/>
                      <w:sz w:val="21"/>
                      <w:szCs w:val="21"/>
                    </w:rPr>
                    <w:t>—</w:t>
                  </w:r>
                </w:p>
              </w:tc>
              <w:tc>
                <w:tcPr>
                  <w:tcW w:w="252" w:type="pct"/>
                  <w:vAlign w:val="center"/>
                </w:tcPr>
                <w:p w14:paraId="64106F3A">
                  <w:pPr>
                    <w:pStyle w:val="15"/>
                    <w:adjustRightInd w:val="0"/>
                    <w:snapToGrid w:val="0"/>
                    <w:spacing w:before="0" w:after="0"/>
                    <w:jc w:val="center"/>
                    <w:rPr>
                      <w:b w:val="0"/>
                      <w:sz w:val="21"/>
                      <w:szCs w:val="21"/>
                    </w:rPr>
                  </w:pPr>
                  <w:r>
                    <w:rPr>
                      <w:b w:val="0"/>
                      <w:sz w:val="21"/>
                      <w:szCs w:val="21"/>
                    </w:rPr>
                    <w:t>15</w:t>
                  </w:r>
                </w:p>
              </w:tc>
              <w:tc>
                <w:tcPr>
                  <w:tcW w:w="291" w:type="pct"/>
                  <w:vAlign w:val="center"/>
                </w:tcPr>
                <w:p w14:paraId="09BF7A2E">
                  <w:pPr>
                    <w:pStyle w:val="15"/>
                    <w:adjustRightInd w:val="0"/>
                    <w:snapToGrid w:val="0"/>
                    <w:spacing w:before="0" w:after="0"/>
                    <w:jc w:val="center"/>
                    <w:rPr>
                      <w:b w:val="0"/>
                      <w:sz w:val="21"/>
                      <w:szCs w:val="21"/>
                    </w:rPr>
                  </w:pPr>
                  <w:r>
                    <w:rPr>
                      <w:b w:val="0"/>
                      <w:sz w:val="21"/>
                      <w:szCs w:val="21"/>
                    </w:rPr>
                    <w:t>—</w:t>
                  </w:r>
                </w:p>
              </w:tc>
              <w:tc>
                <w:tcPr>
                  <w:tcW w:w="240" w:type="pct"/>
                  <w:vAlign w:val="center"/>
                </w:tcPr>
                <w:p w14:paraId="556C30D6">
                  <w:pPr>
                    <w:pStyle w:val="15"/>
                    <w:adjustRightInd w:val="0"/>
                    <w:snapToGrid w:val="0"/>
                    <w:spacing w:before="0" w:after="0"/>
                    <w:jc w:val="center"/>
                    <w:rPr>
                      <w:b w:val="0"/>
                      <w:sz w:val="21"/>
                      <w:szCs w:val="21"/>
                    </w:rPr>
                  </w:pPr>
                  <w:r>
                    <w:rPr>
                      <w:b w:val="0"/>
                      <w:sz w:val="21"/>
                      <w:szCs w:val="21"/>
                    </w:rPr>
                    <w:t>—</w:t>
                  </w:r>
                </w:p>
              </w:tc>
              <w:tc>
                <w:tcPr>
                  <w:tcW w:w="288" w:type="pct"/>
                  <w:vAlign w:val="center"/>
                </w:tcPr>
                <w:p w14:paraId="546DC4AB">
                  <w:pPr>
                    <w:pStyle w:val="15"/>
                    <w:adjustRightInd w:val="0"/>
                    <w:snapToGrid w:val="0"/>
                    <w:spacing w:before="0" w:after="0"/>
                    <w:jc w:val="center"/>
                    <w:rPr>
                      <w:b w:val="0"/>
                      <w:sz w:val="21"/>
                      <w:szCs w:val="21"/>
                    </w:rPr>
                  </w:pPr>
                  <w:r>
                    <w:rPr>
                      <w:b w:val="0"/>
                      <w:sz w:val="21"/>
                      <w:szCs w:val="21"/>
                    </w:rPr>
                    <w:t>15.5</w:t>
                  </w:r>
                </w:p>
              </w:tc>
              <w:tc>
                <w:tcPr>
                  <w:tcW w:w="288" w:type="pct"/>
                  <w:vAlign w:val="center"/>
                </w:tcPr>
                <w:p w14:paraId="7B98FC14">
                  <w:pPr>
                    <w:pStyle w:val="15"/>
                    <w:adjustRightInd w:val="0"/>
                    <w:snapToGrid w:val="0"/>
                    <w:spacing w:before="0" w:after="0"/>
                    <w:jc w:val="center"/>
                    <w:rPr>
                      <w:b w:val="0"/>
                      <w:sz w:val="21"/>
                      <w:szCs w:val="21"/>
                    </w:rPr>
                  </w:pPr>
                  <w:r>
                    <w:rPr>
                      <w:b w:val="0"/>
                      <w:sz w:val="21"/>
                      <w:szCs w:val="21"/>
                    </w:rPr>
                    <w:t>—</w:t>
                  </w:r>
                </w:p>
              </w:tc>
              <w:tc>
                <w:tcPr>
                  <w:tcW w:w="252" w:type="pct"/>
                  <w:vAlign w:val="center"/>
                </w:tcPr>
                <w:p w14:paraId="62CCC4AB">
                  <w:pPr>
                    <w:pStyle w:val="15"/>
                    <w:adjustRightInd w:val="0"/>
                    <w:snapToGrid w:val="0"/>
                    <w:spacing w:before="0" w:after="0"/>
                    <w:jc w:val="center"/>
                    <w:rPr>
                      <w:b w:val="0"/>
                      <w:sz w:val="21"/>
                      <w:szCs w:val="21"/>
                    </w:rPr>
                  </w:pPr>
                  <w:r>
                    <w:rPr>
                      <w:b w:val="0"/>
                      <w:sz w:val="21"/>
                      <w:szCs w:val="21"/>
                    </w:rPr>
                    <w:t>15</w:t>
                  </w:r>
                </w:p>
              </w:tc>
              <w:tc>
                <w:tcPr>
                  <w:tcW w:w="288" w:type="pct"/>
                  <w:vAlign w:val="center"/>
                </w:tcPr>
                <w:p w14:paraId="4AE844FA">
                  <w:pPr>
                    <w:pStyle w:val="15"/>
                    <w:adjustRightInd w:val="0"/>
                    <w:snapToGrid w:val="0"/>
                    <w:spacing w:before="0" w:after="0"/>
                    <w:jc w:val="center"/>
                    <w:rPr>
                      <w:b w:val="0"/>
                      <w:sz w:val="21"/>
                      <w:szCs w:val="21"/>
                    </w:rPr>
                  </w:pPr>
                  <w:r>
                    <w:rPr>
                      <w:b w:val="0"/>
                      <w:sz w:val="21"/>
                      <w:szCs w:val="21"/>
                    </w:rPr>
                    <w:t>—</w:t>
                  </w:r>
                </w:p>
              </w:tc>
              <w:tc>
                <w:tcPr>
                  <w:tcW w:w="244" w:type="pct"/>
                  <w:vAlign w:val="center"/>
                </w:tcPr>
                <w:p w14:paraId="67C5F172">
                  <w:pPr>
                    <w:pStyle w:val="15"/>
                    <w:adjustRightInd w:val="0"/>
                    <w:snapToGrid w:val="0"/>
                    <w:spacing w:before="0" w:after="0"/>
                    <w:jc w:val="center"/>
                    <w:rPr>
                      <w:b w:val="0"/>
                      <w:sz w:val="21"/>
                      <w:szCs w:val="21"/>
                    </w:rPr>
                  </w:pPr>
                  <w:r>
                    <w:rPr>
                      <w:b w:val="0"/>
                      <w:sz w:val="21"/>
                      <w:szCs w:val="21"/>
                    </w:rPr>
                    <w:t>—</w:t>
                  </w:r>
                </w:p>
              </w:tc>
            </w:tr>
            <w:tr w14:paraId="094A0C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cantSplit/>
                <w:trHeight w:val="454" w:hRule="atLeast"/>
                <w:jc w:val="center"/>
              </w:trPr>
              <w:tc>
                <w:tcPr>
                  <w:tcW w:w="276" w:type="pct"/>
                  <w:vMerge w:val="restart"/>
                  <w:vAlign w:val="center"/>
                </w:tcPr>
                <w:p w14:paraId="2DCB11C9">
                  <w:pPr>
                    <w:pStyle w:val="15"/>
                    <w:adjustRightInd w:val="0"/>
                    <w:snapToGrid w:val="0"/>
                    <w:spacing w:before="0" w:after="0"/>
                    <w:jc w:val="center"/>
                    <w:rPr>
                      <w:b w:val="0"/>
                      <w:sz w:val="21"/>
                      <w:szCs w:val="21"/>
                    </w:rPr>
                  </w:pPr>
                  <w:r>
                    <w:rPr>
                      <w:b w:val="0"/>
                      <w:sz w:val="21"/>
                      <w:szCs w:val="21"/>
                    </w:rPr>
                    <w:t>城市道路</w:t>
                  </w:r>
                </w:p>
              </w:tc>
              <w:tc>
                <w:tcPr>
                  <w:tcW w:w="644" w:type="pct"/>
                  <w:vAlign w:val="center"/>
                </w:tcPr>
                <w:p w14:paraId="5252F56B">
                  <w:pPr>
                    <w:pStyle w:val="15"/>
                    <w:adjustRightInd w:val="0"/>
                    <w:snapToGrid w:val="0"/>
                    <w:spacing w:before="0" w:after="0"/>
                    <w:jc w:val="center"/>
                    <w:rPr>
                      <w:b w:val="0"/>
                      <w:sz w:val="21"/>
                      <w:szCs w:val="21"/>
                    </w:rPr>
                  </w:pPr>
                  <w:r>
                    <w:rPr>
                      <w:b w:val="0"/>
                      <w:bCs w:val="0"/>
                      <w:sz w:val="21"/>
                      <w:szCs w:val="21"/>
                    </w:rPr>
                    <w:t>快速路、主干道</w:t>
                  </w:r>
                </w:p>
              </w:tc>
              <w:tc>
                <w:tcPr>
                  <w:tcW w:w="288" w:type="pct"/>
                  <w:vAlign w:val="center"/>
                </w:tcPr>
                <w:p w14:paraId="65665CAD">
                  <w:pPr>
                    <w:pStyle w:val="15"/>
                    <w:adjustRightInd w:val="0"/>
                    <w:snapToGrid w:val="0"/>
                    <w:spacing w:before="0" w:after="0"/>
                    <w:jc w:val="center"/>
                    <w:rPr>
                      <w:b w:val="0"/>
                      <w:sz w:val="21"/>
                      <w:szCs w:val="21"/>
                    </w:rPr>
                  </w:pPr>
                  <w:r>
                    <w:rPr>
                      <w:b w:val="0"/>
                      <w:sz w:val="21"/>
                      <w:szCs w:val="21"/>
                    </w:rPr>
                    <w:t>5.5</w:t>
                  </w:r>
                </w:p>
              </w:tc>
              <w:tc>
                <w:tcPr>
                  <w:tcW w:w="288" w:type="pct"/>
                  <w:vAlign w:val="center"/>
                </w:tcPr>
                <w:p w14:paraId="6932DB0D">
                  <w:pPr>
                    <w:pStyle w:val="15"/>
                    <w:adjustRightInd w:val="0"/>
                    <w:snapToGrid w:val="0"/>
                    <w:spacing w:before="0" w:after="0"/>
                    <w:jc w:val="center"/>
                    <w:rPr>
                      <w:b w:val="0"/>
                      <w:sz w:val="21"/>
                      <w:szCs w:val="21"/>
                    </w:rPr>
                  </w:pPr>
                  <w:r>
                    <w:rPr>
                      <w:b w:val="0"/>
                      <w:sz w:val="21"/>
                      <w:szCs w:val="21"/>
                    </w:rPr>
                    <w:t>24.8</w:t>
                  </w:r>
                </w:p>
              </w:tc>
              <w:tc>
                <w:tcPr>
                  <w:tcW w:w="252" w:type="pct"/>
                  <w:vAlign w:val="center"/>
                </w:tcPr>
                <w:p w14:paraId="7A83783F">
                  <w:pPr>
                    <w:pStyle w:val="15"/>
                    <w:adjustRightInd w:val="0"/>
                    <w:snapToGrid w:val="0"/>
                    <w:spacing w:before="0" w:after="0"/>
                    <w:jc w:val="center"/>
                    <w:rPr>
                      <w:b w:val="0"/>
                      <w:sz w:val="21"/>
                      <w:szCs w:val="21"/>
                    </w:rPr>
                  </w:pPr>
                  <w:r>
                    <w:rPr>
                      <w:b w:val="0"/>
                      <w:sz w:val="21"/>
                      <w:szCs w:val="21"/>
                    </w:rPr>
                    <w:t>3</w:t>
                  </w:r>
                </w:p>
              </w:tc>
              <w:tc>
                <w:tcPr>
                  <w:tcW w:w="288" w:type="pct"/>
                  <w:vAlign w:val="center"/>
                </w:tcPr>
                <w:p w14:paraId="4FAEE283">
                  <w:pPr>
                    <w:pStyle w:val="15"/>
                    <w:adjustRightInd w:val="0"/>
                    <w:snapToGrid w:val="0"/>
                    <w:spacing w:before="0" w:after="0"/>
                    <w:jc w:val="center"/>
                    <w:rPr>
                      <w:b w:val="0"/>
                      <w:sz w:val="21"/>
                      <w:szCs w:val="21"/>
                    </w:rPr>
                  </w:pPr>
                  <w:r>
                    <w:rPr>
                      <w:b w:val="0"/>
                      <w:bCs w:val="0"/>
                      <w:sz w:val="21"/>
                      <w:szCs w:val="21"/>
                    </w:rPr>
                    <w:t>24.8</w:t>
                  </w:r>
                </w:p>
              </w:tc>
              <w:tc>
                <w:tcPr>
                  <w:tcW w:w="241" w:type="pct"/>
                  <w:vAlign w:val="center"/>
                </w:tcPr>
                <w:p w14:paraId="5AFC500E">
                  <w:pPr>
                    <w:pStyle w:val="15"/>
                    <w:adjustRightInd w:val="0"/>
                    <w:snapToGrid w:val="0"/>
                    <w:spacing w:before="0" w:after="0"/>
                    <w:jc w:val="center"/>
                    <w:rPr>
                      <w:b w:val="0"/>
                      <w:sz w:val="21"/>
                      <w:szCs w:val="21"/>
                    </w:rPr>
                  </w:pPr>
                  <w:r>
                    <w:rPr>
                      <w:b w:val="0"/>
                      <w:sz w:val="21"/>
                      <w:szCs w:val="21"/>
                    </w:rPr>
                    <w:t>合格</w:t>
                  </w:r>
                </w:p>
              </w:tc>
              <w:tc>
                <w:tcPr>
                  <w:tcW w:w="288" w:type="pct"/>
                  <w:vAlign w:val="center"/>
                </w:tcPr>
                <w:p w14:paraId="00DDE78F">
                  <w:pPr>
                    <w:pStyle w:val="15"/>
                    <w:adjustRightInd w:val="0"/>
                    <w:snapToGrid w:val="0"/>
                    <w:spacing w:before="0" w:after="0"/>
                    <w:jc w:val="center"/>
                    <w:rPr>
                      <w:b w:val="0"/>
                      <w:sz w:val="21"/>
                      <w:szCs w:val="21"/>
                    </w:rPr>
                  </w:pPr>
                  <w:r>
                    <w:rPr>
                      <w:b w:val="0"/>
                      <w:sz w:val="21"/>
                      <w:szCs w:val="21"/>
                    </w:rPr>
                    <w:t>5</w:t>
                  </w:r>
                </w:p>
              </w:tc>
              <w:tc>
                <w:tcPr>
                  <w:tcW w:w="284" w:type="pct"/>
                  <w:vAlign w:val="center"/>
                </w:tcPr>
                <w:p w14:paraId="3DFA8A8A">
                  <w:pPr>
                    <w:pStyle w:val="15"/>
                    <w:adjustRightInd w:val="0"/>
                    <w:snapToGrid w:val="0"/>
                    <w:spacing w:before="0" w:after="0"/>
                    <w:jc w:val="center"/>
                    <w:rPr>
                      <w:b w:val="0"/>
                      <w:sz w:val="21"/>
                      <w:szCs w:val="21"/>
                    </w:rPr>
                  </w:pPr>
                  <w:r>
                    <w:rPr>
                      <w:b w:val="0"/>
                      <w:sz w:val="21"/>
                      <w:szCs w:val="21"/>
                    </w:rPr>
                    <w:t>38</w:t>
                  </w:r>
                </w:p>
              </w:tc>
              <w:tc>
                <w:tcPr>
                  <w:tcW w:w="252" w:type="pct"/>
                  <w:vAlign w:val="center"/>
                </w:tcPr>
                <w:p w14:paraId="45AE18DE">
                  <w:pPr>
                    <w:pStyle w:val="15"/>
                    <w:adjustRightInd w:val="0"/>
                    <w:snapToGrid w:val="0"/>
                    <w:spacing w:before="0" w:after="0"/>
                    <w:jc w:val="center"/>
                    <w:rPr>
                      <w:b w:val="0"/>
                      <w:sz w:val="21"/>
                      <w:szCs w:val="21"/>
                    </w:rPr>
                  </w:pPr>
                  <w:r>
                    <w:rPr>
                      <w:b w:val="0"/>
                      <w:sz w:val="21"/>
                      <w:szCs w:val="21"/>
                    </w:rPr>
                    <w:t>3</w:t>
                  </w:r>
                </w:p>
              </w:tc>
              <w:tc>
                <w:tcPr>
                  <w:tcW w:w="291" w:type="pct"/>
                  <w:vAlign w:val="center"/>
                </w:tcPr>
                <w:p w14:paraId="37F182DD">
                  <w:pPr>
                    <w:adjustRightInd w:val="0"/>
                    <w:snapToGrid w:val="0"/>
                    <w:jc w:val="center"/>
                    <w:rPr>
                      <w:szCs w:val="21"/>
                    </w:rPr>
                  </w:pPr>
                  <w:r>
                    <w:rPr>
                      <w:szCs w:val="21"/>
                    </w:rPr>
                    <w:t>38</w:t>
                  </w:r>
                </w:p>
              </w:tc>
              <w:tc>
                <w:tcPr>
                  <w:tcW w:w="240" w:type="pct"/>
                  <w:vAlign w:val="center"/>
                </w:tcPr>
                <w:p w14:paraId="2F4D64FD">
                  <w:pPr>
                    <w:pStyle w:val="15"/>
                    <w:adjustRightInd w:val="0"/>
                    <w:snapToGrid w:val="0"/>
                    <w:spacing w:before="0" w:after="0"/>
                    <w:jc w:val="center"/>
                    <w:rPr>
                      <w:b w:val="0"/>
                      <w:sz w:val="21"/>
                      <w:szCs w:val="21"/>
                    </w:rPr>
                  </w:pPr>
                  <w:r>
                    <w:rPr>
                      <w:b w:val="0"/>
                      <w:sz w:val="21"/>
                      <w:szCs w:val="21"/>
                    </w:rPr>
                    <w:t>合格</w:t>
                  </w:r>
                </w:p>
              </w:tc>
              <w:tc>
                <w:tcPr>
                  <w:tcW w:w="288" w:type="pct"/>
                  <w:vAlign w:val="center"/>
                </w:tcPr>
                <w:p w14:paraId="53DB92D4">
                  <w:pPr>
                    <w:pStyle w:val="15"/>
                    <w:adjustRightInd w:val="0"/>
                    <w:snapToGrid w:val="0"/>
                    <w:spacing w:before="0" w:after="0"/>
                    <w:jc w:val="center"/>
                    <w:rPr>
                      <w:b w:val="0"/>
                      <w:sz w:val="21"/>
                      <w:szCs w:val="21"/>
                    </w:rPr>
                  </w:pPr>
                  <w:r>
                    <w:rPr>
                      <w:b w:val="0"/>
                      <w:sz w:val="21"/>
                      <w:szCs w:val="21"/>
                    </w:rPr>
                    <w:t>5</w:t>
                  </w:r>
                </w:p>
              </w:tc>
              <w:tc>
                <w:tcPr>
                  <w:tcW w:w="288" w:type="pct"/>
                  <w:vAlign w:val="center"/>
                </w:tcPr>
                <w:p w14:paraId="2919526E">
                  <w:pPr>
                    <w:pStyle w:val="15"/>
                    <w:adjustRightInd w:val="0"/>
                    <w:snapToGrid w:val="0"/>
                    <w:spacing w:before="0" w:after="0"/>
                    <w:jc w:val="center"/>
                    <w:rPr>
                      <w:b w:val="0"/>
                      <w:sz w:val="21"/>
                      <w:szCs w:val="21"/>
                    </w:rPr>
                  </w:pPr>
                  <w:r>
                    <w:rPr>
                      <w:b w:val="0"/>
                      <w:sz w:val="21"/>
                      <w:szCs w:val="21"/>
                    </w:rPr>
                    <w:t>22.2</w:t>
                  </w:r>
                </w:p>
              </w:tc>
              <w:tc>
                <w:tcPr>
                  <w:tcW w:w="252" w:type="pct"/>
                  <w:vAlign w:val="center"/>
                </w:tcPr>
                <w:p w14:paraId="2CFE5B4B">
                  <w:pPr>
                    <w:pStyle w:val="15"/>
                    <w:adjustRightInd w:val="0"/>
                    <w:snapToGrid w:val="0"/>
                    <w:spacing w:before="0" w:after="0"/>
                    <w:jc w:val="center"/>
                    <w:rPr>
                      <w:b w:val="0"/>
                      <w:sz w:val="21"/>
                      <w:szCs w:val="21"/>
                    </w:rPr>
                  </w:pPr>
                  <w:r>
                    <w:rPr>
                      <w:b w:val="0"/>
                      <w:sz w:val="21"/>
                      <w:szCs w:val="21"/>
                    </w:rPr>
                    <w:t>3</w:t>
                  </w:r>
                </w:p>
              </w:tc>
              <w:tc>
                <w:tcPr>
                  <w:tcW w:w="288" w:type="pct"/>
                  <w:vAlign w:val="center"/>
                </w:tcPr>
                <w:p w14:paraId="509583C7">
                  <w:pPr>
                    <w:pStyle w:val="15"/>
                    <w:adjustRightInd w:val="0"/>
                    <w:snapToGrid w:val="0"/>
                    <w:spacing w:before="0" w:after="0"/>
                    <w:jc w:val="center"/>
                    <w:rPr>
                      <w:b w:val="0"/>
                      <w:sz w:val="21"/>
                      <w:szCs w:val="21"/>
                    </w:rPr>
                  </w:pPr>
                  <w:r>
                    <w:rPr>
                      <w:b w:val="0"/>
                      <w:sz w:val="21"/>
                      <w:szCs w:val="21"/>
                    </w:rPr>
                    <w:t>22.2</w:t>
                  </w:r>
                </w:p>
              </w:tc>
              <w:tc>
                <w:tcPr>
                  <w:tcW w:w="244" w:type="pct"/>
                  <w:vAlign w:val="center"/>
                </w:tcPr>
                <w:p w14:paraId="427A4EB8">
                  <w:pPr>
                    <w:pStyle w:val="15"/>
                    <w:adjustRightInd w:val="0"/>
                    <w:snapToGrid w:val="0"/>
                    <w:spacing w:before="0" w:after="0"/>
                    <w:jc w:val="center"/>
                    <w:rPr>
                      <w:b w:val="0"/>
                      <w:sz w:val="21"/>
                      <w:szCs w:val="21"/>
                    </w:rPr>
                  </w:pPr>
                  <w:r>
                    <w:rPr>
                      <w:b w:val="0"/>
                      <w:sz w:val="21"/>
                      <w:szCs w:val="21"/>
                    </w:rPr>
                    <w:t>合格</w:t>
                  </w:r>
                </w:p>
              </w:tc>
            </w:tr>
            <w:tr w14:paraId="02FB97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cantSplit/>
                <w:trHeight w:val="454" w:hRule="atLeast"/>
                <w:jc w:val="center"/>
              </w:trPr>
              <w:tc>
                <w:tcPr>
                  <w:tcW w:w="276" w:type="pct"/>
                  <w:vMerge w:val="continue"/>
                  <w:vAlign w:val="center"/>
                </w:tcPr>
                <w:p w14:paraId="50B3FE31">
                  <w:pPr>
                    <w:pStyle w:val="15"/>
                    <w:adjustRightInd w:val="0"/>
                    <w:snapToGrid w:val="0"/>
                    <w:spacing w:before="0" w:after="0"/>
                    <w:jc w:val="center"/>
                    <w:rPr>
                      <w:b w:val="0"/>
                      <w:sz w:val="21"/>
                      <w:szCs w:val="21"/>
                    </w:rPr>
                  </w:pPr>
                </w:p>
              </w:tc>
              <w:tc>
                <w:tcPr>
                  <w:tcW w:w="644" w:type="pct"/>
                  <w:vAlign w:val="center"/>
                </w:tcPr>
                <w:p w14:paraId="201C55A2">
                  <w:pPr>
                    <w:pStyle w:val="15"/>
                    <w:adjustRightInd w:val="0"/>
                    <w:snapToGrid w:val="0"/>
                    <w:spacing w:before="0" w:after="0"/>
                    <w:jc w:val="center"/>
                    <w:rPr>
                      <w:b w:val="0"/>
                      <w:sz w:val="21"/>
                      <w:szCs w:val="21"/>
                    </w:rPr>
                  </w:pPr>
                  <w:r>
                    <w:rPr>
                      <w:b w:val="0"/>
                      <w:sz w:val="21"/>
                      <w:szCs w:val="21"/>
                    </w:rPr>
                    <w:t>次干路、支路</w:t>
                  </w:r>
                </w:p>
              </w:tc>
              <w:tc>
                <w:tcPr>
                  <w:tcW w:w="288" w:type="pct"/>
                  <w:vAlign w:val="center"/>
                </w:tcPr>
                <w:p w14:paraId="59827388">
                  <w:pPr>
                    <w:pStyle w:val="15"/>
                    <w:adjustRightInd w:val="0"/>
                    <w:snapToGrid w:val="0"/>
                    <w:spacing w:before="0" w:after="0"/>
                    <w:jc w:val="center"/>
                    <w:rPr>
                      <w:b w:val="0"/>
                      <w:sz w:val="21"/>
                      <w:szCs w:val="21"/>
                    </w:rPr>
                  </w:pPr>
                  <w:r>
                    <w:rPr>
                      <w:b w:val="0"/>
                      <w:sz w:val="21"/>
                      <w:szCs w:val="21"/>
                    </w:rPr>
                    <w:t>5</w:t>
                  </w:r>
                </w:p>
              </w:tc>
              <w:tc>
                <w:tcPr>
                  <w:tcW w:w="288" w:type="pct"/>
                  <w:vAlign w:val="center"/>
                </w:tcPr>
                <w:p w14:paraId="4D3654F8">
                  <w:pPr>
                    <w:pStyle w:val="15"/>
                    <w:adjustRightInd w:val="0"/>
                    <w:snapToGrid w:val="0"/>
                    <w:spacing w:before="0" w:after="0"/>
                    <w:jc w:val="center"/>
                    <w:rPr>
                      <w:b w:val="0"/>
                      <w:sz w:val="21"/>
                      <w:szCs w:val="21"/>
                    </w:rPr>
                  </w:pPr>
                  <w:r>
                    <w:rPr>
                      <w:b w:val="0"/>
                      <w:sz w:val="21"/>
                      <w:szCs w:val="21"/>
                    </w:rPr>
                    <w:t>—</w:t>
                  </w:r>
                </w:p>
              </w:tc>
              <w:tc>
                <w:tcPr>
                  <w:tcW w:w="252" w:type="pct"/>
                  <w:vAlign w:val="center"/>
                </w:tcPr>
                <w:p w14:paraId="49E63891">
                  <w:pPr>
                    <w:pStyle w:val="15"/>
                    <w:adjustRightInd w:val="0"/>
                    <w:snapToGrid w:val="0"/>
                    <w:spacing w:before="0" w:after="0"/>
                    <w:jc w:val="center"/>
                    <w:rPr>
                      <w:b w:val="0"/>
                      <w:sz w:val="21"/>
                      <w:szCs w:val="21"/>
                    </w:rPr>
                  </w:pPr>
                  <w:r>
                    <w:rPr>
                      <w:b w:val="0"/>
                      <w:sz w:val="21"/>
                      <w:szCs w:val="21"/>
                    </w:rPr>
                    <w:t>3</w:t>
                  </w:r>
                </w:p>
              </w:tc>
              <w:tc>
                <w:tcPr>
                  <w:tcW w:w="288" w:type="pct"/>
                  <w:vAlign w:val="center"/>
                </w:tcPr>
                <w:p w14:paraId="5CEF02EF">
                  <w:pPr>
                    <w:pStyle w:val="15"/>
                    <w:adjustRightInd w:val="0"/>
                    <w:snapToGrid w:val="0"/>
                    <w:spacing w:before="0" w:after="0"/>
                    <w:jc w:val="center"/>
                    <w:rPr>
                      <w:b w:val="0"/>
                      <w:sz w:val="21"/>
                      <w:szCs w:val="21"/>
                    </w:rPr>
                  </w:pPr>
                  <w:r>
                    <w:rPr>
                      <w:b w:val="0"/>
                      <w:sz w:val="21"/>
                      <w:szCs w:val="21"/>
                    </w:rPr>
                    <w:t>—</w:t>
                  </w:r>
                </w:p>
              </w:tc>
              <w:tc>
                <w:tcPr>
                  <w:tcW w:w="241" w:type="pct"/>
                  <w:vAlign w:val="center"/>
                </w:tcPr>
                <w:p w14:paraId="7746349C">
                  <w:pPr>
                    <w:pStyle w:val="15"/>
                    <w:adjustRightInd w:val="0"/>
                    <w:snapToGrid w:val="0"/>
                    <w:spacing w:before="0" w:after="0"/>
                    <w:jc w:val="center"/>
                    <w:rPr>
                      <w:b w:val="0"/>
                      <w:sz w:val="21"/>
                      <w:szCs w:val="21"/>
                    </w:rPr>
                  </w:pPr>
                  <w:r>
                    <w:rPr>
                      <w:b w:val="0"/>
                      <w:sz w:val="21"/>
                      <w:szCs w:val="21"/>
                    </w:rPr>
                    <w:t>—</w:t>
                  </w:r>
                </w:p>
              </w:tc>
              <w:tc>
                <w:tcPr>
                  <w:tcW w:w="288" w:type="pct"/>
                  <w:vAlign w:val="center"/>
                </w:tcPr>
                <w:p w14:paraId="1D9670C2">
                  <w:pPr>
                    <w:pStyle w:val="15"/>
                    <w:adjustRightInd w:val="0"/>
                    <w:snapToGrid w:val="0"/>
                    <w:spacing w:before="0" w:after="0"/>
                    <w:jc w:val="center"/>
                    <w:rPr>
                      <w:b w:val="0"/>
                      <w:sz w:val="21"/>
                      <w:szCs w:val="21"/>
                    </w:rPr>
                  </w:pPr>
                  <w:r>
                    <w:rPr>
                      <w:b w:val="0"/>
                      <w:sz w:val="21"/>
                      <w:szCs w:val="21"/>
                    </w:rPr>
                    <w:t>5</w:t>
                  </w:r>
                </w:p>
              </w:tc>
              <w:tc>
                <w:tcPr>
                  <w:tcW w:w="284" w:type="pct"/>
                  <w:vAlign w:val="center"/>
                </w:tcPr>
                <w:p w14:paraId="0D1748BC">
                  <w:pPr>
                    <w:pStyle w:val="15"/>
                    <w:adjustRightInd w:val="0"/>
                    <w:snapToGrid w:val="0"/>
                    <w:spacing w:before="0" w:after="0"/>
                    <w:jc w:val="center"/>
                    <w:rPr>
                      <w:b w:val="0"/>
                      <w:sz w:val="21"/>
                      <w:szCs w:val="21"/>
                    </w:rPr>
                  </w:pPr>
                  <w:r>
                    <w:rPr>
                      <w:b w:val="0"/>
                      <w:sz w:val="21"/>
                      <w:szCs w:val="21"/>
                    </w:rPr>
                    <w:t>—</w:t>
                  </w:r>
                </w:p>
              </w:tc>
              <w:tc>
                <w:tcPr>
                  <w:tcW w:w="252" w:type="pct"/>
                  <w:vAlign w:val="center"/>
                </w:tcPr>
                <w:p w14:paraId="577A6031">
                  <w:pPr>
                    <w:pStyle w:val="15"/>
                    <w:adjustRightInd w:val="0"/>
                    <w:snapToGrid w:val="0"/>
                    <w:spacing w:before="0" w:after="0"/>
                    <w:jc w:val="center"/>
                    <w:rPr>
                      <w:b w:val="0"/>
                      <w:sz w:val="21"/>
                      <w:szCs w:val="21"/>
                    </w:rPr>
                  </w:pPr>
                  <w:r>
                    <w:rPr>
                      <w:b w:val="0"/>
                      <w:sz w:val="21"/>
                      <w:szCs w:val="21"/>
                    </w:rPr>
                    <w:t>3</w:t>
                  </w:r>
                </w:p>
              </w:tc>
              <w:tc>
                <w:tcPr>
                  <w:tcW w:w="291" w:type="pct"/>
                  <w:vAlign w:val="center"/>
                </w:tcPr>
                <w:p w14:paraId="0055D787">
                  <w:pPr>
                    <w:pStyle w:val="15"/>
                    <w:adjustRightInd w:val="0"/>
                    <w:snapToGrid w:val="0"/>
                    <w:spacing w:before="0" w:after="0"/>
                    <w:jc w:val="center"/>
                    <w:rPr>
                      <w:b w:val="0"/>
                      <w:sz w:val="21"/>
                      <w:szCs w:val="21"/>
                    </w:rPr>
                  </w:pPr>
                  <w:r>
                    <w:rPr>
                      <w:b w:val="0"/>
                      <w:sz w:val="21"/>
                      <w:szCs w:val="21"/>
                    </w:rPr>
                    <w:t>—</w:t>
                  </w:r>
                </w:p>
              </w:tc>
              <w:tc>
                <w:tcPr>
                  <w:tcW w:w="240" w:type="pct"/>
                  <w:vAlign w:val="center"/>
                </w:tcPr>
                <w:p w14:paraId="4068C243">
                  <w:pPr>
                    <w:pStyle w:val="15"/>
                    <w:adjustRightInd w:val="0"/>
                    <w:snapToGrid w:val="0"/>
                    <w:spacing w:before="0" w:after="0"/>
                    <w:jc w:val="center"/>
                    <w:rPr>
                      <w:b w:val="0"/>
                      <w:sz w:val="21"/>
                      <w:szCs w:val="21"/>
                    </w:rPr>
                  </w:pPr>
                  <w:r>
                    <w:rPr>
                      <w:b w:val="0"/>
                      <w:sz w:val="21"/>
                      <w:szCs w:val="21"/>
                    </w:rPr>
                    <w:t>—</w:t>
                  </w:r>
                </w:p>
              </w:tc>
              <w:tc>
                <w:tcPr>
                  <w:tcW w:w="288" w:type="pct"/>
                  <w:vAlign w:val="center"/>
                </w:tcPr>
                <w:p w14:paraId="316FF14F">
                  <w:pPr>
                    <w:pStyle w:val="15"/>
                    <w:adjustRightInd w:val="0"/>
                    <w:snapToGrid w:val="0"/>
                    <w:spacing w:before="0" w:after="0"/>
                    <w:jc w:val="center"/>
                    <w:rPr>
                      <w:b w:val="0"/>
                      <w:sz w:val="21"/>
                      <w:szCs w:val="21"/>
                    </w:rPr>
                  </w:pPr>
                  <w:r>
                    <w:rPr>
                      <w:b w:val="0"/>
                      <w:sz w:val="21"/>
                      <w:szCs w:val="21"/>
                    </w:rPr>
                    <w:t>5</w:t>
                  </w:r>
                </w:p>
              </w:tc>
              <w:tc>
                <w:tcPr>
                  <w:tcW w:w="288" w:type="pct"/>
                  <w:vAlign w:val="center"/>
                </w:tcPr>
                <w:p w14:paraId="51BA1088">
                  <w:pPr>
                    <w:pStyle w:val="15"/>
                    <w:adjustRightInd w:val="0"/>
                    <w:snapToGrid w:val="0"/>
                    <w:spacing w:before="0" w:after="0"/>
                    <w:jc w:val="center"/>
                    <w:rPr>
                      <w:b w:val="0"/>
                      <w:sz w:val="21"/>
                      <w:szCs w:val="21"/>
                    </w:rPr>
                  </w:pPr>
                  <w:r>
                    <w:rPr>
                      <w:b w:val="0"/>
                      <w:sz w:val="21"/>
                      <w:szCs w:val="21"/>
                    </w:rPr>
                    <w:t>—</w:t>
                  </w:r>
                </w:p>
              </w:tc>
              <w:tc>
                <w:tcPr>
                  <w:tcW w:w="252" w:type="pct"/>
                  <w:vAlign w:val="center"/>
                </w:tcPr>
                <w:p w14:paraId="77684F10">
                  <w:pPr>
                    <w:pStyle w:val="15"/>
                    <w:adjustRightInd w:val="0"/>
                    <w:snapToGrid w:val="0"/>
                    <w:spacing w:before="0" w:after="0"/>
                    <w:jc w:val="center"/>
                    <w:rPr>
                      <w:b w:val="0"/>
                      <w:sz w:val="21"/>
                      <w:szCs w:val="21"/>
                    </w:rPr>
                  </w:pPr>
                  <w:r>
                    <w:rPr>
                      <w:b w:val="0"/>
                      <w:sz w:val="21"/>
                      <w:szCs w:val="21"/>
                    </w:rPr>
                    <w:t>3</w:t>
                  </w:r>
                </w:p>
              </w:tc>
              <w:tc>
                <w:tcPr>
                  <w:tcW w:w="288" w:type="pct"/>
                  <w:vAlign w:val="center"/>
                </w:tcPr>
                <w:p w14:paraId="6F32A443">
                  <w:pPr>
                    <w:pStyle w:val="15"/>
                    <w:adjustRightInd w:val="0"/>
                    <w:snapToGrid w:val="0"/>
                    <w:spacing w:before="0" w:after="0"/>
                    <w:jc w:val="center"/>
                    <w:rPr>
                      <w:b w:val="0"/>
                      <w:sz w:val="21"/>
                      <w:szCs w:val="21"/>
                    </w:rPr>
                  </w:pPr>
                  <w:r>
                    <w:rPr>
                      <w:b w:val="0"/>
                      <w:sz w:val="21"/>
                      <w:szCs w:val="21"/>
                    </w:rPr>
                    <w:t>—</w:t>
                  </w:r>
                </w:p>
              </w:tc>
              <w:tc>
                <w:tcPr>
                  <w:tcW w:w="244" w:type="pct"/>
                  <w:vAlign w:val="center"/>
                </w:tcPr>
                <w:p w14:paraId="79003193">
                  <w:pPr>
                    <w:pStyle w:val="15"/>
                    <w:adjustRightInd w:val="0"/>
                    <w:snapToGrid w:val="0"/>
                    <w:spacing w:before="0" w:after="0"/>
                    <w:jc w:val="center"/>
                    <w:rPr>
                      <w:b w:val="0"/>
                      <w:sz w:val="21"/>
                      <w:szCs w:val="21"/>
                    </w:rPr>
                  </w:pPr>
                  <w:r>
                    <w:rPr>
                      <w:b w:val="0"/>
                      <w:sz w:val="21"/>
                      <w:szCs w:val="21"/>
                    </w:rPr>
                    <w:t>—</w:t>
                  </w:r>
                </w:p>
              </w:tc>
            </w:tr>
            <w:tr w14:paraId="5D44F0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cantSplit/>
                <w:trHeight w:val="454" w:hRule="atLeast"/>
                <w:jc w:val="center"/>
              </w:trPr>
              <w:tc>
                <w:tcPr>
                  <w:tcW w:w="921" w:type="pct"/>
                  <w:gridSpan w:val="2"/>
                  <w:vAlign w:val="center"/>
                </w:tcPr>
                <w:p w14:paraId="41283187">
                  <w:pPr>
                    <w:pStyle w:val="15"/>
                    <w:adjustRightInd w:val="0"/>
                    <w:snapToGrid w:val="0"/>
                    <w:spacing w:before="0" w:after="0"/>
                    <w:jc w:val="center"/>
                    <w:rPr>
                      <w:b w:val="0"/>
                      <w:sz w:val="21"/>
                      <w:szCs w:val="21"/>
                    </w:rPr>
                  </w:pPr>
                  <w:r>
                    <w:rPr>
                      <w:b w:val="0"/>
                      <w:sz w:val="21"/>
                      <w:szCs w:val="21"/>
                    </w:rPr>
                    <w:t>架空通信线和通信发射塔</w:t>
                  </w:r>
                </w:p>
              </w:tc>
              <w:tc>
                <w:tcPr>
                  <w:tcW w:w="288" w:type="pct"/>
                  <w:vAlign w:val="center"/>
                </w:tcPr>
                <w:p w14:paraId="72B31BD8">
                  <w:pPr>
                    <w:pStyle w:val="15"/>
                    <w:adjustRightInd w:val="0"/>
                    <w:snapToGrid w:val="0"/>
                    <w:spacing w:before="0" w:after="0"/>
                    <w:jc w:val="center"/>
                    <w:rPr>
                      <w:b w:val="0"/>
                      <w:sz w:val="21"/>
                      <w:szCs w:val="21"/>
                    </w:rPr>
                  </w:pPr>
                  <w:r>
                    <w:rPr>
                      <w:b w:val="0"/>
                      <w:sz w:val="21"/>
                      <w:szCs w:val="21"/>
                    </w:rPr>
                    <w:t>5</w:t>
                  </w:r>
                </w:p>
              </w:tc>
              <w:tc>
                <w:tcPr>
                  <w:tcW w:w="288" w:type="pct"/>
                  <w:vAlign w:val="center"/>
                </w:tcPr>
                <w:p w14:paraId="6C195BD9">
                  <w:pPr>
                    <w:pStyle w:val="15"/>
                    <w:adjustRightInd w:val="0"/>
                    <w:snapToGrid w:val="0"/>
                    <w:spacing w:before="0" w:after="0"/>
                    <w:jc w:val="center"/>
                    <w:rPr>
                      <w:b w:val="0"/>
                      <w:sz w:val="21"/>
                      <w:szCs w:val="21"/>
                    </w:rPr>
                  </w:pPr>
                  <w:r>
                    <w:rPr>
                      <w:b w:val="0"/>
                      <w:sz w:val="21"/>
                      <w:szCs w:val="21"/>
                    </w:rPr>
                    <w:t>—</w:t>
                  </w:r>
                </w:p>
              </w:tc>
              <w:tc>
                <w:tcPr>
                  <w:tcW w:w="252" w:type="pct"/>
                  <w:vAlign w:val="center"/>
                </w:tcPr>
                <w:p w14:paraId="45C2A0DF">
                  <w:pPr>
                    <w:pStyle w:val="15"/>
                    <w:adjustRightInd w:val="0"/>
                    <w:snapToGrid w:val="0"/>
                    <w:spacing w:before="0" w:after="0"/>
                    <w:jc w:val="center"/>
                    <w:rPr>
                      <w:b w:val="0"/>
                      <w:sz w:val="21"/>
                      <w:szCs w:val="21"/>
                    </w:rPr>
                  </w:pPr>
                  <w:r>
                    <w:rPr>
                      <w:b w:val="0"/>
                      <w:sz w:val="21"/>
                      <w:szCs w:val="21"/>
                    </w:rPr>
                    <w:t>5</w:t>
                  </w:r>
                </w:p>
              </w:tc>
              <w:tc>
                <w:tcPr>
                  <w:tcW w:w="288" w:type="pct"/>
                  <w:vAlign w:val="center"/>
                </w:tcPr>
                <w:p w14:paraId="3CE78C33">
                  <w:pPr>
                    <w:pStyle w:val="15"/>
                    <w:adjustRightInd w:val="0"/>
                    <w:snapToGrid w:val="0"/>
                    <w:spacing w:before="0" w:after="0"/>
                    <w:jc w:val="center"/>
                    <w:rPr>
                      <w:b w:val="0"/>
                      <w:sz w:val="21"/>
                      <w:szCs w:val="21"/>
                    </w:rPr>
                  </w:pPr>
                  <w:r>
                    <w:rPr>
                      <w:b w:val="0"/>
                      <w:sz w:val="21"/>
                      <w:szCs w:val="21"/>
                    </w:rPr>
                    <w:t>—</w:t>
                  </w:r>
                </w:p>
              </w:tc>
              <w:tc>
                <w:tcPr>
                  <w:tcW w:w="241" w:type="pct"/>
                  <w:vAlign w:val="center"/>
                </w:tcPr>
                <w:p w14:paraId="7A1BAF49">
                  <w:pPr>
                    <w:pStyle w:val="15"/>
                    <w:adjustRightInd w:val="0"/>
                    <w:snapToGrid w:val="0"/>
                    <w:spacing w:before="0" w:after="0"/>
                    <w:jc w:val="center"/>
                    <w:rPr>
                      <w:b w:val="0"/>
                      <w:sz w:val="21"/>
                      <w:szCs w:val="21"/>
                    </w:rPr>
                  </w:pPr>
                  <w:r>
                    <w:rPr>
                      <w:b w:val="0"/>
                      <w:sz w:val="21"/>
                      <w:szCs w:val="21"/>
                    </w:rPr>
                    <w:t>—</w:t>
                  </w:r>
                </w:p>
              </w:tc>
              <w:tc>
                <w:tcPr>
                  <w:tcW w:w="288" w:type="pct"/>
                  <w:vAlign w:val="center"/>
                </w:tcPr>
                <w:p w14:paraId="5DD963FC">
                  <w:pPr>
                    <w:pStyle w:val="15"/>
                    <w:adjustRightInd w:val="0"/>
                    <w:snapToGrid w:val="0"/>
                    <w:spacing w:before="0" w:after="0"/>
                    <w:jc w:val="center"/>
                    <w:rPr>
                      <w:b w:val="0"/>
                      <w:sz w:val="21"/>
                      <w:szCs w:val="21"/>
                    </w:rPr>
                  </w:pPr>
                  <w:r>
                    <w:rPr>
                      <w:b w:val="0"/>
                      <w:sz w:val="21"/>
                      <w:szCs w:val="21"/>
                    </w:rPr>
                    <w:t>5</w:t>
                  </w:r>
                </w:p>
              </w:tc>
              <w:tc>
                <w:tcPr>
                  <w:tcW w:w="284" w:type="pct"/>
                  <w:vAlign w:val="center"/>
                </w:tcPr>
                <w:p w14:paraId="187480F0">
                  <w:pPr>
                    <w:pStyle w:val="15"/>
                    <w:adjustRightInd w:val="0"/>
                    <w:snapToGrid w:val="0"/>
                    <w:spacing w:before="0" w:after="0"/>
                    <w:jc w:val="center"/>
                    <w:rPr>
                      <w:b w:val="0"/>
                      <w:bCs w:val="0"/>
                      <w:sz w:val="21"/>
                      <w:szCs w:val="21"/>
                    </w:rPr>
                  </w:pPr>
                  <w:r>
                    <w:rPr>
                      <w:b w:val="0"/>
                      <w:sz w:val="21"/>
                      <w:szCs w:val="21"/>
                    </w:rPr>
                    <w:t>—</w:t>
                  </w:r>
                </w:p>
              </w:tc>
              <w:tc>
                <w:tcPr>
                  <w:tcW w:w="252" w:type="pct"/>
                  <w:vAlign w:val="center"/>
                </w:tcPr>
                <w:p w14:paraId="3A832DFE">
                  <w:pPr>
                    <w:pStyle w:val="15"/>
                    <w:adjustRightInd w:val="0"/>
                    <w:snapToGrid w:val="0"/>
                    <w:spacing w:before="0" w:after="0"/>
                    <w:jc w:val="center"/>
                    <w:rPr>
                      <w:b w:val="0"/>
                      <w:sz w:val="21"/>
                      <w:szCs w:val="21"/>
                    </w:rPr>
                  </w:pPr>
                  <w:r>
                    <w:rPr>
                      <w:b w:val="0"/>
                      <w:sz w:val="21"/>
                      <w:szCs w:val="21"/>
                    </w:rPr>
                    <w:t>5</w:t>
                  </w:r>
                </w:p>
              </w:tc>
              <w:tc>
                <w:tcPr>
                  <w:tcW w:w="291" w:type="pct"/>
                  <w:vAlign w:val="center"/>
                </w:tcPr>
                <w:p w14:paraId="50E58ACE">
                  <w:pPr>
                    <w:pStyle w:val="15"/>
                    <w:adjustRightInd w:val="0"/>
                    <w:snapToGrid w:val="0"/>
                    <w:spacing w:before="0" w:after="0"/>
                    <w:jc w:val="center"/>
                    <w:rPr>
                      <w:b w:val="0"/>
                      <w:sz w:val="21"/>
                      <w:szCs w:val="21"/>
                    </w:rPr>
                  </w:pPr>
                  <w:r>
                    <w:rPr>
                      <w:b w:val="0"/>
                      <w:sz w:val="21"/>
                      <w:szCs w:val="21"/>
                    </w:rPr>
                    <w:t>—</w:t>
                  </w:r>
                </w:p>
              </w:tc>
              <w:tc>
                <w:tcPr>
                  <w:tcW w:w="240" w:type="pct"/>
                  <w:vAlign w:val="center"/>
                </w:tcPr>
                <w:p w14:paraId="148F6994">
                  <w:pPr>
                    <w:pStyle w:val="15"/>
                    <w:adjustRightInd w:val="0"/>
                    <w:snapToGrid w:val="0"/>
                    <w:spacing w:before="0" w:after="0"/>
                    <w:jc w:val="center"/>
                    <w:rPr>
                      <w:b w:val="0"/>
                      <w:sz w:val="21"/>
                      <w:szCs w:val="21"/>
                    </w:rPr>
                  </w:pPr>
                  <w:r>
                    <w:rPr>
                      <w:b w:val="0"/>
                      <w:sz w:val="21"/>
                      <w:szCs w:val="21"/>
                    </w:rPr>
                    <w:t>—</w:t>
                  </w:r>
                </w:p>
              </w:tc>
              <w:tc>
                <w:tcPr>
                  <w:tcW w:w="288" w:type="pct"/>
                  <w:vAlign w:val="center"/>
                </w:tcPr>
                <w:p w14:paraId="7A6765F8">
                  <w:pPr>
                    <w:pStyle w:val="15"/>
                    <w:adjustRightInd w:val="0"/>
                    <w:snapToGrid w:val="0"/>
                    <w:spacing w:before="0" w:after="0"/>
                    <w:jc w:val="center"/>
                    <w:rPr>
                      <w:b w:val="0"/>
                      <w:sz w:val="21"/>
                      <w:szCs w:val="21"/>
                    </w:rPr>
                  </w:pPr>
                  <w:r>
                    <w:rPr>
                      <w:b w:val="0"/>
                      <w:sz w:val="21"/>
                      <w:szCs w:val="21"/>
                    </w:rPr>
                    <w:t>5</w:t>
                  </w:r>
                </w:p>
              </w:tc>
              <w:tc>
                <w:tcPr>
                  <w:tcW w:w="288" w:type="pct"/>
                  <w:vAlign w:val="center"/>
                </w:tcPr>
                <w:p w14:paraId="02DF0982">
                  <w:pPr>
                    <w:pStyle w:val="15"/>
                    <w:adjustRightInd w:val="0"/>
                    <w:snapToGrid w:val="0"/>
                    <w:spacing w:before="0" w:after="0"/>
                    <w:jc w:val="center"/>
                    <w:rPr>
                      <w:b w:val="0"/>
                      <w:bCs w:val="0"/>
                      <w:sz w:val="21"/>
                      <w:szCs w:val="21"/>
                    </w:rPr>
                  </w:pPr>
                  <w:r>
                    <w:rPr>
                      <w:b w:val="0"/>
                      <w:sz w:val="21"/>
                      <w:szCs w:val="21"/>
                    </w:rPr>
                    <w:t>—</w:t>
                  </w:r>
                </w:p>
              </w:tc>
              <w:tc>
                <w:tcPr>
                  <w:tcW w:w="252" w:type="pct"/>
                  <w:vAlign w:val="center"/>
                </w:tcPr>
                <w:p w14:paraId="3C2C623B">
                  <w:pPr>
                    <w:pStyle w:val="15"/>
                    <w:adjustRightInd w:val="0"/>
                    <w:snapToGrid w:val="0"/>
                    <w:spacing w:before="0" w:after="0"/>
                    <w:jc w:val="center"/>
                    <w:rPr>
                      <w:b w:val="0"/>
                      <w:sz w:val="21"/>
                      <w:szCs w:val="21"/>
                    </w:rPr>
                  </w:pPr>
                  <w:r>
                    <w:rPr>
                      <w:b w:val="0"/>
                      <w:sz w:val="21"/>
                      <w:szCs w:val="21"/>
                    </w:rPr>
                    <w:t>5</w:t>
                  </w:r>
                </w:p>
              </w:tc>
              <w:tc>
                <w:tcPr>
                  <w:tcW w:w="288" w:type="pct"/>
                  <w:vAlign w:val="center"/>
                </w:tcPr>
                <w:p w14:paraId="3DA70935">
                  <w:pPr>
                    <w:pStyle w:val="15"/>
                    <w:adjustRightInd w:val="0"/>
                    <w:snapToGrid w:val="0"/>
                    <w:spacing w:before="0" w:after="0"/>
                    <w:jc w:val="center"/>
                    <w:rPr>
                      <w:b w:val="0"/>
                      <w:bCs w:val="0"/>
                      <w:sz w:val="21"/>
                      <w:szCs w:val="21"/>
                    </w:rPr>
                  </w:pPr>
                  <w:r>
                    <w:rPr>
                      <w:b w:val="0"/>
                      <w:sz w:val="21"/>
                      <w:szCs w:val="21"/>
                    </w:rPr>
                    <w:t>—</w:t>
                  </w:r>
                </w:p>
              </w:tc>
              <w:tc>
                <w:tcPr>
                  <w:tcW w:w="244" w:type="pct"/>
                  <w:vAlign w:val="center"/>
                </w:tcPr>
                <w:p w14:paraId="246B658A">
                  <w:pPr>
                    <w:pStyle w:val="15"/>
                    <w:adjustRightInd w:val="0"/>
                    <w:snapToGrid w:val="0"/>
                    <w:spacing w:before="0" w:after="0"/>
                    <w:jc w:val="center"/>
                    <w:rPr>
                      <w:b w:val="0"/>
                      <w:bCs w:val="0"/>
                      <w:sz w:val="21"/>
                      <w:szCs w:val="21"/>
                    </w:rPr>
                  </w:pPr>
                  <w:r>
                    <w:rPr>
                      <w:b w:val="0"/>
                      <w:sz w:val="21"/>
                      <w:szCs w:val="21"/>
                    </w:rPr>
                    <w:t>—</w:t>
                  </w:r>
                </w:p>
              </w:tc>
            </w:tr>
            <w:tr w14:paraId="767218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cantSplit/>
                <w:trHeight w:val="691" w:hRule="atLeast"/>
                <w:jc w:val="center"/>
              </w:trPr>
              <w:tc>
                <w:tcPr>
                  <w:tcW w:w="276" w:type="pct"/>
                  <w:vMerge w:val="restart"/>
                  <w:vAlign w:val="center"/>
                </w:tcPr>
                <w:p w14:paraId="496928B4">
                  <w:pPr>
                    <w:pStyle w:val="15"/>
                    <w:adjustRightInd w:val="0"/>
                    <w:snapToGrid w:val="0"/>
                    <w:spacing w:before="0" w:after="0"/>
                    <w:jc w:val="center"/>
                    <w:rPr>
                      <w:b w:val="0"/>
                      <w:sz w:val="21"/>
                      <w:szCs w:val="21"/>
                    </w:rPr>
                  </w:pPr>
                  <w:r>
                    <w:rPr>
                      <w:b w:val="0"/>
                      <w:sz w:val="21"/>
                      <w:szCs w:val="21"/>
                    </w:rPr>
                    <w:t>架空电力线路</w:t>
                  </w:r>
                </w:p>
              </w:tc>
              <w:tc>
                <w:tcPr>
                  <w:tcW w:w="644" w:type="pct"/>
                  <w:vAlign w:val="center"/>
                </w:tcPr>
                <w:p w14:paraId="3CC542C5">
                  <w:pPr>
                    <w:pStyle w:val="15"/>
                    <w:adjustRightInd w:val="0"/>
                    <w:snapToGrid w:val="0"/>
                    <w:spacing w:before="0" w:after="0"/>
                    <w:jc w:val="center"/>
                    <w:rPr>
                      <w:b w:val="0"/>
                      <w:sz w:val="21"/>
                      <w:szCs w:val="21"/>
                    </w:rPr>
                  </w:pPr>
                  <w:r>
                    <w:rPr>
                      <w:b w:val="0"/>
                      <w:sz w:val="21"/>
                      <w:szCs w:val="21"/>
                    </w:rPr>
                    <w:t>无绝缘层</w:t>
                  </w:r>
                </w:p>
              </w:tc>
              <w:tc>
                <w:tcPr>
                  <w:tcW w:w="288" w:type="pct"/>
                  <w:vAlign w:val="center"/>
                </w:tcPr>
                <w:p w14:paraId="5391DDFD">
                  <w:pPr>
                    <w:pStyle w:val="15"/>
                    <w:adjustRightInd w:val="0"/>
                    <w:snapToGrid w:val="0"/>
                    <w:spacing w:before="0" w:after="0"/>
                    <w:jc w:val="center"/>
                    <w:rPr>
                      <w:b w:val="0"/>
                      <w:sz w:val="21"/>
                      <w:szCs w:val="21"/>
                    </w:rPr>
                  </w:pPr>
                  <w:r>
                    <w:rPr>
                      <w:b w:val="0"/>
                      <w:sz w:val="21"/>
                      <w:szCs w:val="21"/>
                    </w:rPr>
                    <w:t>6.5</w:t>
                  </w:r>
                </w:p>
              </w:tc>
              <w:tc>
                <w:tcPr>
                  <w:tcW w:w="288" w:type="pct"/>
                  <w:vAlign w:val="center"/>
                </w:tcPr>
                <w:p w14:paraId="1ADC4A9C">
                  <w:pPr>
                    <w:pStyle w:val="15"/>
                    <w:adjustRightInd w:val="0"/>
                    <w:snapToGrid w:val="0"/>
                    <w:spacing w:before="0" w:after="0"/>
                    <w:jc w:val="center"/>
                    <w:rPr>
                      <w:b w:val="0"/>
                      <w:sz w:val="21"/>
                      <w:szCs w:val="21"/>
                    </w:rPr>
                  </w:pPr>
                  <w:r>
                    <w:rPr>
                      <w:b w:val="0"/>
                      <w:sz w:val="21"/>
                      <w:szCs w:val="21"/>
                    </w:rPr>
                    <w:t>—</w:t>
                  </w:r>
                </w:p>
              </w:tc>
              <w:tc>
                <w:tcPr>
                  <w:tcW w:w="252" w:type="pct"/>
                  <w:vAlign w:val="center"/>
                </w:tcPr>
                <w:p w14:paraId="5C150295">
                  <w:pPr>
                    <w:pStyle w:val="15"/>
                    <w:adjustRightInd w:val="0"/>
                    <w:snapToGrid w:val="0"/>
                    <w:spacing w:before="0" w:after="0"/>
                    <w:jc w:val="center"/>
                    <w:rPr>
                      <w:b w:val="0"/>
                      <w:sz w:val="21"/>
                      <w:szCs w:val="21"/>
                    </w:rPr>
                  </w:pPr>
                  <w:r>
                    <w:rPr>
                      <w:b w:val="0"/>
                      <w:sz w:val="21"/>
                      <w:szCs w:val="21"/>
                    </w:rPr>
                    <w:t>6.5</w:t>
                  </w:r>
                </w:p>
              </w:tc>
              <w:tc>
                <w:tcPr>
                  <w:tcW w:w="288" w:type="pct"/>
                  <w:vAlign w:val="center"/>
                </w:tcPr>
                <w:p w14:paraId="61BD352F">
                  <w:pPr>
                    <w:pStyle w:val="15"/>
                    <w:adjustRightInd w:val="0"/>
                    <w:snapToGrid w:val="0"/>
                    <w:spacing w:before="0" w:after="0"/>
                    <w:jc w:val="center"/>
                    <w:rPr>
                      <w:b w:val="0"/>
                      <w:sz w:val="21"/>
                      <w:szCs w:val="21"/>
                    </w:rPr>
                  </w:pPr>
                  <w:r>
                    <w:rPr>
                      <w:b w:val="0"/>
                      <w:sz w:val="21"/>
                      <w:szCs w:val="21"/>
                    </w:rPr>
                    <w:t>—</w:t>
                  </w:r>
                </w:p>
              </w:tc>
              <w:tc>
                <w:tcPr>
                  <w:tcW w:w="241" w:type="pct"/>
                  <w:vAlign w:val="center"/>
                </w:tcPr>
                <w:p w14:paraId="518CD9C2">
                  <w:pPr>
                    <w:pStyle w:val="15"/>
                    <w:adjustRightInd w:val="0"/>
                    <w:snapToGrid w:val="0"/>
                    <w:spacing w:before="0" w:after="0"/>
                    <w:jc w:val="center"/>
                    <w:rPr>
                      <w:b w:val="0"/>
                      <w:sz w:val="21"/>
                      <w:szCs w:val="21"/>
                    </w:rPr>
                  </w:pPr>
                  <w:r>
                    <w:rPr>
                      <w:b w:val="0"/>
                      <w:sz w:val="21"/>
                      <w:szCs w:val="21"/>
                    </w:rPr>
                    <w:t>—</w:t>
                  </w:r>
                </w:p>
              </w:tc>
              <w:tc>
                <w:tcPr>
                  <w:tcW w:w="288" w:type="pct"/>
                  <w:vAlign w:val="center"/>
                </w:tcPr>
                <w:p w14:paraId="564785D4">
                  <w:pPr>
                    <w:pStyle w:val="15"/>
                    <w:adjustRightInd w:val="0"/>
                    <w:snapToGrid w:val="0"/>
                    <w:spacing w:before="0" w:after="0"/>
                    <w:jc w:val="center"/>
                    <w:rPr>
                      <w:b w:val="0"/>
                      <w:sz w:val="21"/>
                      <w:szCs w:val="21"/>
                    </w:rPr>
                  </w:pPr>
                  <w:r>
                    <w:rPr>
                      <w:b w:val="0"/>
                      <w:sz w:val="21"/>
                      <w:szCs w:val="21"/>
                    </w:rPr>
                    <w:t>6.5</w:t>
                  </w:r>
                </w:p>
              </w:tc>
              <w:tc>
                <w:tcPr>
                  <w:tcW w:w="284" w:type="pct"/>
                  <w:vAlign w:val="center"/>
                </w:tcPr>
                <w:p w14:paraId="6548B9D9">
                  <w:pPr>
                    <w:pStyle w:val="15"/>
                    <w:adjustRightInd w:val="0"/>
                    <w:snapToGrid w:val="0"/>
                    <w:spacing w:before="0" w:after="0"/>
                    <w:jc w:val="center"/>
                    <w:rPr>
                      <w:b w:val="0"/>
                      <w:sz w:val="21"/>
                      <w:szCs w:val="21"/>
                    </w:rPr>
                  </w:pPr>
                  <w:r>
                    <w:rPr>
                      <w:b w:val="0"/>
                      <w:sz w:val="21"/>
                      <w:szCs w:val="21"/>
                    </w:rPr>
                    <w:t>—</w:t>
                  </w:r>
                </w:p>
              </w:tc>
              <w:tc>
                <w:tcPr>
                  <w:tcW w:w="252" w:type="pct"/>
                  <w:vAlign w:val="center"/>
                </w:tcPr>
                <w:p w14:paraId="3F07C9F9">
                  <w:pPr>
                    <w:pStyle w:val="15"/>
                    <w:adjustRightInd w:val="0"/>
                    <w:snapToGrid w:val="0"/>
                    <w:spacing w:before="0" w:after="0"/>
                    <w:jc w:val="center"/>
                    <w:rPr>
                      <w:b w:val="0"/>
                      <w:sz w:val="21"/>
                      <w:szCs w:val="21"/>
                    </w:rPr>
                  </w:pPr>
                  <w:r>
                    <w:rPr>
                      <w:b w:val="0"/>
                      <w:sz w:val="21"/>
                      <w:szCs w:val="21"/>
                    </w:rPr>
                    <w:t>6.5</w:t>
                  </w:r>
                </w:p>
              </w:tc>
              <w:tc>
                <w:tcPr>
                  <w:tcW w:w="291" w:type="pct"/>
                  <w:vAlign w:val="center"/>
                </w:tcPr>
                <w:p w14:paraId="558DD57B">
                  <w:pPr>
                    <w:pStyle w:val="15"/>
                    <w:adjustRightInd w:val="0"/>
                    <w:snapToGrid w:val="0"/>
                    <w:spacing w:before="0" w:after="0"/>
                    <w:jc w:val="center"/>
                    <w:rPr>
                      <w:b w:val="0"/>
                      <w:sz w:val="21"/>
                      <w:szCs w:val="21"/>
                    </w:rPr>
                  </w:pPr>
                  <w:r>
                    <w:rPr>
                      <w:b w:val="0"/>
                      <w:sz w:val="21"/>
                      <w:szCs w:val="21"/>
                    </w:rPr>
                    <w:t>—</w:t>
                  </w:r>
                </w:p>
              </w:tc>
              <w:tc>
                <w:tcPr>
                  <w:tcW w:w="240" w:type="pct"/>
                  <w:vAlign w:val="center"/>
                </w:tcPr>
                <w:p w14:paraId="6969BEBA">
                  <w:pPr>
                    <w:pStyle w:val="15"/>
                    <w:adjustRightInd w:val="0"/>
                    <w:snapToGrid w:val="0"/>
                    <w:spacing w:before="0" w:after="0"/>
                    <w:jc w:val="center"/>
                    <w:rPr>
                      <w:b w:val="0"/>
                      <w:sz w:val="21"/>
                      <w:szCs w:val="21"/>
                    </w:rPr>
                  </w:pPr>
                  <w:r>
                    <w:rPr>
                      <w:b w:val="0"/>
                      <w:sz w:val="21"/>
                      <w:szCs w:val="21"/>
                    </w:rPr>
                    <w:t>—</w:t>
                  </w:r>
                </w:p>
              </w:tc>
              <w:tc>
                <w:tcPr>
                  <w:tcW w:w="288" w:type="pct"/>
                  <w:vAlign w:val="center"/>
                </w:tcPr>
                <w:p w14:paraId="1460214D">
                  <w:pPr>
                    <w:pStyle w:val="15"/>
                    <w:adjustRightInd w:val="0"/>
                    <w:snapToGrid w:val="0"/>
                    <w:spacing w:before="0" w:after="0"/>
                    <w:jc w:val="center"/>
                    <w:rPr>
                      <w:b w:val="0"/>
                      <w:sz w:val="21"/>
                      <w:szCs w:val="21"/>
                    </w:rPr>
                  </w:pPr>
                  <w:r>
                    <w:rPr>
                      <w:b w:val="0"/>
                      <w:sz w:val="21"/>
                      <w:szCs w:val="21"/>
                    </w:rPr>
                    <w:t>6.5</w:t>
                  </w:r>
                </w:p>
              </w:tc>
              <w:tc>
                <w:tcPr>
                  <w:tcW w:w="288" w:type="pct"/>
                  <w:vAlign w:val="center"/>
                </w:tcPr>
                <w:p w14:paraId="3A780CD6">
                  <w:pPr>
                    <w:pStyle w:val="15"/>
                    <w:adjustRightInd w:val="0"/>
                    <w:snapToGrid w:val="0"/>
                    <w:spacing w:before="0" w:after="0"/>
                    <w:jc w:val="center"/>
                    <w:rPr>
                      <w:b w:val="0"/>
                      <w:sz w:val="21"/>
                      <w:szCs w:val="21"/>
                    </w:rPr>
                  </w:pPr>
                  <w:r>
                    <w:rPr>
                      <w:b w:val="0"/>
                      <w:sz w:val="21"/>
                      <w:szCs w:val="21"/>
                    </w:rPr>
                    <w:t>—</w:t>
                  </w:r>
                </w:p>
              </w:tc>
              <w:tc>
                <w:tcPr>
                  <w:tcW w:w="252" w:type="pct"/>
                  <w:vAlign w:val="center"/>
                </w:tcPr>
                <w:p w14:paraId="2A88607A">
                  <w:pPr>
                    <w:pStyle w:val="15"/>
                    <w:adjustRightInd w:val="0"/>
                    <w:snapToGrid w:val="0"/>
                    <w:spacing w:before="0" w:after="0"/>
                    <w:jc w:val="center"/>
                    <w:rPr>
                      <w:b w:val="0"/>
                      <w:sz w:val="21"/>
                      <w:szCs w:val="21"/>
                    </w:rPr>
                  </w:pPr>
                  <w:r>
                    <w:rPr>
                      <w:b w:val="0"/>
                      <w:sz w:val="21"/>
                      <w:szCs w:val="21"/>
                    </w:rPr>
                    <w:t>6.5</w:t>
                  </w:r>
                </w:p>
              </w:tc>
              <w:tc>
                <w:tcPr>
                  <w:tcW w:w="288" w:type="pct"/>
                  <w:vAlign w:val="center"/>
                </w:tcPr>
                <w:p w14:paraId="2223EF81">
                  <w:pPr>
                    <w:pStyle w:val="15"/>
                    <w:adjustRightInd w:val="0"/>
                    <w:snapToGrid w:val="0"/>
                    <w:spacing w:before="0" w:after="0"/>
                    <w:jc w:val="center"/>
                    <w:rPr>
                      <w:b w:val="0"/>
                      <w:sz w:val="21"/>
                      <w:szCs w:val="21"/>
                    </w:rPr>
                  </w:pPr>
                  <w:r>
                    <w:rPr>
                      <w:b w:val="0"/>
                      <w:sz w:val="21"/>
                      <w:szCs w:val="21"/>
                    </w:rPr>
                    <w:t>—</w:t>
                  </w:r>
                </w:p>
              </w:tc>
              <w:tc>
                <w:tcPr>
                  <w:tcW w:w="244" w:type="pct"/>
                  <w:vAlign w:val="center"/>
                </w:tcPr>
                <w:p w14:paraId="541CD4D2">
                  <w:pPr>
                    <w:pStyle w:val="15"/>
                    <w:adjustRightInd w:val="0"/>
                    <w:snapToGrid w:val="0"/>
                    <w:spacing w:before="0" w:after="0"/>
                    <w:jc w:val="center"/>
                    <w:rPr>
                      <w:b w:val="0"/>
                      <w:sz w:val="21"/>
                      <w:szCs w:val="21"/>
                    </w:rPr>
                  </w:pPr>
                  <w:r>
                    <w:rPr>
                      <w:b w:val="0"/>
                      <w:sz w:val="21"/>
                      <w:szCs w:val="21"/>
                    </w:rPr>
                    <w:t>—</w:t>
                  </w:r>
                </w:p>
              </w:tc>
            </w:tr>
            <w:tr w14:paraId="77F627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cantSplit/>
                <w:trHeight w:val="454" w:hRule="atLeast"/>
                <w:jc w:val="center"/>
              </w:trPr>
              <w:tc>
                <w:tcPr>
                  <w:tcW w:w="276" w:type="pct"/>
                  <w:vMerge w:val="continue"/>
                  <w:vAlign w:val="center"/>
                </w:tcPr>
                <w:p w14:paraId="0C8D53B3">
                  <w:pPr>
                    <w:pStyle w:val="15"/>
                    <w:adjustRightInd w:val="0"/>
                    <w:snapToGrid w:val="0"/>
                    <w:spacing w:before="0" w:after="0"/>
                    <w:jc w:val="center"/>
                    <w:rPr>
                      <w:b w:val="0"/>
                      <w:sz w:val="21"/>
                      <w:szCs w:val="21"/>
                    </w:rPr>
                  </w:pPr>
                </w:p>
              </w:tc>
              <w:tc>
                <w:tcPr>
                  <w:tcW w:w="644" w:type="pct"/>
                  <w:vAlign w:val="center"/>
                </w:tcPr>
                <w:p w14:paraId="629C52C6">
                  <w:pPr>
                    <w:pStyle w:val="15"/>
                    <w:adjustRightInd w:val="0"/>
                    <w:snapToGrid w:val="0"/>
                    <w:spacing w:before="0" w:after="0"/>
                    <w:jc w:val="center"/>
                    <w:rPr>
                      <w:b w:val="0"/>
                      <w:sz w:val="21"/>
                      <w:szCs w:val="21"/>
                    </w:rPr>
                  </w:pPr>
                  <w:r>
                    <w:rPr>
                      <w:b w:val="0"/>
                      <w:sz w:val="21"/>
                      <w:szCs w:val="21"/>
                    </w:rPr>
                    <w:t>有绝缘层</w:t>
                  </w:r>
                </w:p>
              </w:tc>
              <w:tc>
                <w:tcPr>
                  <w:tcW w:w="288" w:type="pct"/>
                  <w:vAlign w:val="center"/>
                </w:tcPr>
                <w:p w14:paraId="4868E6D7">
                  <w:pPr>
                    <w:pStyle w:val="15"/>
                    <w:adjustRightInd w:val="0"/>
                    <w:snapToGrid w:val="0"/>
                    <w:spacing w:before="0" w:after="0"/>
                    <w:jc w:val="center"/>
                    <w:rPr>
                      <w:b w:val="0"/>
                      <w:sz w:val="21"/>
                      <w:szCs w:val="21"/>
                    </w:rPr>
                  </w:pPr>
                  <w:r>
                    <w:rPr>
                      <w:b w:val="0"/>
                      <w:sz w:val="21"/>
                      <w:szCs w:val="21"/>
                    </w:rPr>
                    <w:t>5</w:t>
                  </w:r>
                </w:p>
              </w:tc>
              <w:tc>
                <w:tcPr>
                  <w:tcW w:w="288" w:type="pct"/>
                  <w:vAlign w:val="center"/>
                </w:tcPr>
                <w:p w14:paraId="10ED2D57">
                  <w:pPr>
                    <w:pStyle w:val="15"/>
                    <w:adjustRightInd w:val="0"/>
                    <w:snapToGrid w:val="0"/>
                    <w:spacing w:before="0" w:after="0"/>
                    <w:jc w:val="center"/>
                    <w:rPr>
                      <w:b w:val="0"/>
                      <w:sz w:val="21"/>
                      <w:szCs w:val="21"/>
                    </w:rPr>
                  </w:pPr>
                  <w:r>
                    <w:rPr>
                      <w:b w:val="0"/>
                      <w:sz w:val="21"/>
                      <w:szCs w:val="21"/>
                    </w:rPr>
                    <w:t>—</w:t>
                  </w:r>
                </w:p>
              </w:tc>
              <w:tc>
                <w:tcPr>
                  <w:tcW w:w="252" w:type="pct"/>
                  <w:vAlign w:val="center"/>
                </w:tcPr>
                <w:p w14:paraId="0DA24993">
                  <w:pPr>
                    <w:pStyle w:val="15"/>
                    <w:adjustRightInd w:val="0"/>
                    <w:snapToGrid w:val="0"/>
                    <w:spacing w:before="0" w:after="0"/>
                    <w:jc w:val="center"/>
                    <w:rPr>
                      <w:b w:val="0"/>
                      <w:sz w:val="21"/>
                      <w:szCs w:val="21"/>
                    </w:rPr>
                  </w:pPr>
                  <w:r>
                    <w:rPr>
                      <w:b w:val="0"/>
                      <w:sz w:val="21"/>
                      <w:szCs w:val="21"/>
                    </w:rPr>
                    <w:t>5</w:t>
                  </w:r>
                </w:p>
              </w:tc>
              <w:tc>
                <w:tcPr>
                  <w:tcW w:w="288" w:type="pct"/>
                  <w:vAlign w:val="center"/>
                </w:tcPr>
                <w:p w14:paraId="09A205E6">
                  <w:pPr>
                    <w:pStyle w:val="15"/>
                    <w:adjustRightInd w:val="0"/>
                    <w:snapToGrid w:val="0"/>
                    <w:spacing w:before="0" w:after="0"/>
                    <w:jc w:val="center"/>
                    <w:rPr>
                      <w:b w:val="0"/>
                      <w:sz w:val="21"/>
                      <w:szCs w:val="21"/>
                    </w:rPr>
                  </w:pPr>
                  <w:r>
                    <w:rPr>
                      <w:b w:val="0"/>
                      <w:sz w:val="21"/>
                      <w:szCs w:val="21"/>
                    </w:rPr>
                    <w:t>—</w:t>
                  </w:r>
                </w:p>
              </w:tc>
              <w:tc>
                <w:tcPr>
                  <w:tcW w:w="241" w:type="pct"/>
                  <w:vAlign w:val="center"/>
                </w:tcPr>
                <w:p w14:paraId="49453C10">
                  <w:pPr>
                    <w:pStyle w:val="15"/>
                    <w:adjustRightInd w:val="0"/>
                    <w:snapToGrid w:val="0"/>
                    <w:spacing w:before="0" w:after="0"/>
                    <w:jc w:val="center"/>
                    <w:rPr>
                      <w:b w:val="0"/>
                      <w:sz w:val="21"/>
                      <w:szCs w:val="21"/>
                    </w:rPr>
                  </w:pPr>
                  <w:r>
                    <w:rPr>
                      <w:b w:val="0"/>
                      <w:sz w:val="21"/>
                      <w:szCs w:val="21"/>
                    </w:rPr>
                    <w:t>—</w:t>
                  </w:r>
                </w:p>
              </w:tc>
              <w:tc>
                <w:tcPr>
                  <w:tcW w:w="288" w:type="pct"/>
                  <w:vAlign w:val="center"/>
                </w:tcPr>
                <w:p w14:paraId="7FA63AAD">
                  <w:pPr>
                    <w:pStyle w:val="15"/>
                    <w:adjustRightInd w:val="0"/>
                    <w:snapToGrid w:val="0"/>
                    <w:spacing w:before="0" w:after="0"/>
                    <w:jc w:val="center"/>
                    <w:rPr>
                      <w:b w:val="0"/>
                      <w:sz w:val="21"/>
                      <w:szCs w:val="21"/>
                    </w:rPr>
                  </w:pPr>
                  <w:r>
                    <w:rPr>
                      <w:b w:val="0"/>
                      <w:sz w:val="21"/>
                      <w:szCs w:val="21"/>
                    </w:rPr>
                    <w:t>5</w:t>
                  </w:r>
                </w:p>
              </w:tc>
              <w:tc>
                <w:tcPr>
                  <w:tcW w:w="284" w:type="pct"/>
                  <w:vAlign w:val="center"/>
                </w:tcPr>
                <w:p w14:paraId="74762CD1">
                  <w:pPr>
                    <w:pStyle w:val="15"/>
                    <w:adjustRightInd w:val="0"/>
                    <w:snapToGrid w:val="0"/>
                    <w:spacing w:before="0" w:after="0"/>
                    <w:jc w:val="center"/>
                    <w:rPr>
                      <w:b w:val="0"/>
                      <w:sz w:val="21"/>
                      <w:szCs w:val="21"/>
                    </w:rPr>
                  </w:pPr>
                  <w:r>
                    <w:rPr>
                      <w:b w:val="0"/>
                      <w:sz w:val="21"/>
                      <w:szCs w:val="21"/>
                    </w:rPr>
                    <w:t>—</w:t>
                  </w:r>
                </w:p>
              </w:tc>
              <w:tc>
                <w:tcPr>
                  <w:tcW w:w="252" w:type="pct"/>
                  <w:vAlign w:val="center"/>
                </w:tcPr>
                <w:p w14:paraId="57818055">
                  <w:pPr>
                    <w:pStyle w:val="15"/>
                    <w:adjustRightInd w:val="0"/>
                    <w:snapToGrid w:val="0"/>
                    <w:spacing w:before="0" w:after="0"/>
                    <w:jc w:val="center"/>
                    <w:rPr>
                      <w:b w:val="0"/>
                      <w:sz w:val="21"/>
                      <w:szCs w:val="21"/>
                    </w:rPr>
                  </w:pPr>
                  <w:r>
                    <w:rPr>
                      <w:b w:val="0"/>
                      <w:sz w:val="21"/>
                      <w:szCs w:val="21"/>
                    </w:rPr>
                    <w:t>5</w:t>
                  </w:r>
                </w:p>
              </w:tc>
              <w:tc>
                <w:tcPr>
                  <w:tcW w:w="291" w:type="pct"/>
                  <w:vAlign w:val="center"/>
                </w:tcPr>
                <w:p w14:paraId="5022A615">
                  <w:pPr>
                    <w:pStyle w:val="15"/>
                    <w:adjustRightInd w:val="0"/>
                    <w:snapToGrid w:val="0"/>
                    <w:spacing w:before="0" w:after="0"/>
                    <w:jc w:val="center"/>
                    <w:rPr>
                      <w:b w:val="0"/>
                      <w:sz w:val="21"/>
                      <w:szCs w:val="21"/>
                    </w:rPr>
                  </w:pPr>
                  <w:r>
                    <w:rPr>
                      <w:b w:val="0"/>
                      <w:sz w:val="21"/>
                      <w:szCs w:val="21"/>
                    </w:rPr>
                    <w:t>—</w:t>
                  </w:r>
                </w:p>
              </w:tc>
              <w:tc>
                <w:tcPr>
                  <w:tcW w:w="240" w:type="pct"/>
                  <w:vAlign w:val="center"/>
                </w:tcPr>
                <w:p w14:paraId="167B46C0">
                  <w:pPr>
                    <w:pStyle w:val="15"/>
                    <w:adjustRightInd w:val="0"/>
                    <w:snapToGrid w:val="0"/>
                    <w:spacing w:before="0" w:after="0"/>
                    <w:jc w:val="center"/>
                    <w:rPr>
                      <w:b w:val="0"/>
                      <w:sz w:val="21"/>
                      <w:szCs w:val="21"/>
                    </w:rPr>
                  </w:pPr>
                  <w:r>
                    <w:rPr>
                      <w:b w:val="0"/>
                      <w:sz w:val="21"/>
                      <w:szCs w:val="21"/>
                    </w:rPr>
                    <w:t>—</w:t>
                  </w:r>
                </w:p>
              </w:tc>
              <w:tc>
                <w:tcPr>
                  <w:tcW w:w="288" w:type="pct"/>
                  <w:vAlign w:val="center"/>
                </w:tcPr>
                <w:p w14:paraId="3A347C10">
                  <w:pPr>
                    <w:pStyle w:val="15"/>
                    <w:adjustRightInd w:val="0"/>
                    <w:snapToGrid w:val="0"/>
                    <w:spacing w:before="0" w:after="0"/>
                    <w:jc w:val="center"/>
                    <w:rPr>
                      <w:b w:val="0"/>
                      <w:sz w:val="21"/>
                      <w:szCs w:val="21"/>
                    </w:rPr>
                  </w:pPr>
                  <w:r>
                    <w:rPr>
                      <w:b w:val="0"/>
                      <w:sz w:val="21"/>
                      <w:szCs w:val="21"/>
                    </w:rPr>
                    <w:t>5</w:t>
                  </w:r>
                </w:p>
              </w:tc>
              <w:tc>
                <w:tcPr>
                  <w:tcW w:w="288" w:type="pct"/>
                  <w:vAlign w:val="center"/>
                </w:tcPr>
                <w:p w14:paraId="4D5EDE14">
                  <w:pPr>
                    <w:pStyle w:val="15"/>
                    <w:adjustRightInd w:val="0"/>
                    <w:snapToGrid w:val="0"/>
                    <w:spacing w:before="0" w:after="0"/>
                    <w:jc w:val="center"/>
                    <w:rPr>
                      <w:b w:val="0"/>
                      <w:sz w:val="21"/>
                      <w:szCs w:val="21"/>
                    </w:rPr>
                  </w:pPr>
                  <w:r>
                    <w:rPr>
                      <w:b w:val="0"/>
                      <w:sz w:val="21"/>
                      <w:szCs w:val="21"/>
                    </w:rPr>
                    <w:t>—</w:t>
                  </w:r>
                </w:p>
              </w:tc>
              <w:tc>
                <w:tcPr>
                  <w:tcW w:w="252" w:type="pct"/>
                  <w:vAlign w:val="center"/>
                </w:tcPr>
                <w:p w14:paraId="4BB89632">
                  <w:pPr>
                    <w:pStyle w:val="15"/>
                    <w:adjustRightInd w:val="0"/>
                    <w:snapToGrid w:val="0"/>
                    <w:spacing w:before="0" w:after="0"/>
                    <w:jc w:val="center"/>
                    <w:rPr>
                      <w:b w:val="0"/>
                      <w:sz w:val="21"/>
                      <w:szCs w:val="21"/>
                    </w:rPr>
                  </w:pPr>
                  <w:r>
                    <w:rPr>
                      <w:b w:val="0"/>
                      <w:sz w:val="21"/>
                      <w:szCs w:val="21"/>
                    </w:rPr>
                    <w:t>5</w:t>
                  </w:r>
                </w:p>
              </w:tc>
              <w:tc>
                <w:tcPr>
                  <w:tcW w:w="288" w:type="pct"/>
                  <w:vAlign w:val="center"/>
                </w:tcPr>
                <w:p w14:paraId="355A83CB">
                  <w:pPr>
                    <w:pStyle w:val="15"/>
                    <w:adjustRightInd w:val="0"/>
                    <w:snapToGrid w:val="0"/>
                    <w:spacing w:before="0" w:after="0"/>
                    <w:jc w:val="center"/>
                    <w:rPr>
                      <w:b w:val="0"/>
                      <w:sz w:val="21"/>
                      <w:szCs w:val="21"/>
                    </w:rPr>
                  </w:pPr>
                  <w:r>
                    <w:rPr>
                      <w:b w:val="0"/>
                      <w:sz w:val="21"/>
                      <w:szCs w:val="21"/>
                    </w:rPr>
                    <w:t>—</w:t>
                  </w:r>
                </w:p>
              </w:tc>
              <w:tc>
                <w:tcPr>
                  <w:tcW w:w="244" w:type="pct"/>
                  <w:vAlign w:val="center"/>
                </w:tcPr>
                <w:p w14:paraId="418244F9">
                  <w:pPr>
                    <w:pStyle w:val="15"/>
                    <w:adjustRightInd w:val="0"/>
                    <w:snapToGrid w:val="0"/>
                    <w:spacing w:before="0" w:after="0"/>
                    <w:jc w:val="center"/>
                    <w:rPr>
                      <w:b w:val="0"/>
                      <w:sz w:val="21"/>
                      <w:szCs w:val="21"/>
                    </w:rPr>
                  </w:pPr>
                  <w:r>
                    <w:rPr>
                      <w:b w:val="0"/>
                      <w:sz w:val="21"/>
                      <w:szCs w:val="21"/>
                    </w:rPr>
                    <w:t>—</w:t>
                  </w:r>
                </w:p>
              </w:tc>
            </w:tr>
            <w:tr w14:paraId="60ABE1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cantSplit/>
                <w:trHeight w:val="454" w:hRule="atLeast"/>
                <w:jc w:val="center"/>
              </w:trPr>
              <w:tc>
                <w:tcPr>
                  <w:tcW w:w="5000" w:type="pct"/>
                  <w:gridSpan w:val="17"/>
                  <w:vAlign w:val="center"/>
                </w:tcPr>
                <w:p w14:paraId="3CFE3A41">
                  <w:pPr>
                    <w:pStyle w:val="15"/>
                    <w:adjustRightInd w:val="0"/>
                    <w:snapToGrid w:val="0"/>
                    <w:spacing w:before="0" w:after="0"/>
                    <w:jc w:val="both"/>
                    <w:rPr>
                      <w:b w:val="0"/>
                      <w:sz w:val="21"/>
                      <w:szCs w:val="21"/>
                    </w:rPr>
                  </w:pPr>
                  <w:r>
                    <w:rPr>
                      <w:b w:val="0"/>
                      <w:sz w:val="21"/>
                      <w:szCs w:val="21"/>
                    </w:rPr>
                    <w:t>注：表中“-”表示本站周围在</w:t>
                  </w:r>
                  <w:r>
                    <w:rPr>
                      <w:rFonts w:hint="eastAsia"/>
                      <w:b w:val="0"/>
                      <w:sz w:val="21"/>
                      <w:szCs w:val="21"/>
                    </w:rPr>
                    <w:t>《汽车加油加气加氢站技术标准》</w:t>
                  </w:r>
                  <w:r>
                    <w:rPr>
                      <w:b w:val="0"/>
                      <w:sz w:val="21"/>
                      <w:szCs w:val="21"/>
                    </w:rPr>
                    <w:t>规定的防火间距范围内无该类建、构筑物，表中括号内数据为</w:t>
                  </w:r>
                  <w:r>
                    <w:rPr>
                      <w:rFonts w:hint="eastAsia"/>
                      <w:b w:val="0"/>
                      <w:sz w:val="21"/>
                      <w:szCs w:val="21"/>
                    </w:rPr>
                    <w:t>GB50156-2021</w:t>
                  </w:r>
                  <w:r>
                    <w:rPr>
                      <w:b w:val="0"/>
                      <w:sz w:val="21"/>
                      <w:szCs w:val="21"/>
                    </w:rPr>
                    <w:t>规定的防火距离(下同)，站外道路按照快速路、主干路考虑。安全距离按照设置卸油油气回收及加油油气回收考虑。表中距离取最近。</w:t>
                  </w:r>
                </w:p>
              </w:tc>
            </w:tr>
          </w:tbl>
          <w:p w14:paraId="14D5CA52">
            <w:pPr>
              <w:pStyle w:val="68"/>
              <w:spacing w:line="240" w:lineRule="auto"/>
              <w:rPr>
                <w:rFonts w:ascii="黑体" w:hAnsi="黑体" w:eastAsia="黑体" w:cs="黑体"/>
                <w:b w:val="0"/>
                <w:bCs w:val="0"/>
              </w:rPr>
            </w:pPr>
            <w:r>
              <w:rPr>
                <w:rFonts w:ascii="黑体" w:hAnsi="黑体" w:eastAsia="黑体" w:cs="黑体"/>
                <w:b w:val="0"/>
                <w:bCs w:val="0"/>
              </w:rPr>
              <w:t>表</w:t>
            </w:r>
            <w:r>
              <w:rPr>
                <w:rFonts w:hint="eastAsia" w:ascii="黑体" w:hAnsi="黑体" w:eastAsia="黑体" w:cs="黑体"/>
                <w:b w:val="0"/>
                <w:bCs w:val="0"/>
              </w:rPr>
              <w:t>1-8</w:t>
            </w:r>
            <w:r>
              <w:rPr>
                <w:rFonts w:ascii="黑体" w:hAnsi="黑体" w:eastAsia="黑体" w:cs="黑体"/>
                <w:b w:val="0"/>
                <w:bCs w:val="0"/>
              </w:rPr>
              <w:t xml:space="preserve">  站内设施的防火间距要求及设计  单位：m</w:t>
            </w:r>
          </w:p>
          <w:tbl>
            <w:tblPr>
              <w:tblStyle w:val="23"/>
              <w:tblW w:w="498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70"/>
              <w:gridCol w:w="807"/>
              <w:gridCol w:w="804"/>
              <w:gridCol w:w="806"/>
              <w:gridCol w:w="803"/>
              <w:gridCol w:w="940"/>
              <w:gridCol w:w="940"/>
              <w:gridCol w:w="671"/>
              <w:gridCol w:w="869"/>
            </w:tblGrid>
            <w:tr w14:paraId="4E40AB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02" w:type="pct"/>
                  <w:vAlign w:val="center"/>
                </w:tcPr>
                <w:p w14:paraId="78535DD9">
                  <w:pPr>
                    <w:wordWrap w:val="0"/>
                    <w:adjustRightInd w:val="0"/>
                    <w:snapToGrid w:val="0"/>
                    <w:rPr>
                      <w:color w:val="000000"/>
                      <w:kern w:val="0"/>
                      <w:szCs w:val="21"/>
                    </w:rPr>
                  </w:pPr>
                  <w:r>
                    <w:rPr>
                      <w:color w:val="000000"/>
                      <w:kern w:val="0"/>
                      <w:szCs w:val="21"/>
                    </w:rPr>
                    <w:t>设施名称</w:t>
                  </w:r>
                </w:p>
              </w:tc>
              <w:tc>
                <w:tcPr>
                  <w:tcW w:w="510" w:type="pct"/>
                  <w:vAlign w:val="center"/>
                </w:tcPr>
                <w:p w14:paraId="7BA8CBDA">
                  <w:pPr>
                    <w:widowControl/>
                    <w:wordWrap w:val="0"/>
                    <w:adjustRightInd w:val="0"/>
                    <w:snapToGrid w:val="0"/>
                    <w:rPr>
                      <w:rFonts w:hint="eastAsia"/>
                      <w:color w:val="000000"/>
                      <w:kern w:val="0"/>
                      <w:szCs w:val="21"/>
                    </w:rPr>
                  </w:pPr>
                  <w:r>
                    <w:rPr>
                      <w:rFonts w:hint="eastAsia"/>
                      <w:color w:val="000000"/>
                      <w:kern w:val="0"/>
                      <w:szCs w:val="21"/>
                    </w:rPr>
                    <w:t>/</w:t>
                  </w:r>
                </w:p>
              </w:tc>
              <w:tc>
                <w:tcPr>
                  <w:tcW w:w="508" w:type="pct"/>
                  <w:vAlign w:val="center"/>
                </w:tcPr>
                <w:p w14:paraId="21B53E3E">
                  <w:pPr>
                    <w:widowControl/>
                    <w:wordWrap w:val="0"/>
                    <w:adjustRightInd w:val="0"/>
                    <w:snapToGrid w:val="0"/>
                    <w:rPr>
                      <w:color w:val="000000"/>
                      <w:kern w:val="0"/>
                      <w:szCs w:val="21"/>
                    </w:rPr>
                  </w:pPr>
                  <w:r>
                    <w:rPr>
                      <w:color w:val="000000"/>
                      <w:kern w:val="0"/>
                      <w:szCs w:val="21"/>
                    </w:rPr>
                    <w:t>汽油罐</w:t>
                  </w:r>
                </w:p>
              </w:tc>
              <w:tc>
                <w:tcPr>
                  <w:tcW w:w="509" w:type="pct"/>
                  <w:vAlign w:val="center"/>
                </w:tcPr>
                <w:p w14:paraId="67C4C491">
                  <w:pPr>
                    <w:widowControl/>
                    <w:wordWrap w:val="0"/>
                    <w:adjustRightInd w:val="0"/>
                    <w:snapToGrid w:val="0"/>
                    <w:rPr>
                      <w:color w:val="000000"/>
                      <w:kern w:val="0"/>
                      <w:szCs w:val="21"/>
                    </w:rPr>
                  </w:pPr>
                  <w:r>
                    <w:rPr>
                      <w:color w:val="000000"/>
                      <w:kern w:val="0"/>
                      <w:szCs w:val="21"/>
                    </w:rPr>
                    <w:t>柴油罐</w:t>
                  </w:r>
                </w:p>
              </w:tc>
              <w:tc>
                <w:tcPr>
                  <w:tcW w:w="507" w:type="pct"/>
                  <w:vAlign w:val="center"/>
                </w:tcPr>
                <w:p w14:paraId="02BAD3E4">
                  <w:pPr>
                    <w:widowControl/>
                    <w:wordWrap w:val="0"/>
                    <w:adjustRightInd w:val="0"/>
                    <w:snapToGrid w:val="0"/>
                    <w:rPr>
                      <w:color w:val="000000"/>
                      <w:kern w:val="0"/>
                      <w:szCs w:val="21"/>
                    </w:rPr>
                  </w:pPr>
                  <w:r>
                    <w:rPr>
                      <w:rFonts w:hint="eastAsia"/>
                      <w:color w:val="000000"/>
                      <w:kern w:val="0"/>
                      <w:szCs w:val="21"/>
                    </w:rPr>
                    <w:t>站房</w:t>
                  </w:r>
                </w:p>
              </w:tc>
              <w:tc>
                <w:tcPr>
                  <w:tcW w:w="594" w:type="pct"/>
                  <w:vAlign w:val="center"/>
                </w:tcPr>
                <w:p w14:paraId="0D3ED7CB">
                  <w:pPr>
                    <w:widowControl/>
                    <w:wordWrap w:val="0"/>
                    <w:adjustRightInd w:val="0"/>
                    <w:snapToGrid w:val="0"/>
                    <w:rPr>
                      <w:rFonts w:hint="eastAsia" w:ascii="宋体" w:hAnsi="宋体"/>
                      <w:color w:val="000000"/>
                      <w:sz w:val="20"/>
                    </w:rPr>
                  </w:pPr>
                  <w:r>
                    <w:rPr>
                      <w:rFonts w:hint="eastAsia"/>
                      <w:color w:val="000000"/>
                      <w:szCs w:val="21"/>
                    </w:rPr>
                    <w:t>油品卸车点</w:t>
                  </w:r>
                </w:p>
              </w:tc>
              <w:tc>
                <w:tcPr>
                  <w:tcW w:w="594" w:type="pct"/>
                  <w:vAlign w:val="center"/>
                </w:tcPr>
                <w:p w14:paraId="668BD0D9">
                  <w:pPr>
                    <w:widowControl/>
                    <w:wordWrap w:val="0"/>
                    <w:adjustRightInd w:val="0"/>
                    <w:snapToGrid w:val="0"/>
                    <w:rPr>
                      <w:color w:val="000000"/>
                      <w:kern w:val="0"/>
                      <w:szCs w:val="21"/>
                    </w:rPr>
                  </w:pPr>
                  <w:r>
                    <w:rPr>
                      <w:rFonts w:hint="eastAsia" w:ascii="宋体" w:hAnsi="宋体"/>
                      <w:color w:val="000000"/>
                      <w:sz w:val="20"/>
                    </w:rPr>
                    <w:t>变配电间</w:t>
                  </w:r>
                </w:p>
              </w:tc>
              <w:tc>
                <w:tcPr>
                  <w:tcW w:w="424" w:type="pct"/>
                  <w:vAlign w:val="center"/>
                </w:tcPr>
                <w:p w14:paraId="419D0C8E">
                  <w:pPr>
                    <w:widowControl/>
                    <w:wordWrap w:val="0"/>
                    <w:adjustRightInd w:val="0"/>
                    <w:snapToGrid w:val="0"/>
                    <w:rPr>
                      <w:color w:val="000000"/>
                      <w:kern w:val="0"/>
                      <w:szCs w:val="21"/>
                    </w:rPr>
                  </w:pPr>
                  <w:r>
                    <w:rPr>
                      <w:rFonts w:hint="eastAsia" w:ascii="宋体" w:hAnsi="宋体"/>
                      <w:color w:val="000000"/>
                      <w:sz w:val="20"/>
                    </w:rPr>
                    <w:t>室外变压器</w:t>
                  </w:r>
                </w:p>
              </w:tc>
              <w:tc>
                <w:tcPr>
                  <w:tcW w:w="549" w:type="pct"/>
                  <w:vAlign w:val="center"/>
                </w:tcPr>
                <w:p w14:paraId="4081D802">
                  <w:pPr>
                    <w:widowControl/>
                    <w:wordWrap w:val="0"/>
                    <w:adjustRightInd w:val="0"/>
                    <w:snapToGrid w:val="0"/>
                    <w:rPr>
                      <w:color w:val="000000"/>
                      <w:kern w:val="0"/>
                      <w:szCs w:val="21"/>
                    </w:rPr>
                  </w:pPr>
                  <w:r>
                    <w:rPr>
                      <w:color w:val="000000"/>
                      <w:kern w:val="0"/>
                      <w:szCs w:val="21"/>
                    </w:rPr>
                    <w:t>站区围墙</w:t>
                  </w:r>
                </w:p>
              </w:tc>
            </w:tr>
            <w:tr w14:paraId="6932F1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02" w:type="pct"/>
                  <w:vMerge w:val="restart"/>
                  <w:vAlign w:val="center"/>
                </w:tcPr>
                <w:p w14:paraId="64E7915A">
                  <w:pPr>
                    <w:widowControl/>
                    <w:wordWrap w:val="0"/>
                    <w:adjustRightInd w:val="0"/>
                    <w:snapToGrid w:val="0"/>
                    <w:rPr>
                      <w:color w:val="000000"/>
                      <w:kern w:val="0"/>
                      <w:szCs w:val="21"/>
                    </w:rPr>
                  </w:pPr>
                  <w:r>
                    <w:rPr>
                      <w:color w:val="000000"/>
                      <w:kern w:val="0"/>
                      <w:szCs w:val="21"/>
                    </w:rPr>
                    <w:t>汽油罐</w:t>
                  </w:r>
                </w:p>
              </w:tc>
              <w:tc>
                <w:tcPr>
                  <w:tcW w:w="510" w:type="pct"/>
                  <w:vAlign w:val="center"/>
                </w:tcPr>
                <w:p w14:paraId="3625A657">
                  <w:pPr>
                    <w:widowControl/>
                    <w:wordWrap w:val="0"/>
                    <w:adjustRightInd w:val="0"/>
                    <w:snapToGrid w:val="0"/>
                    <w:rPr>
                      <w:color w:val="000000"/>
                      <w:kern w:val="0"/>
                      <w:szCs w:val="21"/>
                    </w:rPr>
                  </w:pPr>
                  <w:r>
                    <w:rPr>
                      <w:color w:val="000000"/>
                      <w:kern w:val="0"/>
                      <w:szCs w:val="21"/>
                    </w:rPr>
                    <w:t>规范</w:t>
                  </w:r>
                </w:p>
              </w:tc>
              <w:tc>
                <w:tcPr>
                  <w:tcW w:w="508" w:type="pct"/>
                  <w:vAlign w:val="center"/>
                </w:tcPr>
                <w:p w14:paraId="1DF3BEAB">
                  <w:pPr>
                    <w:widowControl/>
                    <w:wordWrap w:val="0"/>
                    <w:adjustRightInd w:val="0"/>
                    <w:snapToGrid w:val="0"/>
                    <w:rPr>
                      <w:color w:val="000000"/>
                      <w:kern w:val="0"/>
                      <w:szCs w:val="21"/>
                    </w:rPr>
                  </w:pPr>
                  <w:r>
                    <w:rPr>
                      <w:color w:val="000000"/>
                      <w:kern w:val="0"/>
                      <w:szCs w:val="21"/>
                    </w:rPr>
                    <w:t>0.5</w:t>
                  </w:r>
                </w:p>
              </w:tc>
              <w:tc>
                <w:tcPr>
                  <w:tcW w:w="509" w:type="pct"/>
                  <w:vAlign w:val="center"/>
                </w:tcPr>
                <w:p w14:paraId="46D2E273">
                  <w:pPr>
                    <w:widowControl/>
                    <w:wordWrap w:val="0"/>
                    <w:adjustRightInd w:val="0"/>
                    <w:snapToGrid w:val="0"/>
                    <w:rPr>
                      <w:color w:val="000000"/>
                      <w:kern w:val="0"/>
                      <w:szCs w:val="21"/>
                    </w:rPr>
                  </w:pPr>
                  <w:r>
                    <w:rPr>
                      <w:color w:val="000000"/>
                      <w:kern w:val="0"/>
                      <w:szCs w:val="21"/>
                    </w:rPr>
                    <w:t>0.5</w:t>
                  </w:r>
                </w:p>
              </w:tc>
              <w:tc>
                <w:tcPr>
                  <w:tcW w:w="507" w:type="pct"/>
                  <w:vAlign w:val="center"/>
                </w:tcPr>
                <w:p w14:paraId="26F42E69">
                  <w:pPr>
                    <w:widowControl/>
                    <w:wordWrap w:val="0"/>
                    <w:adjustRightInd w:val="0"/>
                    <w:snapToGrid w:val="0"/>
                    <w:rPr>
                      <w:color w:val="000000"/>
                      <w:kern w:val="0"/>
                      <w:szCs w:val="21"/>
                    </w:rPr>
                  </w:pPr>
                  <w:r>
                    <w:rPr>
                      <w:rFonts w:hint="eastAsia"/>
                      <w:color w:val="000000"/>
                      <w:kern w:val="0"/>
                      <w:szCs w:val="21"/>
                    </w:rPr>
                    <w:t>4</w:t>
                  </w:r>
                </w:p>
              </w:tc>
              <w:tc>
                <w:tcPr>
                  <w:tcW w:w="594" w:type="pct"/>
                  <w:vAlign w:val="center"/>
                </w:tcPr>
                <w:p w14:paraId="6419AD92">
                  <w:pPr>
                    <w:widowControl/>
                    <w:wordWrap w:val="0"/>
                    <w:adjustRightInd w:val="0"/>
                    <w:snapToGrid w:val="0"/>
                    <w:rPr>
                      <w:rFonts w:hint="eastAsia"/>
                      <w:color w:val="000000"/>
                      <w:kern w:val="0"/>
                      <w:szCs w:val="21"/>
                    </w:rPr>
                  </w:pPr>
                  <w:r>
                    <w:rPr>
                      <w:rFonts w:hint="eastAsia"/>
                      <w:color w:val="000000"/>
                      <w:kern w:val="0"/>
                      <w:szCs w:val="21"/>
                    </w:rPr>
                    <w:t>—</w:t>
                  </w:r>
                </w:p>
              </w:tc>
              <w:tc>
                <w:tcPr>
                  <w:tcW w:w="594" w:type="pct"/>
                  <w:vAlign w:val="center"/>
                </w:tcPr>
                <w:p w14:paraId="1E5C8282">
                  <w:pPr>
                    <w:widowControl/>
                    <w:wordWrap w:val="0"/>
                    <w:adjustRightInd w:val="0"/>
                    <w:snapToGrid w:val="0"/>
                    <w:rPr>
                      <w:color w:val="000000"/>
                      <w:kern w:val="0"/>
                      <w:szCs w:val="21"/>
                    </w:rPr>
                  </w:pPr>
                  <w:r>
                    <w:rPr>
                      <w:rFonts w:hint="eastAsia"/>
                      <w:color w:val="000000"/>
                      <w:kern w:val="0"/>
                      <w:szCs w:val="21"/>
                    </w:rPr>
                    <w:t>4.5</w:t>
                  </w:r>
                </w:p>
              </w:tc>
              <w:tc>
                <w:tcPr>
                  <w:tcW w:w="424" w:type="pct"/>
                  <w:vAlign w:val="center"/>
                </w:tcPr>
                <w:p w14:paraId="2E8E66B8">
                  <w:pPr>
                    <w:widowControl/>
                    <w:wordWrap w:val="0"/>
                    <w:adjustRightInd w:val="0"/>
                    <w:snapToGrid w:val="0"/>
                    <w:rPr>
                      <w:color w:val="000000"/>
                      <w:kern w:val="0"/>
                      <w:szCs w:val="21"/>
                    </w:rPr>
                  </w:pPr>
                  <w:r>
                    <w:rPr>
                      <w:rFonts w:hint="eastAsia"/>
                      <w:color w:val="000000"/>
                      <w:kern w:val="0"/>
                      <w:szCs w:val="21"/>
                    </w:rPr>
                    <w:t>4.5</w:t>
                  </w:r>
                </w:p>
              </w:tc>
              <w:tc>
                <w:tcPr>
                  <w:tcW w:w="549" w:type="pct"/>
                  <w:vAlign w:val="center"/>
                </w:tcPr>
                <w:p w14:paraId="3F396F3C">
                  <w:pPr>
                    <w:widowControl/>
                    <w:wordWrap w:val="0"/>
                    <w:adjustRightInd w:val="0"/>
                    <w:snapToGrid w:val="0"/>
                    <w:rPr>
                      <w:color w:val="000000"/>
                      <w:kern w:val="0"/>
                      <w:szCs w:val="21"/>
                    </w:rPr>
                  </w:pPr>
                  <w:r>
                    <w:rPr>
                      <w:rFonts w:hint="eastAsia"/>
                      <w:color w:val="000000"/>
                      <w:kern w:val="0"/>
                      <w:szCs w:val="21"/>
                    </w:rPr>
                    <w:t>3</w:t>
                  </w:r>
                </w:p>
              </w:tc>
            </w:tr>
            <w:tr w14:paraId="22B4AC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02" w:type="pct"/>
                  <w:vMerge w:val="continue"/>
                  <w:vAlign w:val="center"/>
                </w:tcPr>
                <w:p w14:paraId="199361EC">
                  <w:pPr>
                    <w:widowControl/>
                    <w:wordWrap w:val="0"/>
                    <w:adjustRightInd w:val="0"/>
                    <w:snapToGrid w:val="0"/>
                    <w:rPr>
                      <w:color w:val="000000"/>
                      <w:kern w:val="0"/>
                      <w:szCs w:val="21"/>
                    </w:rPr>
                  </w:pPr>
                </w:p>
              </w:tc>
              <w:tc>
                <w:tcPr>
                  <w:tcW w:w="510" w:type="pct"/>
                  <w:vAlign w:val="center"/>
                </w:tcPr>
                <w:p w14:paraId="11365FD4">
                  <w:pPr>
                    <w:widowControl/>
                    <w:wordWrap w:val="0"/>
                    <w:adjustRightInd w:val="0"/>
                    <w:snapToGrid w:val="0"/>
                    <w:rPr>
                      <w:color w:val="000000"/>
                      <w:kern w:val="0"/>
                      <w:szCs w:val="21"/>
                    </w:rPr>
                  </w:pPr>
                  <w:r>
                    <w:rPr>
                      <w:color w:val="000000"/>
                      <w:kern w:val="0"/>
                      <w:szCs w:val="21"/>
                    </w:rPr>
                    <w:t>设计</w:t>
                  </w:r>
                </w:p>
              </w:tc>
              <w:tc>
                <w:tcPr>
                  <w:tcW w:w="508" w:type="pct"/>
                  <w:vAlign w:val="center"/>
                </w:tcPr>
                <w:p w14:paraId="5B9752EC">
                  <w:pPr>
                    <w:widowControl/>
                    <w:wordWrap w:val="0"/>
                    <w:adjustRightInd w:val="0"/>
                    <w:snapToGrid w:val="0"/>
                    <w:rPr>
                      <w:rFonts w:hint="eastAsia"/>
                      <w:color w:val="000000"/>
                      <w:kern w:val="0"/>
                      <w:szCs w:val="21"/>
                    </w:rPr>
                  </w:pPr>
                  <w:r>
                    <w:rPr>
                      <w:color w:val="000000"/>
                      <w:kern w:val="0"/>
                      <w:szCs w:val="21"/>
                    </w:rPr>
                    <w:t>0.</w:t>
                  </w:r>
                  <w:r>
                    <w:rPr>
                      <w:rFonts w:hint="eastAsia"/>
                      <w:color w:val="000000"/>
                      <w:kern w:val="0"/>
                      <w:szCs w:val="21"/>
                    </w:rPr>
                    <w:t>6</w:t>
                  </w:r>
                </w:p>
              </w:tc>
              <w:tc>
                <w:tcPr>
                  <w:tcW w:w="509" w:type="pct"/>
                  <w:vAlign w:val="center"/>
                </w:tcPr>
                <w:p w14:paraId="3D9AAC3E">
                  <w:pPr>
                    <w:widowControl/>
                    <w:wordWrap w:val="0"/>
                    <w:adjustRightInd w:val="0"/>
                    <w:snapToGrid w:val="0"/>
                    <w:rPr>
                      <w:color w:val="000000"/>
                      <w:kern w:val="0"/>
                      <w:szCs w:val="21"/>
                    </w:rPr>
                  </w:pPr>
                  <w:r>
                    <w:rPr>
                      <w:rFonts w:hint="eastAsia"/>
                      <w:color w:val="000000"/>
                      <w:kern w:val="0"/>
                      <w:szCs w:val="21"/>
                    </w:rPr>
                    <w:t>0.6</w:t>
                  </w:r>
                </w:p>
              </w:tc>
              <w:tc>
                <w:tcPr>
                  <w:tcW w:w="507" w:type="pct"/>
                  <w:vAlign w:val="center"/>
                </w:tcPr>
                <w:p w14:paraId="7944CFD0">
                  <w:pPr>
                    <w:widowControl/>
                    <w:wordWrap w:val="0"/>
                    <w:adjustRightInd w:val="0"/>
                    <w:snapToGrid w:val="0"/>
                    <w:rPr>
                      <w:color w:val="000000"/>
                      <w:kern w:val="0"/>
                      <w:szCs w:val="21"/>
                    </w:rPr>
                  </w:pPr>
                  <w:r>
                    <w:rPr>
                      <w:rFonts w:hint="eastAsia"/>
                      <w:color w:val="000000"/>
                      <w:kern w:val="0"/>
                      <w:szCs w:val="21"/>
                    </w:rPr>
                    <w:t>10.1</w:t>
                  </w:r>
                </w:p>
              </w:tc>
              <w:tc>
                <w:tcPr>
                  <w:tcW w:w="594" w:type="pct"/>
                  <w:vAlign w:val="center"/>
                </w:tcPr>
                <w:p w14:paraId="1749B5D2">
                  <w:pPr>
                    <w:widowControl/>
                    <w:wordWrap w:val="0"/>
                    <w:adjustRightInd w:val="0"/>
                    <w:snapToGrid w:val="0"/>
                    <w:rPr>
                      <w:rFonts w:hint="eastAsia"/>
                      <w:color w:val="000000"/>
                      <w:kern w:val="0"/>
                      <w:szCs w:val="21"/>
                    </w:rPr>
                  </w:pPr>
                  <w:r>
                    <w:rPr>
                      <w:rFonts w:hint="eastAsia"/>
                      <w:color w:val="000000"/>
                      <w:kern w:val="0"/>
                      <w:szCs w:val="21"/>
                    </w:rPr>
                    <w:t>—</w:t>
                  </w:r>
                </w:p>
              </w:tc>
              <w:tc>
                <w:tcPr>
                  <w:tcW w:w="594" w:type="pct"/>
                  <w:vAlign w:val="center"/>
                </w:tcPr>
                <w:p w14:paraId="7A74841C">
                  <w:pPr>
                    <w:widowControl/>
                    <w:wordWrap w:val="0"/>
                    <w:adjustRightInd w:val="0"/>
                    <w:snapToGrid w:val="0"/>
                    <w:rPr>
                      <w:color w:val="000000"/>
                      <w:kern w:val="0"/>
                      <w:szCs w:val="21"/>
                    </w:rPr>
                  </w:pPr>
                  <w:r>
                    <w:rPr>
                      <w:rFonts w:hint="eastAsia"/>
                      <w:color w:val="000000"/>
                      <w:kern w:val="0"/>
                      <w:szCs w:val="21"/>
                    </w:rPr>
                    <w:t>17.3</w:t>
                  </w:r>
                </w:p>
              </w:tc>
              <w:tc>
                <w:tcPr>
                  <w:tcW w:w="424" w:type="pct"/>
                  <w:vAlign w:val="center"/>
                </w:tcPr>
                <w:p w14:paraId="0C1A084C">
                  <w:pPr>
                    <w:widowControl/>
                    <w:wordWrap w:val="0"/>
                    <w:adjustRightInd w:val="0"/>
                    <w:snapToGrid w:val="0"/>
                    <w:rPr>
                      <w:rFonts w:hint="eastAsia"/>
                      <w:color w:val="000000"/>
                      <w:kern w:val="0"/>
                      <w:szCs w:val="21"/>
                    </w:rPr>
                  </w:pPr>
                  <w:r>
                    <w:rPr>
                      <w:rFonts w:hint="eastAsia"/>
                      <w:color w:val="000000"/>
                      <w:kern w:val="0"/>
                      <w:szCs w:val="21"/>
                    </w:rPr>
                    <w:t>24</w:t>
                  </w:r>
                </w:p>
              </w:tc>
              <w:tc>
                <w:tcPr>
                  <w:tcW w:w="549" w:type="pct"/>
                  <w:vAlign w:val="center"/>
                </w:tcPr>
                <w:p w14:paraId="563F3D0D">
                  <w:pPr>
                    <w:widowControl/>
                    <w:wordWrap w:val="0"/>
                    <w:adjustRightInd w:val="0"/>
                    <w:snapToGrid w:val="0"/>
                    <w:rPr>
                      <w:color w:val="000000"/>
                      <w:kern w:val="0"/>
                      <w:szCs w:val="21"/>
                    </w:rPr>
                  </w:pPr>
                  <w:r>
                    <w:rPr>
                      <w:rFonts w:hint="eastAsia"/>
                      <w:color w:val="000000"/>
                      <w:kern w:val="0"/>
                      <w:szCs w:val="21"/>
                    </w:rPr>
                    <w:t>24</w:t>
                  </w:r>
                </w:p>
              </w:tc>
            </w:tr>
            <w:tr w14:paraId="70AF30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02" w:type="pct"/>
                  <w:vMerge w:val="restart"/>
                  <w:vAlign w:val="center"/>
                </w:tcPr>
                <w:p w14:paraId="0E3B6CB4">
                  <w:pPr>
                    <w:widowControl/>
                    <w:wordWrap w:val="0"/>
                    <w:adjustRightInd w:val="0"/>
                    <w:snapToGrid w:val="0"/>
                    <w:rPr>
                      <w:color w:val="000000"/>
                      <w:kern w:val="0"/>
                      <w:szCs w:val="21"/>
                    </w:rPr>
                  </w:pPr>
                  <w:r>
                    <w:rPr>
                      <w:color w:val="000000"/>
                      <w:kern w:val="0"/>
                      <w:szCs w:val="21"/>
                    </w:rPr>
                    <w:t>柴油罐</w:t>
                  </w:r>
                </w:p>
              </w:tc>
              <w:tc>
                <w:tcPr>
                  <w:tcW w:w="510" w:type="pct"/>
                  <w:vAlign w:val="center"/>
                </w:tcPr>
                <w:p w14:paraId="2F6AEE4A">
                  <w:pPr>
                    <w:widowControl/>
                    <w:wordWrap w:val="0"/>
                    <w:adjustRightInd w:val="0"/>
                    <w:snapToGrid w:val="0"/>
                    <w:rPr>
                      <w:color w:val="000000"/>
                      <w:kern w:val="0"/>
                      <w:szCs w:val="21"/>
                    </w:rPr>
                  </w:pPr>
                  <w:r>
                    <w:rPr>
                      <w:color w:val="000000"/>
                      <w:kern w:val="0"/>
                      <w:szCs w:val="21"/>
                    </w:rPr>
                    <w:t>规范</w:t>
                  </w:r>
                </w:p>
              </w:tc>
              <w:tc>
                <w:tcPr>
                  <w:tcW w:w="508" w:type="pct"/>
                  <w:vAlign w:val="center"/>
                </w:tcPr>
                <w:p w14:paraId="561B9D2E">
                  <w:pPr>
                    <w:widowControl/>
                    <w:wordWrap w:val="0"/>
                    <w:adjustRightInd w:val="0"/>
                    <w:snapToGrid w:val="0"/>
                    <w:rPr>
                      <w:color w:val="000000"/>
                      <w:kern w:val="0"/>
                      <w:szCs w:val="21"/>
                    </w:rPr>
                  </w:pPr>
                  <w:r>
                    <w:rPr>
                      <w:rFonts w:hint="eastAsia"/>
                      <w:color w:val="000000"/>
                      <w:kern w:val="0"/>
                      <w:szCs w:val="21"/>
                    </w:rPr>
                    <w:t>0.5</w:t>
                  </w:r>
                </w:p>
              </w:tc>
              <w:tc>
                <w:tcPr>
                  <w:tcW w:w="509" w:type="pct"/>
                  <w:vAlign w:val="center"/>
                </w:tcPr>
                <w:p w14:paraId="7273FDB8">
                  <w:pPr>
                    <w:widowControl/>
                    <w:wordWrap w:val="0"/>
                    <w:adjustRightInd w:val="0"/>
                    <w:snapToGrid w:val="0"/>
                    <w:rPr>
                      <w:color w:val="000000"/>
                      <w:kern w:val="0"/>
                      <w:szCs w:val="21"/>
                    </w:rPr>
                  </w:pPr>
                  <w:r>
                    <w:rPr>
                      <w:rFonts w:hint="eastAsia"/>
                      <w:color w:val="000000"/>
                      <w:kern w:val="0"/>
                      <w:szCs w:val="21"/>
                    </w:rPr>
                    <w:t>—</w:t>
                  </w:r>
                </w:p>
              </w:tc>
              <w:tc>
                <w:tcPr>
                  <w:tcW w:w="507" w:type="pct"/>
                  <w:vAlign w:val="center"/>
                </w:tcPr>
                <w:p w14:paraId="774BA93B">
                  <w:pPr>
                    <w:widowControl/>
                    <w:wordWrap w:val="0"/>
                    <w:adjustRightInd w:val="0"/>
                    <w:snapToGrid w:val="0"/>
                    <w:rPr>
                      <w:color w:val="000000"/>
                      <w:kern w:val="0"/>
                      <w:szCs w:val="21"/>
                    </w:rPr>
                  </w:pPr>
                  <w:r>
                    <w:rPr>
                      <w:rFonts w:hint="eastAsia"/>
                      <w:color w:val="000000"/>
                      <w:kern w:val="0"/>
                      <w:szCs w:val="21"/>
                    </w:rPr>
                    <w:t>3</w:t>
                  </w:r>
                </w:p>
              </w:tc>
              <w:tc>
                <w:tcPr>
                  <w:tcW w:w="594" w:type="pct"/>
                  <w:vAlign w:val="center"/>
                </w:tcPr>
                <w:p w14:paraId="43800C11">
                  <w:pPr>
                    <w:widowControl/>
                    <w:wordWrap w:val="0"/>
                    <w:adjustRightInd w:val="0"/>
                    <w:snapToGrid w:val="0"/>
                    <w:rPr>
                      <w:rFonts w:hint="eastAsia"/>
                      <w:color w:val="000000"/>
                      <w:kern w:val="0"/>
                      <w:szCs w:val="21"/>
                    </w:rPr>
                  </w:pPr>
                  <w:r>
                    <w:rPr>
                      <w:rFonts w:hint="eastAsia"/>
                      <w:color w:val="000000"/>
                      <w:kern w:val="0"/>
                      <w:szCs w:val="21"/>
                    </w:rPr>
                    <w:t>—</w:t>
                  </w:r>
                </w:p>
              </w:tc>
              <w:tc>
                <w:tcPr>
                  <w:tcW w:w="594" w:type="pct"/>
                  <w:vAlign w:val="center"/>
                </w:tcPr>
                <w:p w14:paraId="3ACED4D1">
                  <w:pPr>
                    <w:widowControl/>
                    <w:wordWrap w:val="0"/>
                    <w:adjustRightInd w:val="0"/>
                    <w:snapToGrid w:val="0"/>
                    <w:rPr>
                      <w:color w:val="000000"/>
                      <w:kern w:val="0"/>
                      <w:szCs w:val="21"/>
                    </w:rPr>
                  </w:pPr>
                  <w:r>
                    <w:rPr>
                      <w:rFonts w:hint="eastAsia"/>
                      <w:color w:val="000000"/>
                      <w:kern w:val="0"/>
                      <w:szCs w:val="21"/>
                    </w:rPr>
                    <w:t>—</w:t>
                  </w:r>
                </w:p>
              </w:tc>
              <w:tc>
                <w:tcPr>
                  <w:tcW w:w="424" w:type="pct"/>
                  <w:vAlign w:val="center"/>
                </w:tcPr>
                <w:p w14:paraId="61D768F0">
                  <w:pPr>
                    <w:widowControl/>
                    <w:wordWrap w:val="0"/>
                    <w:adjustRightInd w:val="0"/>
                    <w:snapToGrid w:val="0"/>
                    <w:rPr>
                      <w:color w:val="000000"/>
                      <w:kern w:val="0"/>
                      <w:szCs w:val="21"/>
                    </w:rPr>
                  </w:pPr>
                  <w:r>
                    <w:rPr>
                      <w:rFonts w:hint="eastAsia"/>
                      <w:color w:val="000000"/>
                      <w:kern w:val="0"/>
                      <w:szCs w:val="21"/>
                    </w:rPr>
                    <w:t>—</w:t>
                  </w:r>
                </w:p>
              </w:tc>
              <w:tc>
                <w:tcPr>
                  <w:tcW w:w="549" w:type="pct"/>
                  <w:vAlign w:val="center"/>
                </w:tcPr>
                <w:p w14:paraId="278BA509">
                  <w:pPr>
                    <w:widowControl/>
                    <w:wordWrap w:val="0"/>
                    <w:adjustRightInd w:val="0"/>
                    <w:snapToGrid w:val="0"/>
                    <w:rPr>
                      <w:color w:val="000000"/>
                      <w:kern w:val="0"/>
                      <w:szCs w:val="21"/>
                    </w:rPr>
                  </w:pPr>
                  <w:r>
                    <w:rPr>
                      <w:rFonts w:hint="eastAsia"/>
                      <w:color w:val="000000"/>
                      <w:kern w:val="0"/>
                      <w:szCs w:val="21"/>
                    </w:rPr>
                    <w:t>2</w:t>
                  </w:r>
                </w:p>
              </w:tc>
            </w:tr>
            <w:tr w14:paraId="7E1336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02" w:type="pct"/>
                  <w:vMerge w:val="continue"/>
                  <w:vAlign w:val="center"/>
                </w:tcPr>
                <w:p w14:paraId="1A76A1E0">
                  <w:pPr>
                    <w:widowControl/>
                    <w:wordWrap w:val="0"/>
                    <w:adjustRightInd w:val="0"/>
                    <w:snapToGrid w:val="0"/>
                    <w:rPr>
                      <w:color w:val="000000"/>
                      <w:kern w:val="0"/>
                      <w:szCs w:val="21"/>
                    </w:rPr>
                  </w:pPr>
                </w:p>
              </w:tc>
              <w:tc>
                <w:tcPr>
                  <w:tcW w:w="510" w:type="pct"/>
                  <w:vAlign w:val="center"/>
                </w:tcPr>
                <w:p w14:paraId="7E500455">
                  <w:pPr>
                    <w:widowControl/>
                    <w:wordWrap w:val="0"/>
                    <w:adjustRightInd w:val="0"/>
                    <w:snapToGrid w:val="0"/>
                    <w:rPr>
                      <w:color w:val="000000"/>
                      <w:kern w:val="0"/>
                      <w:szCs w:val="21"/>
                    </w:rPr>
                  </w:pPr>
                  <w:r>
                    <w:rPr>
                      <w:color w:val="000000"/>
                      <w:kern w:val="0"/>
                      <w:szCs w:val="21"/>
                    </w:rPr>
                    <w:t>设计</w:t>
                  </w:r>
                </w:p>
              </w:tc>
              <w:tc>
                <w:tcPr>
                  <w:tcW w:w="508" w:type="pct"/>
                  <w:vAlign w:val="center"/>
                </w:tcPr>
                <w:p w14:paraId="05400815">
                  <w:pPr>
                    <w:widowControl/>
                    <w:wordWrap w:val="0"/>
                    <w:adjustRightInd w:val="0"/>
                    <w:snapToGrid w:val="0"/>
                    <w:rPr>
                      <w:color w:val="000000"/>
                      <w:kern w:val="0"/>
                      <w:szCs w:val="21"/>
                    </w:rPr>
                  </w:pPr>
                  <w:r>
                    <w:rPr>
                      <w:rFonts w:hint="eastAsia"/>
                      <w:color w:val="000000"/>
                      <w:kern w:val="0"/>
                      <w:szCs w:val="21"/>
                    </w:rPr>
                    <w:t>0.6</w:t>
                  </w:r>
                </w:p>
              </w:tc>
              <w:tc>
                <w:tcPr>
                  <w:tcW w:w="509" w:type="pct"/>
                  <w:vAlign w:val="center"/>
                </w:tcPr>
                <w:p w14:paraId="0B55EE58">
                  <w:pPr>
                    <w:widowControl/>
                    <w:wordWrap w:val="0"/>
                    <w:adjustRightInd w:val="0"/>
                    <w:snapToGrid w:val="0"/>
                    <w:rPr>
                      <w:color w:val="000000"/>
                      <w:kern w:val="0"/>
                      <w:szCs w:val="21"/>
                    </w:rPr>
                  </w:pPr>
                  <w:r>
                    <w:rPr>
                      <w:rFonts w:hint="eastAsia"/>
                      <w:color w:val="000000"/>
                      <w:kern w:val="0"/>
                      <w:szCs w:val="21"/>
                    </w:rPr>
                    <w:t>—</w:t>
                  </w:r>
                </w:p>
              </w:tc>
              <w:tc>
                <w:tcPr>
                  <w:tcW w:w="507" w:type="pct"/>
                  <w:vAlign w:val="center"/>
                </w:tcPr>
                <w:p w14:paraId="4E5BE25A">
                  <w:pPr>
                    <w:widowControl/>
                    <w:wordWrap w:val="0"/>
                    <w:adjustRightInd w:val="0"/>
                    <w:snapToGrid w:val="0"/>
                    <w:rPr>
                      <w:color w:val="000000"/>
                      <w:kern w:val="0"/>
                      <w:szCs w:val="21"/>
                    </w:rPr>
                  </w:pPr>
                  <w:r>
                    <w:rPr>
                      <w:rFonts w:hint="eastAsia"/>
                      <w:color w:val="000000"/>
                      <w:kern w:val="0"/>
                      <w:szCs w:val="21"/>
                    </w:rPr>
                    <w:t>13.2</w:t>
                  </w:r>
                </w:p>
              </w:tc>
              <w:tc>
                <w:tcPr>
                  <w:tcW w:w="594" w:type="pct"/>
                  <w:vAlign w:val="center"/>
                </w:tcPr>
                <w:p w14:paraId="59416430">
                  <w:pPr>
                    <w:widowControl/>
                    <w:wordWrap w:val="0"/>
                    <w:adjustRightInd w:val="0"/>
                    <w:snapToGrid w:val="0"/>
                    <w:rPr>
                      <w:rFonts w:hint="eastAsia"/>
                      <w:color w:val="000000"/>
                      <w:kern w:val="0"/>
                      <w:szCs w:val="21"/>
                    </w:rPr>
                  </w:pPr>
                  <w:r>
                    <w:rPr>
                      <w:rFonts w:hint="eastAsia"/>
                      <w:color w:val="000000"/>
                      <w:kern w:val="0"/>
                      <w:szCs w:val="21"/>
                    </w:rPr>
                    <w:t>—</w:t>
                  </w:r>
                </w:p>
              </w:tc>
              <w:tc>
                <w:tcPr>
                  <w:tcW w:w="594" w:type="pct"/>
                  <w:vAlign w:val="center"/>
                </w:tcPr>
                <w:p w14:paraId="1DF42C04">
                  <w:pPr>
                    <w:widowControl/>
                    <w:wordWrap w:val="0"/>
                    <w:adjustRightInd w:val="0"/>
                    <w:snapToGrid w:val="0"/>
                    <w:rPr>
                      <w:color w:val="000000"/>
                      <w:kern w:val="0"/>
                      <w:szCs w:val="21"/>
                    </w:rPr>
                  </w:pPr>
                  <w:r>
                    <w:rPr>
                      <w:rFonts w:hint="eastAsia"/>
                      <w:color w:val="000000"/>
                      <w:kern w:val="0"/>
                      <w:szCs w:val="21"/>
                    </w:rPr>
                    <w:t>—</w:t>
                  </w:r>
                </w:p>
              </w:tc>
              <w:tc>
                <w:tcPr>
                  <w:tcW w:w="424" w:type="pct"/>
                  <w:vAlign w:val="center"/>
                </w:tcPr>
                <w:p w14:paraId="56D70C90">
                  <w:pPr>
                    <w:widowControl/>
                    <w:wordWrap w:val="0"/>
                    <w:adjustRightInd w:val="0"/>
                    <w:snapToGrid w:val="0"/>
                    <w:rPr>
                      <w:rFonts w:hint="eastAsia"/>
                      <w:color w:val="000000"/>
                      <w:kern w:val="0"/>
                      <w:szCs w:val="21"/>
                    </w:rPr>
                  </w:pPr>
                  <w:r>
                    <w:rPr>
                      <w:rFonts w:hint="eastAsia"/>
                      <w:color w:val="000000"/>
                      <w:kern w:val="0"/>
                      <w:szCs w:val="21"/>
                    </w:rPr>
                    <w:t>—</w:t>
                  </w:r>
                </w:p>
              </w:tc>
              <w:tc>
                <w:tcPr>
                  <w:tcW w:w="549" w:type="pct"/>
                  <w:vAlign w:val="center"/>
                </w:tcPr>
                <w:p w14:paraId="67DCA6A8">
                  <w:pPr>
                    <w:widowControl/>
                    <w:wordWrap w:val="0"/>
                    <w:adjustRightInd w:val="0"/>
                    <w:snapToGrid w:val="0"/>
                    <w:rPr>
                      <w:color w:val="000000"/>
                      <w:kern w:val="0"/>
                      <w:szCs w:val="21"/>
                    </w:rPr>
                  </w:pPr>
                  <w:r>
                    <w:rPr>
                      <w:rFonts w:hint="eastAsia"/>
                      <w:color w:val="000000"/>
                      <w:kern w:val="0"/>
                      <w:szCs w:val="21"/>
                    </w:rPr>
                    <w:t>18.4</w:t>
                  </w:r>
                </w:p>
              </w:tc>
            </w:tr>
            <w:tr w14:paraId="70DDDA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802" w:type="pct"/>
                  <w:vMerge w:val="restart"/>
                  <w:vAlign w:val="center"/>
                </w:tcPr>
                <w:p w14:paraId="7ED53F96">
                  <w:pPr>
                    <w:widowControl/>
                    <w:wordWrap w:val="0"/>
                    <w:adjustRightInd w:val="0"/>
                    <w:snapToGrid w:val="0"/>
                    <w:rPr>
                      <w:color w:val="000000"/>
                      <w:kern w:val="0"/>
                      <w:szCs w:val="21"/>
                    </w:rPr>
                  </w:pPr>
                  <w:r>
                    <w:rPr>
                      <w:color w:val="000000"/>
                      <w:kern w:val="0"/>
                      <w:szCs w:val="21"/>
                    </w:rPr>
                    <w:t>汽油</w:t>
                  </w:r>
                  <w:r>
                    <w:rPr>
                      <w:rFonts w:hint="eastAsia"/>
                      <w:color w:val="000000"/>
                      <w:kern w:val="0"/>
                      <w:szCs w:val="21"/>
                    </w:rPr>
                    <w:t>通气立管</w:t>
                  </w:r>
                  <w:r>
                    <w:rPr>
                      <w:color w:val="000000"/>
                      <w:kern w:val="0"/>
                      <w:szCs w:val="21"/>
                    </w:rPr>
                    <w:t>管口</w:t>
                  </w:r>
                </w:p>
              </w:tc>
              <w:tc>
                <w:tcPr>
                  <w:tcW w:w="510" w:type="pct"/>
                  <w:vAlign w:val="center"/>
                </w:tcPr>
                <w:p w14:paraId="5A9CFC87">
                  <w:pPr>
                    <w:widowControl/>
                    <w:wordWrap w:val="0"/>
                    <w:adjustRightInd w:val="0"/>
                    <w:snapToGrid w:val="0"/>
                    <w:rPr>
                      <w:color w:val="000000"/>
                      <w:kern w:val="0"/>
                      <w:szCs w:val="21"/>
                    </w:rPr>
                  </w:pPr>
                  <w:r>
                    <w:rPr>
                      <w:color w:val="000000"/>
                      <w:kern w:val="0"/>
                      <w:szCs w:val="21"/>
                    </w:rPr>
                    <w:t>规范</w:t>
                  </w:r>
                </w:p>
              </w:tc>
              <w:tc>
                <w:tcPr>
                  <w:tcW w:w="508" w:type="pct"/>
                  <w:vAlign w:val="center"/>
                </w:tcPr>
                <w:p w14:paraId="020C356E">
                  <w:pPr>
                    <w:widowControl/>
                    <w:wordWrap w:val="0"/>
                    <w:adjustRightInd w:val="0"/>
                    <w:snapToGrid w:val="0"/>
                    <w:rPr>
                      <w:color w:val="000000"/>
                      <w:kern w:val="0"/>
                      <w:szCs w:val="21"/>
                    </w:rPr>
                  </w:pPr>
                  <w:r>
                    <w:rPr>
                      <w:rFonts w:hint="eastAsia"/>
                      <w:color w:val="000000"/>
                      <w:kern w:val="0"/>
                      <w:szCs w:val="21"/>
                    </w:rPr>
                    <w:t>—</w:t>
                  </w:r>
                </w:p>
              </w:tc>
              <w:tc>
                <w:tcPr>
                  <w:tcW w:w="509" w:type="pct"/>
                  <w:vAlign w:val="center"/>
                </w:tcPr>
                <w:p w14:paraId="485E0DEC">
                  <w:pPr>
                    <w:widowControl/>
                    <w:wordWrap w:val="0"/>
                    <w:adjustRightInd w:val="0"/>
                    <w:snapToGrid w:val="0"/>
                    <w:rPr>
                      <w:color w:val="000000"/>
                      <w:kern w:val="0"/>
                      <w:szCs w:val="21"/>
                    </w:rPr>
                  </w:pPr>
                  <w:r>
                    <w:rPr>
                      <w:rFonts w:hint="eastAsia"/>
                      <w:color w:val="000000"/>
                      <w:kern w:val="0"/>
                      <w:szCs w:val="21"/>
                    </w:rPr>
                    <w:t>—</w:t>
                  </w:r>
                </w:p>
              </w:tc>
              <w:tc>
                <w:tcPr>
                  <w:tcW w:w="507" w:type="pct"/>
                  <w:vAlign w:val="center"/>
                </w:tcPr>
                <w:p w14:paraId="2A1DDA79">
                  <w:pPr>
                    <w:widowControl/>
                    <w:wordWrap w:val="0"/>
                    <w:adjustRightInd w:val="0"/>
                    <w:snapToGrid w:val="0"/>
                    <w:rPr>
                      <w:color w:val="000000"/>
                      <w:kern w:val="0"/>
                      <w:szCs w:val="21"/>
                    </w:rPr>
                  </w:pPr>
                  <w:r>
                    <w:rPr>
                      <w:rFonts w:hint="eastAsia"/>
                      <w:color w:val="000000"/>
                      <w:kern w:val="0"/>
                      <w:szCs w:val="21"/>
                    </w:rPr>
                    <w:t>4</w:t>
                  </w:r>
                </w:p>
              </w:tc>
              <w:tc>
                <w:tcPr>
                  <w:tcW w:w="594" w:type="pct"/>
                  <w:vAlign w:val="center"/>
                </w:tcPr>
                <w:p w14:paraId="3282720C">
                  <w:pPr>
                    <w:widowControl/>
                    <w:wordWrap w:val="0"/>
                    <w:adjustRightInd w:val="0"/>
                    <w:snapToGrid w:val="0"/>
                    <w:rPr>
                      <w:rFonts w:hint="eastAsia"/>
                      <w:color w:val="000000"/>
                      <w:kern w:val="0"/>
                      <w:szCs w:val="21"/>
                    </w:rPr>
                  </w:pPr>
                  <w:r>
                    <w:rPr>
                      <w:rFonts w:hint="eastAsia"/>
                      <w:color w:val="000000"/>
                      <w:kern w:val="0"/>
                      <w:szCs w:val="21"/>
                    </w:rPr>
                    <w:t>3</w:t>
                  </w:r>
                </w:p>
              </w:tc>
              <w:tc>
                <w:tcPr>
                  <w:tcW w:w="594" w:type="pct"/>
                  <w:vAlign w:val="center"/>
                </w:tcPr>
                <w:p w14:paraId="76506A34">
                  <w:pPr>
                    <w:widowControl/>
                    <w:wordWrap w:val="0"/>
                    <w:adjustRightInd w:val="0"/>
                    <w:snapToGrid w:val="0"/>
                    <w:rPr>
                      <w:color w:val="000000"/>
                      <w:kern w:val="0"/>
                      <w:szCs w:val="21"/>
                    </w:rPr>
                  </w:pPr>
                  <w:r>
                    <w:rPr>
                      <w:rFonts w:hint="eastAsia"/>
                      <w:color w:val="000000"/>
                      <w:kern w:val="0"/>
                      <w:szCs w:val="21"/>
                    </w:rPr>
                    <w:t>5</w:t>
                  </w:r>
                </w:p>
              </w:tc>
              <w:tc>
                <w:tcPr>
                  <w:tcW w:w="424" w:type="pct"/>
                  <w:vAlign w:val="center"/>
                </w:tcPr>
                <w:p w14:paraId="3DC73D91">
                  <w:pPr>
                    <w:widowControl/>
                    <w:wordWrap w:val="0"/>
                    <w:adjustRightInd w:val="0"/>
                    <w:snapToGrid w:val="0"/>
                    <w:rPr>
                      <w:color w:val="000000"/>
                      <w:kern w:val="0"/>
                      <w:szCs w:val="21"/>
                    </w:rPr>
                  </w:pPr>
                  <w:r>
                    <w:rPr>
                      <w:rFonts w:hint="eastAsia"/>
                      <w:color w:val="000000"/>
                      <w:kern w:val="0"/>
                      <w:szCs w:val="21"/>
                    </w:rPr>
                    <w:t>5</w:t>
                  </w:r>
                </w:p>
              </w:tc>
              <w:tc>
                <w:tcPr>
                  <w:tcW w:w="549" w:type="pct"/>
                  <w:vAlign w:val="center"/>
                </w:tcPr>
                <w:p w14:paraId="2A2C514B">
                  <w:pPr>
                    <w:widowControl/>
                    <w:wordWrap w:val="0"/>
                    <w:adjustRightInd w:val="0"/>
                    <w:snapToGrid w:val="0"/>
                    <w:rPr>
                      <w:color w:val="000000"/>
                      <w:kern w:val="0"/>
                      <w:szCs w:val="21"/>
                    </w:rPr>
                  </w:pPr>
                  <w:r>
                    <w:rPr>
                      <w:rFonts w:hint="eastAsia"/>
                      <w:color w:val="000000"/>
                      <w:kern w:val="0"/>
                      <w:szCs w:val="21"/>
                    </w:rPr>
                    <w:t>3</w:t>
                  </w:r>
                </w:p>
              </w:tc>
            </w:tr>
            <w:tr w14:paraId="47247D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802" w:type="pct"/>
                  <w:vMerge w:val="continue"/>
                  <w:vAlign w:val="center"/>
                </w:tcPr>
                <w:p w14:paraId="07E0D3F4">
                  <w:pPr>
                    <w:widowControl/>
                    <w:wordWrap w:val="0"/>
                    <w:adjustRightInd w:val="0"/>
                    <w:snapToGrid w:val="0"/>
                    <w:rPr>
                      <w:color w:val="000000"/>
                      <w:kern w:val="0"/>
                      <w:szCs w:val="21"/>
                    </w:rPr>
                  </w:pPr>
                </w:p>
              </w:tc>
              <w:tc>
                <w:tcPr>
                  <w:tcW w:w="510" w:type="pct"/>
                  <w:vAlign w:val="center"/>
                </w:tcPr>
                <w:p w14:paraId="54E01BEE">
                  <w:pPr>
                    <w:widowControl/>
                    <w:wordWrap w:val="0"/>
                    <w:adjustRightInd w:val="0"/>
                    <w:snapToGrid w:val="0"/>
                    <w:rPr>
                      <w:color w:val="000000"/>
                      <w:kern w:val="0"/>
                      <w:szCs w:val="21"/>
                    </w:rPr>
                  </w:pPr>
                  <w:r>
                    <w:rPr>
                      <w:color w:val="000000"/>
                      <w:kern w:val="0"/>
                      <w:szCs w:val="21"/>
                    </w:rPr>
                    <w:t>设计</w:t>
                  </w:r>
                </w:p>
              </w:tc>
              <w:tc>
                <w:tcPr>
                  <w:tcW w:w="508" w:type="pct"/>
                  <w:vAlign w:val="center"/>
                </w:tcPr>
                <w:p w14:paraId="26A0CF67">
                  <w:pPr>
                    <w:widowControl/>
                    <w:wordWrap w:val="0"/>
                    <w:adjustRightInd w:val="0"/>
                    <w:snapToGrid w:val="0"/>
                    <w:rPr>
                      <w:color w:val="000000"/>
                      <w:kern w:val="0"/>
                      <w:szCs w:val="21"/>
                    </w:rPr>
                  </w:pPr>
                  <w:r>
                    <w:rPr>
                      <w:rFonts w:hint="eastAsia"/>
                      <w:color w:val="000000"/>
                      <w:kern w:val="0"/>
                      <w:szCs w:val="21"/>
                    </w:rPr>
                    <w:t>—</w:t>
                  </w:r>
                </w:p>
              </w:tc>
              <w:tc>
                <w:tcPr>
                  <w:tcW w:w="509" w:type="pct"/>
                  <w:vAlign w:val="center"/>
                </w:tcPr>
                <w:p w14:paraId="5DAF7F23">
                  <w:pPr>
                    <w:widowControl/>
                    <w:wordWrap w:val="0"/>
                    <w:adjustRightInd w:val="0"/>
                    <w:snapToGrid w:val="0"/>
                    <w:rPr>
                      <w:color w:val="000000"/>
                      <w:kern w:val="0"/>
                      <w:szCs w:val="21"/>
                    </w:rPr>
                  </w:pPr>
                  <w:r>
                    <w:rPr>
                      <w:rFonts w:hint="eastAsia"/>
                      <w:color w:val="000000"/>
                      <w:kern w:val="0"/>
                      <w:szCs w:val="21"/>
                    </w:rPr>
                    <w:t>—</w:t>
                  </w:r>
                </w:p>
              </w:tc>
              <w:tc>
                <w:tcPr>
                  <w:tcW w:w="507" w:type="pct"/>
                  <w:vAlign w:val="center"/>
                </w:tcPr>
                <w:p w14:paraId="7805BCA6">
                  <w:pPr>
                    <w:widowControl/>
                    <w:wordWrap w:val="0"/>
                    <w:adjustRightInd w:val="0"/>
                    <w:snapToGrid w:val="0"/>
                    <w:rPr>
                      <w:color w:val="000000"/>
                      <w:kern w:val="0"/>
                      <w:szCs w:val="21"/>
                    </w:rPr>
                  </w:pPr>
                  <w:r>
                    <w:rPr>
                      <w:rFonts w:hint="eastAsia"/>
                      <w:color w:val="000000"/>
                      <w:kern w:val="0"/>
                      <w:szCs w:val="21"/>
                    </w:rPr>
                    <w:t>14.3</w:t>
                  </w:r>
                </w:p>
              </w:tc>
              <w:tc>
                <w:tcPr>
                  <w:tcW w:w="594" w:type="pct"/>
                  <w:vAlign w:val="center"/>
                </w:tcPr>
                <w:p w14:paraId="27B3AA66">
                  <w:pPr>
                    <w:widowControl/>
                    <w:wordWrap w:val="0"/>
                    <w:adjustRightInd w:val="0"/>
                    <w:snapToGrid w:val="0"/>
                    <w:rPr>
                      <w:rFonts w:hint="eastAsia"/>
                      <w:color w:val="000000"/>
                      <w:kern w:val="0"/>
                      <w:szCs w:val="21"/>
                    </w:rPr>
                  </w:pPr>
                  <w:r>
                    <w:rPr>
                      <w:rFonts w:hint="eastAsia"/>
                      <w:color w:val="000000"/>
                      <w:kern w:val="0"/>
                      <w:szCs w:val="21"/>
                    </w:rPr>
                    <w:t>3.8</w:t>
                  </w:r>
                </w:p>
              </w:tc>
              <w:tc>
                <w:tcPr>
                  <w:tcW w:w="594" w:type="pct"/>
                  <w:vAlign w:val="center"/>
                </w:tcPr>
                <w:p w14:paraId="62916253">
                  <w:pPr>
                    <w:widowControl/>
                    <w:wordWrap w:val="0"/>
                    <w:adjustRightInd w:val="0"/>
                    <w:snapToGrid w:val="0"/>
                    <w:rPr>
                      <w:color w:val="000000"/>
                      <w:kern w:val="0"/>
                      <w:szCs w:val="21"/>
                    </w:rPr>
                  </w:pPr>
                  <w:r>
                    <w:rPr>
                      <w:rFonts w:hint="eastAsia"/>
                      <w:color w:val="000000"/>
                      <w:kern w:val="0"/>
                      <w:szCs w:val="21"/>
                    </w:rPr>
                    <w:t>16.8</w:t>
                  </w:r>
                </w:p>
              </w:tc>
              <w:tc>
                <w:tcPr>
                  <w:tcW w:w="424" w:type="pct"/>
                  <w:vAlign w:val="center"/>
                </w:tcPr>
                <w:p w14:paraId="07520C90">
                  <w:pPr>
                    <w:widowControl/>
                    <w:wordWrap w:val="0"/>
                    <w:adjustRightInd w:val="0"/>
                    <w:snapToGrid w:val="0"/>
                    <w:rPr>
                      <w:rFonts w:hint="eastAsia"/>
                      <w:color w:val="000000"/>
                      <w:kern w:val="0"/>
                      <w:szCs w:val="21"/>
                    </w:rPr>
                  </w:pPr>
                  <w:r>
                    <w:rPr>
                      <w:rFonts w:hint="eastAsia"/>
                      <w:color w:val="000000"/>
                      <w:kern w:val="0"/>
                      <w:szCs w:val="21"/>
                    </w:rPr>
                    <w:t>48.7</w:t>
                  </w:r>
                </w:p>
              </w:tc>
              <w:tc>
                <w:tcPr>
                  <w:tcW w:w="549" w:type="pct"/>
                  <w:vAlign w:val="center"/>
                </w:tcPr>
                <w:p w14:paraId="6906D8D1">
                  <w:pPr>
                    <w:widowControl/>
                    <w:wordWrap w:val="0"/>
                    <w:adjustRightInd w:val="0"/>
                    <w:snapToGrid w:val="0"/>
                    <w:rPr>
                      <w:color w:val="000000"/>
                      <w:kern w:val="0"/>
                      <w:szCs w:val="21"/>
                    </w:rPr>
                  </w:pPr>
                  <w:r>
                    <w:rPr>
                      <w:rFonts w:hint="eastAsia"/>
                      <w:color w:val="000000"/>
                      <w:kern w:val="0"/>
                      <w:szCs w:val="21"/>
                    </w:rPr>
                    <w:t>4.9</w:t>
                  </w:r>
                </w:p>
              </w:tc>
            </w:tr>
            <w:tr w14:paraId="0EE09F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802" w:type="pct"/>
                  <w:vMerge w:val="restart"/>
                  <w:vAlign w:val="center"/>
                </w:tcPr>
                <w:p w14:paraId="7B4A7E2B">
                  <w:pPr>
                    <w:widowControl/>
                    <w:wordWrap w:val="0"/>
                    <w:adjustRightInd w:val="0"/>
                    <w:snapToGrid w:val="0"/>
                    <w:rPr>
                      <w:color w:val="000000"/>
                      <w:kern w:val="0"/>
                      <w:szCs w:val="21"/>
                    </w:rPr>
                  </w:pPr>
                  <w:r>
                    <w:rPr>
                      <w:color w:val="000000"/>
                      <w:kern w:val="0"/>
                      <w:szCs w:val="21"/>
                    </w:rPr>
                    <w:t>柴油</w:t>
                  </w:r>
                  <w:r>
                    <w:rPr>
                      <w:rFonts w:hint="eastAsia"/>
                      <w:color w:val="000000"/>
                      <w:kern w:val="0"/>
                      <w:szCs w:val="21"/>
                    </w:rPr>
                    <w:t>通气立管</w:t>
                  </w:r>
                  <w:r>
                    <w:rPr>
                      <w:color w:val="000000"/>
                      <w:kern w:val="0"/>
                      <w:szCs w:val="21"/>
                    </w:rPr>
                    <w:t>管口</w:t>
                  </w:r>
                </w:p>
              </w:tc>
              <w:tc>
                <w:tcPr>
                  <w:tcW w:w="510" w:type="pct"/>
                  <w:vAlign w:val="center"/>
                </w:tcPr>
                <w:p w14:paraId="7F13B829">
                  <w:pPr>
                    <w:widowControl/>
                    <w:wordWrap w:val="0"/>
                    <w:adjustRightInd w:val="0"/>
                    <w:snapToGrid w:val="0"/>
                    <w:rPr>
                      <w:color w:val="000000"/>
                      <w:kern w:val="0"/>
                      <w:szCs w:val="21"/>
                    </w:rPr>
                  </w:pPr>
                  <w:r>
                    <w:rPr>
                      <w:color w:val="000000"/>
                      <w:kern w:val="0"/>
                      <w:szCs w:val="21"/>
                    </w:rPr>
                    <w:t>规范</w:t>
                  </w:r>
                </w:p>
              </w:tc>
              <w:tc>
                <w:tcPr>
                  <w:tcW w:w="508" w:type="pct"/>
                  <w:vAlign w:val="center"/>
                </w:tcPr>
                <w:p w14:paraId="49436221">
                  <w:pPr>
                    <w:widowControl/>
                    <w:wordWrap w:val="0"/>
                    <w:adjustRightInd w:val="0"/>
                    <w:snapToGrid w:val="0"/>
                    <w:rPr>
                      <w:color w:val="000000"/>
                      <w:kern w:val="0"/>
                      <w:szCs w:val="21"/>
                    </w:rPr>
                  </w:pPr>
                  <w:r>
                    <w:rPr>
                      <w:rFonts w:hint="eastAsia"/>
                      <w:color w:val="000000"/>
                      <w:kern w:val="0"/>
                      <w:szCs w:val="21"/>
                    </w:rPr>
                    <w:t>—</w:t>
                  </w:r>
                </w:p>
              </w:tc>
              <w:tc>
                <w:tcPr>
                  <w:tcW w:w="509" w:type="pct"/>
                  <w:vAlign w:val="center"/>
                </w:tcPr>
                <w:p w14:paraId="79A280A0">
                  <w:pPr>
                    <w:widowControl/>
                    <w:wordWrap w:val="0"/>
                    <w:adjustRightInd w:val="0"/>
                    <w:snapToGrid w:val="0"/>
                    <w:rPr>
                      <w:color w:val="000000"/>
                      <w:kern w:val="0"/>
                      <w:szCs w:val="21"/>
                    </w:rPr>
                  </w:pPr>
                  <w:r>
                    <w:rPr>
                      <w:rFonts w:hint="eastAsia"/>
                      <w:color w:val="000000"/>
                      <w:kern w:val="0"/>
                      <w:szCs w:val="21"/>
                    </w:rPr>
                    <w:t>—</w:t>
                  </w:r>
                </w:p>
              </w:tc>
              <w:tc>
                <w:tcPr>
                  <w:tcW w:w="507" w:type="pct"/>
                  <w:vAlign w:val="center"/>
                </w:tcPr>
                <w:p w14:paraId="1CB331B4">
                  <w:pPr>
                    <w:widowControl/>
                    <w:wordWrap w:val="0"/>
                    <w:adjustRightInd w:val="0"/>
                    <w:snapToGrid w:val="0"/>
                    <w:rPr>
                      <w:color w:val="000000"/>
                      <w:kern w:val="0"/>
                      <w:szCs w:val="21"/>
                    </w:rPr>
                  </w:pPr>
                  <w:r>
                    <w:rPr>
                      <w:rFonts w:hint="eastAsia"/>
                      <w:color w:val="000000"/>
                      <w:kern w:val="0"/>
                      <w:szCs w:val="21"/>
                    </w:rPr>
                    <w:t>3.5</w:t>
                  </w:r>
                </w:p>
              </w:tc>
              <w:tc>
                <w:tcPr>
                  <w:tcW w:w="594" w:type="pct"/>
                  <w:vAlign w:val="center"/>
                </w:tcPr>
                <w:p w14:paraId="6AA3EC9F">
                  <w:pPr>
                    <w:widowControl/>
                    <w:wordWrap w:val="0"/>
                    <w:adjustRightInd w:val="0"/>
                    <w:snapToGrid w:val="0"/>
                    <w:rPr>
                      <w:color w:val="000000"/>
                      <w:kern w:val="0"/>
                      <w:szCs w:val="21"/>
                    </w:rPr>
                  </w:pPr>
                  <w:r>
                    <w:rPr>
                      <w:rFonts w:hint="eastAsia"/>
                      <w:color w:val="000000"/>
                      <w:kern w:val="0"/>
                      <w:szCs w:val="21"/>
                    </w:rPr>
                    <w:t>2</w:t>
                  </w:r>
                </w:p>
              </w:tc>
              <w:tc>
                <w:tcPr>
                  <w:tcW w:w="594" w:type="pct"/>
                  <w:vAlign w:val="center"/>
                </w:tcPr>
                <w:p w14:paraId="029D3240">
                  <w:pPr>
                    <w:widowControl/>
                    <w:wordWrap w:val="0"/>
                    <w:adjustRightInd w:val="0"/>
                    <w:snapToGrid w:val="0"/>
                    <w:rPr>
                      <w:color w:val="000000"/>
                      <w:kern w:val="0"/>
                      <w:szCs w:val="21"/>
                    </w:rPr>
                  </w:pPr>
                  <w:r>
                    <w:rPr>
                      <w:rFonts w:hint="eastAsia"/>
                      <w:color w:val="000000"/>
                      <w:kern w:val="0"/>
                      <w:szCs w:val="21"/>
                    </w:rPr>
                    <w:t>3</w:t>
                  </w:r>
                </w:p>
              </w:tc>
              <w:tc>
                <w:tcPr>
                  <w:tcW w:w="424" w:type="pct"/>
                  <w:vAlign w:val="center"/>
                </w:tcPr>
                <w:p w14:paraId="36509188">
                  <w:pPr>
                    <w:widowControl/>
                    <w:wordWrap w:val="0"/>
                    <w:adjustRightInd w:val="0"/>
                    <w:snapToGrid w:val="0"/>
                    <w:rPr>
                      <w:rFonts w:hint="eastAsia"/>
                      <w:color w:val="000000"/>
                      <w:kern w:val="0"/>
                      <w:szCs w:val="21"/>
                    </w:rPr>
                  </w:pPr>
                  <w:r>
                    <w:rPr>
                      <w:rFonts w:hint="eastAsia"/>
                      <w:color w:val="000000"/>
                      <w:kern w:val="0"/>
                      <w:szCs w:val="21"/>
                    </w:rPr>
                    <w:t>3</w:t>
                  </w:r>
                </w:p>
              </w:tc>
              <w:tc>
                <w:tcPr>
                  <w:tcW w:w="549" w:type="pct"/>
                  <w:vAlign w:val="center"/>
                </w:tcPr>
                <w:p w14:paraId="79793A64">
                  <w:pPr>
                    <w:widowControl/>
                    <w:wordWrap w:val="0"/>
                    <w:adjustRightInd w:val="0"/>
                    <w:snapToGrid w:val="0"/>
                    <w:rPr>
                      <w:color w:val="000000"/>
                      <w:kern w:val="0"/>
                      <w:szCs w:val="21"/>
                    </w:rPr>
                  </w:pPr>
                  <w:r>
                    <w:rPr>
                      <w:rFonts w:hint="eastAsia"/>
                      <w:color w:val="000000"/>
                      <w:kern w:val="0"/>
                      <w:szCs w:val="21"/>
                    </w:rPr>
                    <w:t>2</w:t>
                  </w:r>
                </w:p>
              </w:tc>
            </w:tr>
            <w:tr w14:paraId="006952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802" w:type="pct"/>
                  <w:vMerge w:val="continue"/>
                  <w:vAlign w:val="center"/>
                </w:tcPr>
                <w:p w14:paraId="5CCBE984">
                  <w:pPr>
                    <w:widowControl/>
                    <w:wordWrap w:val="0"/>
                    <w:adjustRightInd w:val="0"/>
                    <w:snapToGrid w:val="0"/>
                    <w:rPr>
                      <w:color w:val="000000"/>
                      <w:kern w:val="0"/>
                      <w:szCs w:val="21"/>
                    </w:rPr>
                  </w:pPr>
                </w:p>
              </w:tc>
              <w:tc>
                <w:tcPr>
                  <w:tcW w:w="510" w:type="pct"/>
                  <w:vAlign w:val="center"/>
                </w:tcPr>
                <w:p w14:paraId="7BB81041">
                  <w:pPr>
                    <w:widowControl/>
                    <w:wordWrap w:val="0"/>
                    <w:adjustRightInd w:val="0"/>
                    <w:snapToGrid w:val="0"/>
                    <w:rPr>
                      <w:color w:val="000000"/>
                      <w:kern w:val="0"/>
                      <w:szCs w:val="21"/>
                    </w:rPr>
                  </w:pPr>
                  <w:r>
                    <w:rPr>
                      <w:color w:val="000000"/>
                      <w:kern w:val="0"/>
                      <w:szCs w:val="21"/>
                    </w:rPr>
                    <w:t>设计</w:t>
                  </w:r>
                </w:p>
              </w:tc>
              <w:tc>
                <w:tcPr>
                  <w:tcW w:w="508" w:type="pct"/>
                  <w:vAlign w:val="center"/>
                </w:tcPr>
                <w:p w14:paraId="234331C2">
                  <w:pPr>
                    <w:widowControl/>
                    <w:wordWrap w:val="0"/>
                    <w:adjustRightInd w:val="0"/>
                    <w:snapToGrid w:val="0"/>
                    <w:rPr>
                      <w:color w:val="000000"/>
                      <w:kern w:val="0"/>
                      <w:szCs w:val="21"/>
                    </w:rPr>
                  </w:pPr>
                  <w:r>
                    <w:rPr>
                      <w:rFonts w:hint="eastAsia"/>
                      <w:color w:val="000000"/>
                      <w:kern w:val="0"/>
                      <w:szCs w:val="21"/>
                    </w:rPr>
                    <w:t>—</w:t>
                  </w:r>
                </w:p>
              </w:tc>
              <w:tc>
                <w:tcPr>
                  <w:tcW w:w="509" w:type="pct"/>
                  <w:vAlign w:val="center"/>
                </w:tcPr>
                <w:p w14:paraId="4AAD129C">
                  <w:pPr>
                    <w:widowControl/>
                    <w:wordWrap w:val="0"/>
                    <w:adjustRightInd w:val="0"/>
                    <w:snapToGrid w:val="0"/>
                    <w:rPr>
                      <w:color w:val="000000"/>
                      <w:kern w:val="0"/>
                      <w:szCs w:val="21"/>
                    </w:rPr>
                  </w:pPr>
                  <w:r>
                    <w:rPr>
                      <w:rFonts w:hint="eastAsia"/>
                      <w:color w:val="000000"/>
                      <w:kern w:val="0"/>
                      <w:szCs w:val="21"/>
                    </w:rPr>
                    <w:t>—</w:t>
                  </w:r>
                </w:p>
              </w:tc>
              <w:tc>
                <w:tcPr>
                  <w:tcW w:w="507" w:type="pct"/>
                  <w:vAlign w:val="center"/>
                </w:tcPr>
                <w:p w14:paraId="41B4E63A">
                  <w:pPr>
                    <w:widowControl/>
                    <w:wordWrap w:val="0"/>
                    <w:adjustRightInd w:val="0"/>
                    <w:snapToGrid w:val="0"/>
                    <w:rPr>
                      <w:color w:val="000000"/>
                      <w:kern w:val="0"/>
                      <w:szCs w:val="21"/>
                    </w:rPr>
                  </w:pPr>
                  <w:r>
                    <w:rPr>
                      <w:rFonts w:hint="eastAsia"/>
                      <w:color w:val="000000"/>
                      <w:kern w:val="0"/>
                      <w:szCs w:val="21"/>
                    </w:rPr>
                    <w:t>14.2</w:t>
                  </w:r>
                </w:p>
              </w:tc>
              <w:tc>
                <w:tcPr>
                  <w:tcW w:w="594" w:type="pct"/>
                  <w:vAlign w:val="center"/>
                </w:tcPr>
                <w:p w14:paraId="2567FA75">
                  <w:pPr>
                    <w:widowControl/>
                    <w:wordWrap w:val="0"/>
                    <w:adjustRightInd w:val="0"/>
                    <w:snapToGrid w:val="0"/>
                    <w:rPr>
                      <w:color w:val="000000"/>
                      <w:kern w:val="0"/>
                      <w:szCs w:val="21"/>
                    </w:rPr>
                  </w:pPr>
                  <w:r>
                    <w:rPr>
                      <w:rFonts w:hint="eastAsia"/>
                      <w:color w:val="000000"/>
                      <w:kern w:val="0"/>
                      <w:szCs w:val="21"/>
                    </w:rPr>
                    <w:t>4.5</w:t>
                  </w:r>
                </w:p>
              </w:tc>
              <w:tc>
                <w:tcPr>
                  <w:tcW w:w="594" w:type="pct"/>
                  <w:vAlign w:val="center"/>
                </w:tcPr>
                <w:p w14:paraId="34A3A228">
                  <w:pPr>
                    <w:widowControl/>
                    <w:wordWrap w:val="0"/>
                    <w:adjustRightInd w:val="0"/>
                    <w:snapToGrid w:val="0"/>
                    <w:rPr>
                      <w:color w:val="000000"/>
                      <w:kern w:val="0"/>
                      <w:szCs w:val="21"/>
                    </w:rPr>
                  </w:pPr>
                  <w:r>
                    <w:rPr>
                      <w:rFonts w:hint="eastAsia"/>
                      <w:color w:val="000000"/>
                      <w:kern w:val="0"/>
                      <w:szCs w:val="21"/>
                    </w:rPr>
                    <w:t>16.6</w:t>
                  </w:r>
                </w:p>
              </w:tc>
              <w:tc>
                <w:tcPr>
                  <w:tcW w:w="424" w:type="pct"/>
                  <w:vAlign w:val="center"/>
                </w:tcPr>
                <w:p w14:paraId="3A6BC2ED">
                  <w:pPr>
                    <w:widowControl/>
                    <w:wordWrap w:val="0"/>
                    <w:adjustRightInd w:val="0"/>
                    <w:snapToGrid w:val="0"/>
                    <w:rPr>
                      <w:rFonts w:hint="eastAsia"/>
                      <w:color w:val="000000"/>
                      <w:kern w:val="0"/>
                      <w:szCs w:val="21"/>
                    </w:rPr>
                  </w:pPr>
                  <w:r>
                    <w:rPr>
                      <w:rFonts w:hint="eastAsia"/>
                      <w:color w:val="000000"/>
                      <w:kern w:val="0"/>
                      <w:szCs w:val="21"/>
                    </w:rPr>
                    <w:t>48.6</w:t>
                  </w:r>
                </w:p>
              </w:tc>
              <w:tc>
                <w:tcPr>
                  <w:tcW w:w="549" w:type="pct"/>
                  <w:vAlign w:val="center"/>
                </w:tcPr>
                <w:p w14:paraId="4D8047E0">
                  <w:pPr>
                    <w:widowControl/>
                    <w:wordWrap w:val="0"/>
                    <w:adjustRightInd w:val="0"/>
                    <w:snapToGrid w:val="0"/>
                    <w:rPr>
                      <w:color w:val="000000"/>
                      <w:kern w:val="0"/>
                      <w:szCs w:val="21"/>
                    </w:rPr>
                  </w:pPr>
                  <w:r>
                    <w:rPr>
                      <w:rFonts w:hint="eastAsia"/>
                      <w:color w:val="000000"/>
                      <w:kern w:val="0"/>
                      <w:szCs w:val="21"/>
                    </w:rPr>
                    <w:t>4.9</w:t>
                  </w:r>
                </w:p>
              </w:tc>
            </w:tr>
            <w:tr w14:paraId="0E7827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02" w:type="pct"/>
                  <w:vMerge w:val="restart"/>
                  <w:vAlign w:val="center"/>
                </w:tcPr>
                <w:p w14:paraId="709DB433">
                  <w:pPr>
                    <w:wordWrap w:val="0"/>
                    <w:adjustRightInd w:val="0"/>
                    <w:snapToGrid w:val="0"/>
                    <w:rPr>
                      <w:color w:val="000000"/>
                      <w:szCs w:val="21"/>
                    </w:rPr>
                  </w:pPr>
                  <w:r>
                    <w:rPr>
                      <w:rFonts w:hint="eastAsia"/>
                      <w:color w:val="000000"/>
                      <w:szCs w:val="21"/>
                    </w:rPr>
                    <w:t>油品卸车点</w:t>
                  </w:r>
                </w:p>
              </w:tc>
              <w:tc>
                <w:tcPr>
                  <w:tcW w:w="510" w:type="pct"/>
                  <w:vAlign w:val="center"/>
                </w:tcPr>
                <w:p w14:paraId="3D802775">
                  <w:pPr>
                    <w:wordWrap w:val="0"/>
                    <w:adjustRightInd w:val="0"/>
                    <w:snapToGrid w:val="0"/>
                    <w:rPr>
                      <w:color w:val="000000"/>
                      <w:szCs w:val="21"/>
                    </w:rPr>
                  </w:pPr>
                  <w:r>
                    <w:rPr>
                      <w:color w:val="000000"/>
                      <w:szCs w:val="21"/>
                    </w:rPr>
                    <w:t>规范</w:t>
                  </w:r>
                </w:p>
              </w:tc>
              <w:tc>
                <w:tcPr>
                  <w:tcW w:w="508" w:type="pct"/>
                  <w:vAlign w:val="center"/>
                </w:tcPr>
                <w:p w14:paraId="255D2374">
                  <w:pPr>
                    <w:wordWrap w:val="0"/>
                    <w:adjustRightInd w:val="0"/>
                    <w:snapToGrid w:val="0"/>
                    <w:rPr>
                      <w:color w:val="000000"/>
                      <w:szCs w:val="21"/>
                    </w:rPr>
                  </w:pPr>
                  <w:r>
                    <w:rPr>
                      <w:rFonts w:hint="eastAsia"/>
                      <w:color w:val="000000"/>
                      <w:kern w:val="0"/>
                      <w:szCs w:val="21"/>
                    </w:rPr>
                    <w:t>—</w:t>
                  </w:r>
                </w:p>
              </w:tc>
              <w:tc>
                <w:tcPr>
                  <w:tcW w:w="509" w:type="pct"/>
                  <w:vAlign w:val="center"/>
                </w:tcPr>
                <w:p w14:paraId="7369CA0C">
                  <w:pPr>
                    <w:wordWrap w:val="0"/>
                    <w:adjustRightInd w:val="0"/>
                    <w:snapToGrid w:val="0"/>
                    <w:rPr>
                      <w:color w:val="000000"/>
                      <w:szCs w:val="21"/>
                    </w:rPr>
                  </w:pPr>
                  <w:r>
                    <w:rPr>
                      <w:rFonts w:hint="eastAsia"/>
                      <w:color w:val="000000"/>
                      <w:kern w:val="0"/>
                      <w:szCs w:val="21"/>
                    </w:rPr>
                    <w:t>—</w:t>
                  </w:r>
                </w:p>
              </w:tc>
              <w:tc>
                <w:tcPr>
                  <w:tcW w:w="507" w:type="pct"/>
                  <w:vAlign w:val="center"/>
                </w:tcPr>
                <w:p w14:paraId="44552F29">
                  <w:pPr>
                    <w:wordWrap w:val="0"/>
                    <w:adjustRightInd w:val="0"/>
                    <w:snapToGrid w:val="0"/>
                    <w:rPr>
                      <w:color w:val="000000"/>
                      <w:szCs w:val="21"/>
                    </w:rPr>
                  </w:pPr>
                  <w:r>
                    <w:rPr>
                      <w:rFonts w:hint="eastAsia"/>
                      <w:color w:val="000000"/>
                      <w:szCs w:val="21"/>
                    </w:rPr>
                    <w:t>5</w:t>
                  </w:r>
                </w:p>
              </w:tc>
              <w:tc>
                <w:tcPr>
                  <w:tcW w:w="594" w:type="pct"/>
                  <w:vAlign w:val="center"/>
                </w:tcPr>
                <w:p w14:paraId="14345BDA">
                  <w:pPr>
                    <w:wordWrap w:val="0"/>
                    <w:adjustRightInd w:val="0"/>
                    <w:snapToGrid w:val="0"/>
                    <w:rPr>
                      <w:color w:val="000000"/>
                      <w:szCs w:val="21"/>
                    </w:rPr>
                  </w:pPr>
                  <w:r>
                    <w:rPr>
                      <w:rFonts w:hint="eastAsia"/>
                      <w:color w:val="000000"/>
                      <w:kern w:val="0"/>
                      <w:szCs w:val="21"/>
                    </w:rPr>
                    <w:t>—</w:t>
                  </w:r>
                </w:p>
              </w:tc>
              <w:tc>
                <w:tcPr>
                  <w:tcW w:w="594" w:type="pct"/>
                  <w:vAlign w:val="center"/>
                </w:tcPr>
                <w:p w14:paraId="1DC43DB6">
                  <w:pPr>
                    <w:wordWrap w:val="0"/>
                    <w:adjustRightInd w:val="0"/>
                    <w:snapToGrid w:val="0"/>
                    <w:rPr>
                      <w:color w:val="000000"/>
                      <w:szCs w:val="21"/>
                    </w:rPr>
                  </w:pPr>
                  <w:r>
                    <w:rPr>
                      <w:rFonts w:hint="eastAsia"/>
                      <w:color w:val="000000"/>
                      <w:szCs w:val="21"/>
                    </w:rPr>
                    <w:t>4.5</w:t>
                  </w:r>
                </w:p>
              </w:tc>
              <w:tc>
                <w:tcPr>
                  <w:tcW w:w="424" w:type="pct"/>
                  <w:vAlign w:val="center"/>
                </w:tcPr>
                <w:p w14:paraId="777A2138">
                  <w:pPr>
                    <w:wordWrap w:val="0"/>
                    <w:adjustRightInd w:val="0"/>
                    <w:snapToGrid w:val="0"/>
                    <w:rPr>
                      <w:color w:val="000000"/>
                      <w:kern w:val="0"/>
                      <w:szCs w:val="21"/>
                    </w:rPr>
                  </w:pPr>
                  <w:r>
                    <w:rPr>
                      <w:rFonts w:hint="eastAsia"/>
                      <w:color w:val="000000"/>
                      <w:kern w:val="0"/>
                      <w:szCs w:val="21"/>
                    </w:rPr>
                    <w:t>4.5</w:t>
                  </w:r>
                </w:p>
              </w:tc>
              <w:tc>
                <w:tcPr>
                  <w:tcW w:w="549" w:type="pct"/>
                  <w:vAlign w:val="center"/>
                </w:tcPr>
                <w:p w14:paraId="439BB7C9">
                  <w:pPr>
                    <w:wordWrap w:val="0"/>
                    <w:adjustRightInd w:val="0"/>
                    <w:snapToGrid w:val="0"/>
                    <w:rPr>
                      <w:color w:val="000000"/>
                      <w:szCs w:val="21"/>
                    </w:rPr>
                  </w:pPr>
                  <w:r>
                    <w:rPr>
                      <w:rFonts w:hint="eastAsia"/>
                      <w:color w:val="000000"/>
                      <w:kern w:val="0"/>
                      <w:szCs w:val="21"/>
                    </w:rPr>
                    <w:t>—</w:t>
                  </w:r>
                </w:p>
              </w:tc>
            </w:tr>
            <w:tr w14:paraId="0029DD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02" w:type="pct"/>
                  <w:vMerge w:val="continue"/>
                  <w:vAlign w:val="center"/>
                </w:tcPr>
                <w:p w14:paraId="54940237">
                  <w:pPr>
                    <w:wordWrap w:val="0"/>
                    <w:adjustRightInd w:val="0"/>
                    <w:snapToGrid w:val="0"/>
                    <w:rPr>
                      <w:color w:val="000000"/>
                      <w:szCs w:val="21"/>
                    </w:rPr>
                  </w:pPr>
                </w:p>
              </w:tc>
              <w:tc>
                <w:tcPr>
                  <w:tcW w:w="510" w:type="pct"/>
                  <w:vAlign w:val="center"/>
                </w:tcPr>
                <w:p w14:paraId="528E1AF3">
                  <w:pPr>
                    <w:wordWrap w:val="0"/>
                    <w:adjustRightInd w:val="0"/>
                    <w:snapToGrid w:val="0"/>
                    <w:rPr>
                      <w:color w:val="000000"/>
                      <w:szCs w:val="21"/>
                    </w:rPr>
                  </w:pPr>
                  <w:r>
                    <w:rPr>
                      <w:color w:val="000000"/>
                      <w:szCs w:val="21"/>
                    </w:rPr>
                    <w:t>设计</w:t>
                  </w:r>
                </w:p>
              </w:tc>
              <w:tc>
                <w:tcPr>
                  <w:tcW w:w="508" w:type="pct"/>
                  <w:vAlign w:val="center"/>
                </w:tcPr>
                <w:p w14:paraId="5037AAFB">
                  <w:pPr>
                    <w:wordWrap w:val="0"/>
                    <w:adjustRightInd w:val="0"/>
                    <w:snapToGrid w:val="0"/>
                    <w:rPr>
                      <w:color w:val="000000"/>
                      <w:szCs w:val="21"/>
                    </w:rPr>
                  </w:pPr>
                  <w:r>
                    <w:rPr>
                      <w:rFonts w:hint="eastAsia"/>
                      <w:color w:val="000000"/>
                      <w:kern w:val="0"/>
                      <w:szCs w:val="21"/>
                    </w:rPr>
                    <w:t>—</w:t>
                  </w:r>
                </w:p>
              </w:tc>
              <w:tc>
                <w:tcPr>
                  <w:tcW w:w="509" w:type="pct"/>
                  <w:vAlign w:val="center"/>
                </w:tcPr>
                <w:p w14:paraId="209F799E">
                  <w:pPr>
                    <w:wordWrap w:val="0"/>
                    <w:adjustRightInd w:val="0"/>
                    <w:snapToGrid w:val="0"/>
                    <w:rPr>
                      <w:color w:val="000000"/>
                      <w:szCs w:val="21"/>
                    </w:rPr>
                  </w:pPr>
                  <w:r>
                    <w:rPr>
                      <w:rFonts w:hint="eastAsia"/>
                      <w:color w:val="000000"/>
                      <w:kern w:val="0"/>
                      <w:szCs w:val="21"/>
                    </w:rPr>
                    <w:t>—</w:t>
                  </w:r>
                </w:p>
              </w:tc>
              <w:tc>
                <w:tcPr>
                  <w:tcW w:w="507" w:type="pct"/>
                  <w:vAlign w:val="center"/>
                </w:tcPr>
                <w:p w14:paraId="47DC695E">
                  <w:pPr>
                    <w:wordWrap w:val="0"/>
                    <w:adjustRightInd w:val="0"/>
                    <w:snapToGrid w:val="0"/>
                    <w:rPr>
                      <w:color w:val="000000"/>
                      <w:szCs w:val="21"/>
                    </w:rPr>
                  </w:pPr>
                  <w:r>
                    <w:rPr>
                      <w:rFonts w:hint="eastAsia"/>
                      <w:color w:val="000000"/>
                      <w:szCs w:val="21"/>
                    </w:rPr>
                    <w:t>5.1</w:t>
                  </w:r>
                </w:p>
              </w:tc>
              <w:tc>
                <w:tcPr>
                  <w:tcW w:w="594" w:type="pct"/>
                  <w:vAlign w:val="center"/>
                </w:tcPr>
                <w:p w14:paraId="5B68D5F8">
                  <w:pPr>
                    <w:wordWrap w:val="0"/>
                    <w:adjustRightInd w:val="0"/>
                    <w:snapToGrid w:val="0"/>
                    <w:rPr>
                      <w:color w:val="000000"/>
                      <w:szCs w:val="21"/>
                    </w:rPr>
                  </w:pPr>
                  <w:r>
                    <w:rPr>
                      <w:rFonts w:hint="eastAsia"/>
                      <w:color w:val="000000"/>
                      <w:kern w:val="0"/>
                      <w:szCs w:val="21"/>
                    </w:rPr>
                    <w:t>—</w:t>
                  </w:r>
                </w:p>
              </w:tc>
              <w:tc>
                <w:tcPr>
                  <w:tcW w:w="594" w:type="pct"/>
                  <w:vAlign w:val="center"/>
                </w:tcPr>
                <w:p w14:paraId="0679B54F">
                  <w:pPr>
                    <w:wordWrap w:val="0"/>
                    <w:adjustRightInd w:val="0"/>
                    <w:snapToGrid w:val="0"/>
                    <w:rPr>
                      <w:color w:val="000000"/>
                      <w:szCs w:val="21"/>
                    </w:rPr>
                  </w:pPr>
                  <w:r>
                    <w:rPr>
                      <w:rFonts w:hint="eastAsia"/>
                      <w:color w:val="000000"/>
                      <w:szCs w:val="21"/>
                    </w:rPr>
                    <w:t>19.1</w:t>
                  </w:r>
                </w:p>
              </w:tc>
              <w:tc>
                <w:tcPr>
                  <w:tcW w:w="424" w:type="pct"/>
                  <w:vAlign w:val="center"/>
                </w:tcPr>
                <w:p w14:paraId="6F41D4FE">
                  <w:pPr>
                    <w:wordWrap w:val="0"/>
                    <w:adjustRightInd w:val="0"/>
                    <w:snapToGrid w:val="0"/>
                    <w:rPr>
                      <w:rFonts w:hint="eastAsia"/>
                      <w:color w:val="000000"/>
                      <w:szCs w:val="21"/>
                    </w:rPr>
                  </w:pPr>
                  <w:r>
                    <w:rPr>
                      <w:rFonts w:hint="eastAsia"/>
                      <w:color w:val="000000"/>
                      <w:szCs w:val="21"/>
                    </w:rPr>
                    <w:t>49.1</w:t>
                  </w:r>
                </w:p>
              </w:tc>
              <w:tc>
                <w:tcPr>
                  <w:tcW w:w="549" w:type="pct"/>
                  <w:vAlign w:val="center"/>
                </w:tcPr>
                <w:p w14:paraId="648C45D8">
                  <w:pPr>
                    <w:wordWrap w:val="0"/>
                    <w:adjustRightInd w:val="0"/>
                    <w:snapToGrid w:val="0"/>
                    <w:rPr>
                      <w:color w:val="000000"/>
                      <w:szCs w:val="21"/>
                    </w:rPr>
                  </w:pPr>
                  <w:r>
                    <w:rPr>
                      <w:rFonts w:hint="eastAsia"/>
                      <w:color w:val="000000"/>
                      <w:kern w:val="0"/>
                      <w:szCs w:val="21"/>
                    </w:rPr>
                    <w:t>—</w:t>
                  </w:r>
                </w:p>
              </w:tc>
            </w:tr>
            <w:tr w14:paraId="515F86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02" w:type="pct"/>
                  <w:vMerge w:val="restart"/>
                  <w:vAlign w:val="center"/>
                </w:tcPr>
                <w:p w14:paraId="5DAA1C13">
                  <w:pPr>
                    <w:wordWrap w:val="0"/>
                    <w:adjustRightInd w:val="0"/>
                    <w:snapToGrid w:val="0"/>
                    <w:rPr>
                      <w:color w:val="000000"/>
                      <w:szCs w:val="21"/>
                    </w:rPr>
                  </w:pPr>
                  <w:r>
                    <w:rPr>
                      <w:color w:val="000000"/>
                      <w:szCs w:val="21"/>
                    </w:rPr>
                    <w:t>加油机</w:t>
                  </w:r>
                </w:p>
              </w:tc>
              <w:tc>
                <w:tcPr>
                  <w:tcW w:w="510" w:type="pct"/>
                  <w:vAlign w:val="center"/>
                </w:tcPr>
                <w:p w14:paraId="06DD786E">
                  <w:pPr>
                    <w:wordWrap w:val="0"/>
                    <w:adjustRightInd w:val="0"/>
                    <w:snapToGrid w:val="0"/>
                    <w:rPr>
                      <w:color w:val="000000"/>
                      <w:szCs w:val="21"/>
                    </w:rPr>
                  </w:pPr>
                  <w:r>
                    <w:rPr>
                      <w:color w:val="000000"/>
                      <w:szCs w:val="21"/>
                    </w:rPr>
                    <w:t>规范</w:t>
                  </w:r>
                </w:p>
              </w:tc>
              <w:tc>
                <w:tcPr>
                  <w:tcW w:w="508" w:type="pct"/>
                  <w:vAlign w:val="center"/>
                </w:tcPr>
                <w:p w14:paraId="1BA814D5">
                  <w:pPr>
                    <w:wordWrap w:val="0"/>
                    <w:adjustRightInd w:val="0"/>
                    <w:snapToGrid w:val="0"/>
                    <w:rPr>
                      <w:color w:val="000000"/>
                      <w:kern w:val="0"/>
                      <w:szCs w:val="21"/>
                    </w:rPr>
                  </w:pPr>
                  <w:r>
                    <w:rPr>
                      <w:rFonts w:hint="eastAsia"/>
                      <w:color w:val="000000"/>
                      <w:kern w:val="0"/>
                      <w:szCs w:val="21"/>
                    </w:rPr>
                    <w:t>—</w:t>
                  </w:r>
                </w:p>
              </w:tc>
              <w:tc>
                <w:tcPr>
                  <w:tcW w:w="509" w:type="pct"/>
                  <w:vAlign w:val="center"/>
                </w:tcPr>
                <w:p w14:paraId="7F8BEC3C">
                  <w:pPr>
                    <w:wordWrap w:val="0"/>
                    <w:adjustRightInd w:val="0"/>
                    <w:snapToGrid w:val="0"/>
                    <w:rPr>
                      <w:color w:val="000000"/>
                      <w:kern w:val="0"/>
                      <w:szCs w:val="21"/>
                    </w:rPr>
                  </w:pPr>
                  <w:r>
                    <w:rPr>
                      <w:rFonts w:hint="eastAsia"/>
                      <w:color w:val="000000"/>
                      <w:kern w:val="0"/>
                      <w:szCs w:val="21"/>
                    </w:rPr>
                    <w:t>—</w:t>
                  </w:r>
                </w:p>
              </w:tc>
              <w:tc>
                <w:tcPr>
                  <w:tcW w:w="507" w:type="pct"/>
                  <w:vAlign w:val="center"/>
                </w:tcPr>
                <w:p w14:paraId="714841A0">
                  <w:pPr>
                    <w:wordWrap w:val="0"/>
                    <w:adjustRightInd w:val="0"/>
                    <w:snapToGrid w:val="0"/>
                    <w:rPr>
                      <w:color w:val="000000"/>
                      <w:kern w:val="0"/>
                      <w:szCs w:val="21"/>
                    </w:rPr>
                  </w:pPr>
                  <w:r>
                    <w:rPr>
                      <w:rFonts w:hint="eastAsia"/>
                      <w:color w:val="000000"/>
                      <w:kern w:val="0"/>
                      <w:szCs w:val="21"/>
                    </w:rPr>
                    <w:t>5</w:t>
                  </w:r>
                </w:p>
              </w:tc>
              <w:tc>
                <w:tcPr>
                  <w:tcW w:w="594" w:type="pct"/>
                  <w:vAlign w:val="center"/>
                </w:tcPr>
                <w:p w14:paraId="286CC1CF">
                  <w:pPr>
                    <w:wordWrap w:val="0"/>
                    <w:adjustRightInd w:val="0"/>
                    <w:snapToGrid w:val="0"/>
                    <w:rPr>
                      <w:color w:val="000000"/>
                      <w:kern w:val="0"/>
                      <w:szCs w:val="21"/>
                    </w:rPr>
                  </w:pPr>
                  <w:r>
                    <w:rPr>
                      <w:rFonts w:hint="eastAsia"/>
                      <w:color w:val="000000"/>
                      <w:kern w:val="0"/>
                      <w:szCs w:val="21"/>
                    </w:rPr>
                    <w:t>—</w:t>
                  </w:r>
                </w:p>
              </w:tc>
              <w:tc>
                <w:tcPr>
                  <w:tcW w:w="594" w:type="pct"/>
                  <w:vAlign w:val="center"/>
                </w:tcPr>
                <w:p w14:paraId="5946992A">
                  <w:pPr>
                    <w:wordWrap w:val="0"/>
                    <w:adjustRightInd w:val="0"/>
                    <w:snapToGrid w:val="0"/>
                    <w:rPr>
                      <w:color w:val="000000"/>
                      <w:szCs w:val="21"/>
                    </w:rPr>
                  </w:pPr>
                  <w:r>
                    <w:rPr>
                      <w:rFonts w:hint="eastAsia"/>
                      <w:color w:val="000000"/>
                      <w:szCs w:val="21"/>
                    </w:rPr>
                    <w:t>6</w:t>
                  </w:r>
                </w:p>
              </w:tc>
              <w:tc>
                <w:tcPr>
                  <w:tcW w:w="424" w:type="pct"/>
                  <w:vAlign w:val="center"/>
                </w:tcPr>
                <w:p w14:paraId="054941A0">
                  <w:pPr>
                    <w:wordWrap w:val="0"/>
                    <w:adjustRightInd w:val="0"/>
                    <w:snapToGrid w:val="0"/>
                    <w:rPr>
                      <w:color w:val="000000"/>
                      <w:kern w:val="0"/>
                      <w:szCs w:val="21"/>
                    </w:rPr>
                  </w:pPr>
                  <w:r>
                    <w:rPr>
                      <w:rFonts w:hint="eastAsia"/>
                      <w:color w:val="000000"/>
                      <w:kern w:val="0"/>
                      <w:szCs w:val="21"/>
                    </w:rPr>
                    <w:t>6/3</w:t>
                  </w:r>
                </w:p>
              </w:tc>
              <w:tc>
                <w:tcPr>
                  <w:tcW w:w="549" w:type="pct"/>
                  <w:vAlign w:val="center"/>
                </w:tcPr>
                <w:p w14:paraId="3F62D2DB">
                  <w:pPr>
                    <w:wordWrap w:val="0"/>
                    <w:adjustRightInd w:val="0"/>
                    <w:snapToGrid w:val="0"/>
                    <w:rPr>
                      <w:color w:val="000000"/>
                      <w:szCs w:val="21"/>
                    </w:rPr>
                  </w:pPr>
                  <w:r>
                    <w:rPr>
                      <w:rFonts w:hint="eastAsia"/>
                      <w:color w:val="000000"/>
                      <w:kern w:val="0"/>
                      <w:szCs w:val="21"/>
                    </w:rPr>
                    <w:t>—</w:t>
                  </w:r>
                </w:p>
              </w:tc>
            </w:tr>
            <w:tr w14:paraId="246754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02" w:type="pct"/>
                  <w:vMerge w:val="continue"/>
                  <w:vAlign w:val="center"/>
                </w:tcPr>
                <w:p w14:paraId="2B3044BF">
                  <w:pPr>
                    <w:wordWrap w:val="0"/>
                    <w:adjustRightInd w:val="0"/>
                    <w:snapToGrid w:val="0"/>
                    <w:rPr>
                      <w:color w:val="000000"/>
                      <w:szCs w:val="21"/>
                    </w:rPr>
                  </w:pPr>
                </w:p>
              </w:tc>
              <w:tc>
                <w:tcPr>
                  <w:tcW w:w="510" w:type="pct"/>
                  <w:vAlign w:val="center"/>
                </w:tcPr>
                <w:p w14:paraId="280C3C73">
                  <w:pPr>
                    <w:wordWrap w:val="0"/>
                    <w:adjustRightInd w:val="0"/>
                    <w:snapToGrid w:val="0"/>
                    <w:rPr>
                      <w:color w:val="000000"/>
                      <w:szCs w:val="21"/>
                    </w:rPr>
                  </w:pPr>
                  <w:r>
                    <w:rPr>
                      <w:color w:val="000000"/>
                      <w:szCs w:val="21"/>
                    </w:rPr>
                    <w:t>设计</w:t>
                  </w:r>
                </w:p>
              </w:tc>
              <w:tc>
                <w:tcPr>
                  <w:tcW w:w="508" w:type="pct"/>
                  <w:vAlign w:val="center"/>
                </w:tcPr>
                <w:p w14:paraId="7C03D6D5">
                  <w:pPr>
                    <w:wordWrap w:val="0"/>
                    <w:adjustRightInd w:val="0"/>
                    <w:snapToGrid w:val="0"/>
                    <w:rPr>
                      <w:color w:val="000000"/>
                      <w:kern w:val="0"/>
                      <w:szCs w:val="21"/>
                    </w:rPr>
                  </w:pPr>
                  <w:r>
                    <w:rPr>
                      <w:rFonts w:hint="eastAsia"/>
                      <w:color w:val="000000"/>
                      <w:kern w:val="0"/>
                      <w:szCs w:val="21"/>
                    </w:rPr>
                    <w:t>—</w:t>
                  </w:r>
                </w:p>
              </w:tc>
              <w:tc>
                <w:tcPr>
                  <w:tcW w:w="509" w:type="pct"/>
                  <w:vAlign w:val="center"/>
                </w:tcPr>
                <w:p w14:paraId="74335F8B">
                  <w:pPr>
                    <w:wordWrap w:val="0"/>
                    <w:adjustRightInd w:val="0"/>
                    <w:snapToGrid w:val="0"/>
                    <w:rPr>
                      <w:color w:val="000000"/>
                      <w:kern w:val="0"/>
                      <w:szCs w:val="21"/>
                    </w:rPr>
                  </w:pPr>
                  <w:r>
                    <w:rPr>
                      <w:rFonts w:hint="eastAsia"/>
                      <w:color w:val="000000"/>
                      <w:kern w:val="0"/>
                      <w:szCs w:val="21"/>
                    </w:rPr>
                    <w:t>—</w:t>
                  </w:r>
                </w:p>
              </w:tc>
              <w:tc>
                <w:tcPr>
                  <w:tcW w:w="507" w:type="pct"/>
                  <w:vAlign w:val="center"/>
                </w:tcPr>
                <w:p w14:paraId="130B3AE6">
                  <w:pPr>
                    <w:wordWrap w:val="0"/>
                    <w:adjustRightInd w:val="0"/>
                    <w:snapToGrid w:val="0"/>
                    <w:rPr>
                      <w:color w:val="000000"/>
                      <w:kern w:val="0"/>
                      <w:szCs w:val="21"/>
                    </w:rPr>
                  </w:pPr>
                  <w:r>
                    <w:rPr>
                      <w:rFonts w:hint="eastAsia"/>
                      <w:color w:val="000000"/>
                      <w:kern w:val="0"/>
                      <w:szCs w:val="21"/>
                    </w:rPr>
                    <w:t>7.5</w:t>
                  </w:r>
                </w:p>
              </w:tc>
              <w:tc>
                <w:tcPr>
                  <w:tcW w:w="594" w:type="pct"/>
                  <w:vAlign w:val="center"/>
                </w:tcPr>
                <w:p w14:paraId="0694D4EF">
                  <w:pPr>
                    <w:wordWrap w:val="0"/>
                    <w:adjustRightInd w:val="0"/>
                    <w:snapToGrid w:val="0"/>
                    <w:rPr>
                      <w:color w:val="000000"/>
                      <w:kern w:val="0"/>
                      <w:szCs w:val="21"/>
                    </w:rPr>
                  </w:pPr>
                  <w:r>
                    <w:rPr>
                      <w:rFonts w:hint="eastAsia"/>
                      <w:color w:val="000000"/>
                      <w:kern w:val="0"/>
                      <w:szCs w:val="21"/>
                    </w:rPr>
                    <w:t>—</w:t>
                  </w:r>
                </w:p>
              </w:tc>
              <w:tc>
                <w:tcPr>
                  <w:tcW w:w="594" w:type="pct"/>
                  <w:vAlign w:val="center"/>
                </w:tcPr>
                <w:p w14:paraId="4CA6AB6A">
                  <w:pPr>
                    <w:wordWrap w:val="0"/>
                    <w:adjustRightInd w:val="0"/>
                    <w:snapToGrid w:val="0"/>
                    <w:rPr>
                      <w:color w:val="000000"/>
                      <w:szCs w:val="21"/>
                    </w:rPr>
                  </w:pPr>
                  <w:r>
                    <w:rPr>
                      <w:rFonts w:hint="eastAsia"/>
                      <w:color w:val="000000"/>
                      <w:szCs w:val="21"/>
                    </w:rPr>
                    <w:t>14.6</w:t>
                  </w:r>
                </w:p>
              </w:tc>
              <w:tc>
                <w:tcPr>
                  <w:tcW w:w="424" w:type="pct"/>
                  <w:vAlign w:val="center"/>
                </w:tcPr>
                <w:p w14:paraId="3E77FC5F">
                  <w:pPr>
                    <w:wordWrap w:val="0"/>
                    <w:adjustRightInd w:val="0"/>
                    <w:snapToGrid w:val="0"/>
                    <w:rPr>
                      <w:color w:val="000000"/>
                      <w:kern w:val="0"/>
                      <w:szCs w:val="21"/>
                    </w:rPr>
                  </w:pPr>
                  <w:r>
                    <w:rPr>
                      <w:rFonts w:hint="eastAsia"/>
                      <w:color w:val="000000"/>
                      <w:kern w:val="0"/>
                      <w:szCs w:val="21"/>
                    </w:rPr>
                    <w:t>22.1</w:t>
                  </w:r>
                </w:p>
              </w:tc>
              <w:tc>
                <w:tcPr>
                  <w:tcW w:w="549" w:type="pct"/>
                  <w:vAlign w:val="center"/>
                </w:tcPr>
                <w:p w14:paraId="4FB21FEF">
                  <w:pPr>
                    <w:wordWrap w:val="0"/>
                    <w:adjustRightInd w:val="0"/>
                    <w:snapToGrid w:val="0"/>
                    <w:rPr>
                      <w:color w:val="000000"/>
                      <w:szCs w:val="21"/>
                    </w:rPr>
                  </w:pPr>
                  <w:r>
                    <w:rPr>
                      <w:rFonts w:hint="eastAsia"/>
                      <w:color w:val="000000"/>
                      <w:kern w:val="0"/>
                      <w:szCs w:val="21"/>
                    </w:rPr>
                    <w:t>—</w:t>
                  </w:r>
                </w:p>
              </w:tc>
            </w:tr>
          </w:tbl>
          <w:p w14:paraId="44DACE63">
            <w:pPr>
              <w:pStyle w:val="19"/>
              <w:adjustRightInd w:val="0"/>
              <w:spacing w:after="0" w:line="360" w:lineRule="auto"/>
              <w:ind w:firstLine="480" w:firstLineChars="200"/>
              <w:rPr>
                <w:rFonts w:hint="eastAsia"/>
                <w:sz w:val="24"/>
              </w:rPr>
            </w:pPr>
            <w:r>
              <w:rPr>
                <w:sz w:val="24"/>
              </w:rPr>
              <w:t>拟建项目</w:t>
            </w:r>
            <w:r>
              <w:rPr>
                <w:rFonts w:hint="eastAsia"/>
                <w:bCs/>
                <w:sz w:val="24"/>
              </w:rPr>
              <w:t>平面布置</w:t>
            </w:r>
            <w:r>
              <w:rPr>
                <w:bCs/>
                <w:sz w:val="24"/>
              </w:rPr>
              <w:t>满足</w:t>
            </w:r>
            <w:r>
              <w:rPr>
                <w:rFonts w:hint="eastAsia"/>
                <w:sz w:val="24"/>
              </w:rPr>
              <w:t>《汽车加油加气加氢站技术标准》（GB50156-2021）</w:t>
            </w:r>
            <w:r>
              <w:rPr>
                <w:bCs/>
                <w:sz w:val="24"/>
              </w:rPr>
              <w:t>中</w:t>
            </w:r>
            <w:r>
              <w:rPr>
                <w:rFonts w:hint="eastAsia"/>
                <w:bCs/>
                <w:sz w:val="24"/>
              </w:rPr>
              <w:t>三</w:t>
            </w:r>
            <w:r>
              <w:rPr>
                <w:bCs/>
                <w:sz w:val="24"/>
              </w:rPr>
              <w:t>级加油站工艺设施与站外建（构）筑物之间安全距离的要求，同时站内设施的防火间距设计满足</w:t>
            </w:r>
            <w:r>
              <w:rPr>
                <w:sz w:val="24"/>
              </w:rPr>
              <w:t>《建筑设计防火规范》（GB50016-2014）</w:t>
            </w:r>
            <w:r>
              <w:rPr>
                <w:bCs/>
                <w:sz w:val="24"/>
              </w:rPr>
              <w:t>相关要求。</w:t>
            </w:r>
          </w:p>
          <w:p w14:paraId="4D9BD8CB">
            <w:pPr>
              <w:pStyle w:val="19"/>
              <w:adjustRightInd w:val="0"/>
              <w:spacing w:after="0" w:line="360" w:lineRule="auto"/>
              <w:ind w:firstLine="480" w:firstLineChars="200"/>
              <w:rPr>
                <w:rFonts w:hint="eastAsia"/>
                <w:sz w:val="24"/>
              </w:rPr>
            </w:pPr>
            <w:r>
              <w:rPr>
                <w:rFonts w:hint="eastAsia"/>
                <w:sz w:val="24"/>
              </w:rPr>
              <w:t>同时建设单位已于2022年3月24日取得了重庆市涪陵区应急管理局出具的《危险化学品建设项目安全设施设计审查意见书》（涪应急危化项目安设审字[2022]2号），同意该新建工程项目安全设施设计，可按照该新建工程项目安全设施设计进行施工。</w:t>
            </w:r>
          </w:p>
          <w:p w14:paraId="7ABD1E9F">
            <w:pPr>
              <w:pStyle w:val="19"/>
              <w:adjustRightInd w:val="0"/>
              <w:spacing w:after="0" w:line="360" w:lineRule="auto"/>
              <w:ind w:firstLine="480" w:firstLineChars="200"/>
              <w:rPr>
                <w:rFonts w:hint="eastAsia"/>
                <w:sz w:val="24"/>
              </w:rPr>
            </w:pPr>
            <w:r>
              <w:rPr>
                <w:rFonts w:hint="eastAsia"/>
                <w:sz w:val="24"/>
              </w:rPr>
              <w:t>因此本项目采用的汽、柴油设备与周边构筑物的安全距离及本项目的安全条件均符合相关要求。</w:t>
            </w:r>
          </w:p>
          <w:p w14:paraId="60898245">
            <w:pPr>
              <w:pStyle w:val="19"/>
              <w:adjustRightInd w:val="0"/>
              <w:spacing w:after="0" w:line="360" w:lineRule="auto"/>
              <w:ind w:firstLine="480" w:firstLineChars="200"/>
              <w:rPr>
                <w:rFonts w:hint="eastAsia"/>
                <w:sz w:val="24"/>
              </w:rPr>
            </w:pPr>
          </w:p>
          <w:p w14:paraId="65DE136E">
            <w:pPr>
              <w:pStyle w:val="19"/>
              <w:adjustRightInd w:val="0"/>
              <w:spacing w:after="0" w:line="360" w:lineRule="auto"/>
              <w:ind w:firstLine="480" w:firstLineChars="200"/>
              <w:rPr>
                <w:rFonts w:hint="eastAsia"/>
                <w:sz w:val="24"/>
              </w:rPr>
            </w:pPr>
          </w:p>
          <w:p w14:paraId="720C3410">
            <w:pPr>
              <w:pStyle w:val="19"/>
              <w:adjustRightInd w:val="0"/>
              <w:spacing w:after="0" w:line="360" w:lineRule="auto"/>
              <w:rPr>
                <w:rFonts w:hint="eastAsia"/>
                <w:sz w:val="24"/>
              </w:rPr>
            </w:pPr>
          </w:p>
          <w:p w14:paraId="4E0876DB">
            <w:pPr>
              <w:pStyle w:val="19"/>
              <w:adjustRightInd w:val="0"/>
              <w:spacing w:after="0" w:line="360" w:lineRule="auto"/>
              <w:rPr>
                <w:rFonts w:hint="eastAsia"/>
                <w:sz w:val="24"/>
              </w:rPr>
            </w:pPr>
          </w:p>
          <w:p w14:paraId="43801759">
            <w:pPr>
              <w:pStyle w:val="19"/>
              <w:adjustRightInd w:val="0"/>
              <w:spacing w:after="0" w:line="360" w:lineRule="auto"/>
              <w:rPr>
                <w:rFonts w:hint="eastAsia"/>
                <w:sz w:val="24"/>
              </w:rPr>
            </w:pPr>
          </w:p>
          <w:p w14:paraId="0B349332">
            <w:pPr>
              <w:pStyle w:val="19"/>
              <w:adjustRightInd w:val="0"/>
              <w:spacing w:after="0" w:line="360" w:lineRule="auto"/>
              <w:rPr>
                <w:rFonts w:hint="eastAsia"/>
                <w:sz w:val="24"/>
              </w:rPr>
            </w:pPr>
          </w:p>
          <w:p w14:paraId="57DF345F">
            <w:pPr>
              <w:pStyle w:val="19"/>
              <w:adjustRightInd w:val="0"/>
              <w:spacing w:after="0" w:line="360" w:lineRule="auto"/>
              <w:rPr>
                <w:rFonts w:hint="eastAsia"/>
                <w:sz w:val="24"/>
              </w:rPr>
            </w:pPr>
          </w:p>
          <w:p w14:paraId="02F3A859">
            <w:pPr>
              <w:pStyle w:val="19"/>
              <w:adjustRightInd w:val="0"/>
              <w:spacing w:after="0" w:line="360" w:lineRule="auto"/>
              <w:rPr>
                <w:rFonts w:hint="eastAsia"/>
                <w:sz w:val="24"/>
              </w:rPr>
            </w:pPr>
          </w:p>
          <w:p w14:paraId="0A31B334">
            <w:pPr>
              <w:pStyle w:val="19"/>
              <w:adjustRightInd w:val="0"/>
              <w:spacing w:after="0" w:line="360" w:lineRule="auto"/>
              <w:rPr>
                <w:rFonts w:hint="eastAsia"/>
                <w:sz w:val="24"/>
              </w:rPr>
            </w:pPr>
          </w:p>
          <w:p w14:paraId="11C626E7">
            <w:pPr>
              <w:pStyle w:val="19"/>
              <w:adjustRightInd w:val="0"/>
              <w:spacing w:after="0" w:line="360" w:lineRule="auto"/>
              <w:rPr>
                <w:rFonts w:hint="eastAsia"/>
                <w:sz w:val="24"/>
              </w:rPr>
            </w:pPr>
          </w:p>
          <w:p w14:paraId="6E93D578">
            <w:pPr>
              <w:pStyle w:val="19"/>
              <w:adjustRightInd w:val="0"/>
              <w:spacing w:after="0" w:line="360" w:lineRule="auto"/>
              <w:rPr>
                <w:rFonts w:hint="eastAsia"/>
                <w:sz w:val="24"/>
              </w:rPr>
            </w:pPr>
          </w:p>
          <w:p w14:paraId="6501361C">
            <w:pPr>
              <w:pStyle w:val="19"/>
              <w:adjustRightInd w:val="0"/>
              <w:spacing w:after="0" w:line="360" w:lineRule="auto"/>
              <w:rPr>
                <w:rFonts w:hint="eastAsia"/>
                <w:sz w:val="24"/>
              </w:rPr>
            </w:pPr>
          </w:p>
          <w:p w14:paraId="3B58F06B">
            <w:pPr>
              <w:pStyle w:val="19"/>
              <w:adjustRightInd w:val="0"/>
              <w:spacing w:after="0" w:line="360" w:lineRule="auto"/>
              <w:rPr>
                <w:rFonts w:hint="eastAsia"/>
                <w:sz w:val="24"/>
              </w:rPr>
            </w:pPr>
          </w:p>
          <w:p w14:paraId="6F45149A">
            <w:pPr>
              <w:pStyle w:val="19"/>
              <w:adjustRightInd w:val="0"/>
              <w:spacing w:after="0" w:line="360" w:lineRule="auto"/>
              <w:rPr>
                <w:rFonts w:hint="eastAsia"/>
                <w:sz w:val="24"/>
              </w:rPr>
            </w:pPr>
          </w:p>
          <w:p w14:paraId="7AA75E90">
            <w:pPr>
              <w:pStyle w:val="19"/>
              <w:adjustRightInd w:val="0"/>
              <w:spacing w:after="0" w:line="360" w:lineRule="auto"/>
              <w:rPr>
                <w:rFonts w:hint="eastAsia"/>
                <w:sz w:val="24"/>
              </w:rPr>
            </w:pPr>
          </w:p>
          <w:p w14:paraId="2A544105">
            <w:pPr>
              <w:pStyle w:val="19"/>
              <w:adjustRightInd w:val="0"/>
              <w:spacing w:after="0" w:line="360" w:lineRule="auto"/>
              <w:rPr>
                <w:rFonts w:hint="eastAsia"/>
                <w:sz w:val="24"/>
              </w:rPr>
            </w:pPr>
          </w:p>
          <w:p w14:paraId="31C01140">
            <w:pPr>
              <w:pStyle w:val="19"/>
              <w:adjustRightInd w:val="0"/>
              <w:spacing w:after="0" w:line="360" w:lineRule="auto"/>
              <w:rPr>
                <w:rFonts w:hint="eastAsia"/>
                <w:sz w:val="24"/>
              </w:rPr>
            </w:pPr>
          </w:p>
          <w:p w14:paraId="1DDC5623">
            <w:pPr>
              <w:pStyle w:val="19"/>
              <w:adjustRightInd w:val="0"/>
              <w:spacing w:after="0" w:line="360" w:lineRule="auto"/>
              <w:rPr>
                <w:rFonts w:hint="eastAsia"/>
                <w:sz w:val="24"/>
              </w:rPr>
            </w:pPr>
          </w:p>
          <w:p w14:paraId="30CA2A28">
            <w:pPr>
              <w:pStyle w:val="19"/>
              <w:adjustRightInd w:val="0"/>
              <w:spacing w:after="0" w:line="360" w:lineRule="auto"/>
              <w:rPr>
                <w:rFonts w:hint="eastAsia"/>
                <w:sz w:val="24"/>
              </w:rPr>
            </w:pPr>
          </w:p>
          <w:p w14:paraId="186D4B31">
            <w:pPr>
              <w:pStyle w:val="19"/>
              <w:adjustRightInd w:val="0"/>
              <w:spacing w:after="0" w:line="360" w:lineRule="auto"/>
              <w:rPr>
                <w:rFonts w:hint="eastAsia"/>
                <w:sz w:val="24"/>
              </w:rPr>
            </w:pPr>
          </w:p>
          <w:p w14:paraId="5EEFCD1C">
            <w:pPr>
              <w:pStyle w:val="19"/>
              <w:adjustRightInd w:val="0"/>
              <w:spacing w:after="0" w:line="360" w:lineRule="auto"/>
              <w:rPr>
                <w:rFonts w:hint="eastAsia"/>
                <w:sz w:val="24"/>
              </w:rPr>
            </w:pPr>
          </w:p>
          <w:p w14:paraId="11B15D08">
            <w:pPr>
              <w:pStyle w:val="19"/>
              <w:adjustRightInd w:val="0"/>
              <w:spacing w:after="0" w:line="360" w:lineRule="auto"/>
              <w:rPr>
                <w:rFonts w:hint="eastAsia"/>
                <w:sz w:val="24"/>
              </w:rPr>
            </w:pPr>
          </w:p>
          <w:p w14:paraId="1AAE2B7A">
            <w:pPr>
              <w:pStyle w:val="19"/>
              <w:adjustRightInd w:val="0"/>
              <w:spacing w:after="0" w:line="360" w:lineRule="auto"/>
              <w:rPr>
                <w:rFonts w:hint="eastAsia"/>
                <w:sz w:val="24"/>
              </w:rPr>
            </w:pPr>
          </w:p>
          <w:p w14:paraId="73DCCFD8">
            <w:pPr>
              <w:pStyle w:val="19"/>
              <w:adjustRightInd w:val="0"/>
              <w:spacing w:after="0" w:line="360" w:lineRule="auto"/>
              <w:rPr>
                <w:rFonts w:hint="eastAsia"/>
                <w:sz w:val="24"/>
              </w:rPr>
            </w:pPr>
          </w:p>
          <w:p w14:paraId="57B2444F">
            <w:pPr>
              <w:pStyle w:val="19"/>
              <w:adjustRightInd w:val="0"/>
              <w:spacing w:after="0" w:line="360" w:lineRule="auto"/>
              <w:rPr>
                <w:rFonts w:hint="eastAsia"/>
                <w:sz w:val="24"/>
              </w:rPr>
            </w:pPr>
          </w:p>
          <w:p w14:paraId="01469B40">
            <w:pPr>
              <w:pStyle w:val="19"/>
              <w:adjustRightInd w:val="0"/>
              <w:spacing w:after="0" w:line="360" w:lineRule="auto"/>
              <w:rPr>
                <w:rFonts w:hint="eastAsia"/>
                <w:sz w:val="24"/>
              </w:rPr>
            </w:pPr>
          </w:p>
          <w:p w14:paraId="3F74524A">
            <w:pPr>
              <w:pStyle w:val="19"/>
              <w:adjustRightInd w:val="0"/>
              <w:spacing w:after="0" w:line="360" w:lineRule="auto"/>
              <w:rPr>
                <w:rFonts w:hint="eastAsia"/>
                <w:sz w:val="24"/>
              </w:rPr>
            </w:pPr>
          </w:p>
          <w:p w14:paraId="6D806BD0">
            <w:pPr>
              <w:pStyle w:val="19"/>
              <w:adjustRightInd w:val="0"/>
              <w:spacing w:after="0" w:line="360" w:lineRule="auto"/>
              <w:rPr>
                <w:rFonts w:hint="eastAsia"/>
                <w:sz w:val="24"/>
              </w:rPr>
            </w:pPr>
          </w:p>
        </w:tc>
      </w:tr>
    </w:tbl>
    <w:p w14:paraId="398371D2">
      <w:pPr>
        <w:spacing w:line="360" w:lineRule="auto"/>
        <w:outlineLvl w:val="0"/>
        <w:rPr>
          <w:rFonts w:eastAsia="黑体"/>
          <w:sz w:val="30"/>
        </w:rPr>
        <w:sectPr>
          <w:footerReference r:id="rId5" w:type="default"/>
          <w:pgSz w:w="11906" w:h="16838"/>
          <w:pgMar w:top="1701" w:right="1531" w:bottom="1701" w:left="1531" w:header="851" w:footer="1077" w:gutter="0"/>
          <w:pgNumType w:start="1"/>
          <w:cols w:space="720" w:num="1"/>
          <w:docGrid w:linePitch="312" w:charSpace="0"/>
        </w:sectPr>
      </w:pPr>
    </w:p>
    <w:p w14:paraId="2B994AE6">
      <w:pPr>
        <w:pStyle w:val="21"/>
        <w:jc w:val="center"/>
        <w:outlineLvl w:val="0"/>
        <w:rPr>
          <w:rFonts w:ascii="黑体" w:hAnsi="黑体" w:eastAsia="黑体"/>
          <w:snapToGrid w:val="0"/>
          <w:sz w:val="30"/>
          <w:szCs w:val="30"/>
        </w:rPr>
      </w:pPr>
      <w:r>
        <w:rPr>
          <w:rFonts w:hint="eastAsia" w:ascii="黑体" w:hAnsi="黑体" w:eastAsia="黑体"/>
          <w:snapToGrid w:val="0"/>
          <w:sz w:val="30"/>
          <w:szCs w:val="30"/>
        </w:rPr>
        <w:t>二、建设项目工程分析</w:t>
      </w:r>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14"/>
        <w:gridCol w:w="8346"/>
      </w:tblGrid>
      <w:tr w14:paraId="671818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55" w:hRule="atLeast"/>
          <w:jc w:val="center"/>
        </w:trPr>
        <w:tc>
          <w:tcPr>
            <w:tcW w:w="714" w:type="dxa"/>
            <w:vAlign w:val="center"/>
          </w:tcPr>
          <w:p w14:paraId="105A0D56">
            <w:pPr>
              <w:pStyle w:val="21"/>
              <w:adjustRightInd w:val="0"/>
              <w:snapToGrid w:val="0"/>
              <w:spacing w:before="0" w:beforeAutospacing="0" w:after="0" w:afterAutospacing="0" w:line="360" w:lineRule="auto"/>
              <w:jc w:val="center"/>
              <w:rPr>
                <w:rFonts w:hint="eastAsia" w:cs="宋体"/>
                <w:szCs w:val="24"/>
              </w:rPr>
            </w:pPr>
            <w:r>
              <w:rPr>
                <w:rFonts w:hint="eastAsia" w:cs="宋体"/>
                <w:szCs w:val="24"/>
              </w:rPr>
              <w:t>建设</w:t>
            </w:r>
          </w:p>
          <w:p w14:paraId="2F17B9B4">
            <w:pPr>
              <w:pStyle w:val="21"/>
              <w:adjustRightInd w:val="0"/>
              <w:snapToGrid w:val="0"/>
              <w:spacing w:before="0" w:beforeAutospacing="0" w:after="0" w:afterAutospacing="0" w:line="360" w:lineRule="auto"/>
              <w:jc w:val="center"/>
              <w:rPr>
                <w:rFonts w:cs="宋体"/>
                <w:sz w:val="21"/>
                <w:szCs w:val="21"/>
              </w:rPr>
            </w:pPr>
            <w:r>
              <w:rPr>
                <w:rFonts w:hint="eastAsia" w:cs="宋体"/>
                <w:szCs w:val="24"/>
              </w:rPr>
              <w:t>内容</w:t>
            </w:r>
          </w:p>
        </w:tc>
        <w:tc>
          <w:tcPr>
            <w:tcW w:w="8346" w:type="dxa"/>
            <w:vAlign w:val="center"/>
          </w:tcPr>
          <w:p w14:paraId="58D59AF0">
            <w:pPr>
              <w:adjustRightInd w:val="0"/>
              <w:snapToGrid w:val="0"/>
              <w:spacing w:line="360" w:lineRule="auto"/>
              <w:rPr>
                <w:rFonts w:hint="eastAsia" w:ascii="宋体" w:hAnsi="宋体" w:cs="宋体"/>
                <w:b/>
                <w:sz w:val="24"/>
              </w:rPr>
            </w:pPr>
            <w:r>
              <w:rPr>
                <w:rFonts w:hint="eastAsia" w:ascii="宋体" w:hAnsi="宋体" w:cs="宋体"/>
                <w:b/>
                <w:sz w:val="24"/>
              </w:rPr>
              <w:t>2.1基本情况</w:t>
            </w:r>
          </w:p>
          <w:p w14:paraId="0A771A65">
            <w:pPr>
              <w:wordWrap w:val="0"/>
              <w:adjustRightInd w:val="0"/>
              <w:snapToGrid w:val="0"/>
              <w:spacing w:line="360" w:lineRule="auto"/>
              <w:ind w:firstLine="480" w:firstLineChars="200"/>
              <w:rPr>
                <w:rFonts w:hint="eastAsia"/>
                <w:bCs/>
                <w:sz w:val="24"/>
              </w:rPr>
            </w:pPr>
            <w:r>
              <w:rPr>
                <w:rFonts w:hint="eastAsia"/>
                <w:bCs/>
                <w:sz w:val="24"/>
              </w:rPr>
              <w:t>项目名称：李渡工业园区环城西路加油站</w:t>
            </w:r>
          </w:p>
          <w:p w14:paraId="149771EA">
            <w:pPr>
              <w:wordWrap w:val="0"/>
              <w:adjustRightInd w:val="0"/>
              <w:snapToGrid w:val="0"/>
              <w:spacing w:line="360" w:lineRule="auto"/>
              <w:ind w:firstLine="480" w:firstLineChars="200"/>
              <w:rPr>
                <w:rFonts w:hint="eastAsia"/>
                <w:bCs/>
                <w:sz w:val="24"/>
              </w:rPr>
            </w:pPr>
            <w:r>
              <w:rPr>
                <w:rFonts w:hint="eastAsia"/>
                <w:bCs/>
                <w:sz w:val="24"/>
              </w:rPr>
              <w:t>建设单位：重庆市涪陵区永天商贸有限公司</w:t>
            </w:r>
          </w:p>
          <w:p w14:paraId="212DB9B8">
            <w:pPr>
              <w:wordWrap w:val="0"/>
              <w:adjustRightInd w:val="0"/>
              <w:snapToGrid w:val="0"/>
              <w:spacing w:line="360" w:lineRule="auto"/>
              <w:ind w:firstLine="480" w:firstLineChars="200"/>
              <w:rPr>
                <w:rFonts w:hint="eastAsia"/>
                <w:bCs/>
                <w:sz w:val="24"/>
              </w:rPr>
            </w:pPr>
            <w:r>
              <w:rPr>
                <w:rFonts w:hint="eastAsia"/>
                <w:bCs/>
                <w:sz w:val="24"/>
              </w:rPr>
              <w:t>建设性质：新建</w:t>
            </w:r>
          </w:p>
          <w:p w14:paraId="4AFBBB20">
            <w:pPr>
              <w:wordWrap w:val="0"/>
              <w:adjustRightInd w:val="0"/>
              <w:snapToGrid w:val="0"/>
              <w:spacing w:line="360" w:lineRule="auto"/>
              <w:ind w:firstLine="480" w:firstLineChars="200"/>
              <w:rPr>
                <w:rFonts w:hint="eastAsia"/>
                <w:bCs/>
                <w:sz w:val="24"/>
              </w:rPr>
            </w:pPr>
            <w:r>
              <w:rPr>
                <w:rFonts w:hint="eastAsia"/>
                <w:bCs/>
                <w:sz w:val="24"/>
              </w:rPr>
              <w:t>建设地点：重庆市涪陵区李渡工业园区双溪居委郑家湾FL2018-06-18号地块</w:t>
            </w:r>
          </w:p>
          <w:p w14:paraId="3ECA25B7">
            <w:pPr>
              <w:wordWrap w:val="0"/>
              <w:adjustRightInd w:val="0"/>
              <w:snapToGrid w:val="0"/>
              <w:spacing w:line="360" w:lineRule="auto"/>
              <w:ind w:firstLine="480" w:firstLineChars="200"/>
              <w:rPr>
                <w:bCs/>
                <w:color w:val="000000"/>
                <w:sz w:val="24"/>
              </w:rPr>
            </w:pPr>
            <w:r>
              <w:rPr>
                <w:bCs/>
                <w:sz w:val="24"/>
              </w:rPr>
              <w:t>项目投资/环保投资</w:t>
            </w:r>
            <w:r>
              <w:rPr>
                <w:rFonts w:hint="eastAsia"/>
                <w:bCs/>
                <w:sz w:val="24"/>
              </w:rPr>
              <w:t>：项目总投资1700万元，环保投</w:t>
            </w:r>
            <w:r>
              <w:rPr>
                <w:rFonts w:hint="eastAsia"/>
                <w:bCs/>
                <w:color w:val="000000"/>
                <w:sz w:val="24"/>
              </w:rPr>
              <w:t>资50万元</w:t>
            </w:r>
          </w:p>
          <w:p w14:paraId="25BC38F6">
            <w:pPr>
              <w:wordWrap w:val="0"/>
              <w:adjustRightInd w:val="0"/>
              <w:snapToGrid w:val="0"/>
              <w:spacing w:line="360" w:lineRule="auto"/>
              <w:ind w:firstLine="480" w:firstLineChars="200"/>
              <w:rPr>
                <w:bCs/>
                <w:sz w:val="24"/>
              </w:rPr>
            </w:pPr>
            <w:r>
              <w:rPr>
                <w:bCs/>
                <w:sz w:val="24"/>
              </w:rPr>
              <w:t>劳动</w:t>
            </w:r>
            <w:r>
              <w:rPr>
                <w:rFonts w:hint="eastAsia"/>
                <w:bCs/>
                <w:sz w:val="24"/>
              </w:rPr>
              <w:t>定员：拟建项目劳动定员为8人（</w:t>
            </w:r>
            <w:r>
              <w:rPr>
                <w:rFonts w:hint="eastAsia"/>
                <w:bCs/>
                <w:color w:val="000000"/>
                <w:sz w:val="24"/>
              </w:rPr>
              <w:t>其中安全管理人员1人），全年365d，24小时营业，三班制，每班8h。站区内不设食堂及住宿。</w:t>
            </w:r>
          </w:p>
          <w:p w14:paraId="416E0ECB">
            <w:pPr>
              <w:wordWrap w:val="0"/>
              <w:adjustRightInd w:val="0"/>
              <w:snapToGrid w:val="0"/>
              <w:spacing w:line="360" w:lineRule="auto"/>
              <w:ind w:firstLine="480" w:firstLineChars="200"/>
              <w:rPr>
                <w:bCs/>
                <w:sz w:val="24"/>
              </w:rPr>
            </w:pPr>
            <w:r>
              <w:rPr>
                <w:rFonts w:hint="eastAsia"/>
                <w:bCs/>
                <w:sz w:val="24"/>
              </w:rPr>
              <w:t>建设内容：本项目位于重庆市涪陵区李渡工业园区双溪居委郑家湾FL2018-06-18号地块，占地面积为2006m</w:t>
            </w:r>
            <w:r>
              <w:rPr>
                <w:rFonts w:hint="eastAsia"/>
                <w:bCs/>
                <w:sz w:val="24"/>
                <w:vertAlign w:val="superscript"/>
              </w:rPr>
              <w:t>2</w:t>
            </w:r>
            <w:r>
              <w:rPr>
                <w:rFonts w:hint="eastAsia"/>
                <w:bCs/>
                <w:sz w:val="24"/>
              </w:rPr>
              <w:t>，总建筑面积为567.75m</w:t>
            </w:r>
            <w:r>
              <w:rPr>
                <w:rFonts w:hint="eastAsia"/>
                <w:bCs/>
                <w:sz w:val="24"/>
                <w:vertAlign w:val="superscript"/>
              </w:rPr>
              <w:t>2</w:t>
            </w:r>
            <w:r>
              <w:rPr>
                <w:rFonts w:hint="eastAsia"/>
                <w:bCs/>
                <w:sz w:val="24"/>
              </w:rPr>
              <w:t>。建设三级加油站一座，设置4台单层钢制储罐，储罐区主要包括：30m³×1个柴油罐、30 m³×1个92#汽油罐，25m³×1个95#汽油罐，20m³×1个95#汽油罐，设计总容量90m³（柴油罐容积折半计入油罐总容积）。设置4座加油岛，4台四枪加油机，建成后年</w:t>
            </w:r>
            <w:r>
              <w:rPr>
                <w:rFonts w:hint="eastAsia"/>
                <w:bCs/>
                <w:color w:val="000000"/>
                <w:sz w:val="24"/>
              </w:rPr>
              <w:t>加油约4320吨。</w:t>
            </w:r>
          </w:p>
          <w:p w14:paraId="757DBF98">
            <w:pPr>
              <w:numPr>
                <w:ilvl w:val="0"/>
                <w:numId w:val="2"/>
              </w:numPr>
              <w:wordWrap w:val="0"/>
              <w:adjustRightInd w:val="0"/>
              <w:snapToGrid w:val="0"/>
              <w:spacing w:line="360" w:lineRule="auto"/>
              <w:ind w:firstLine="480" w:firstLineChars="200"/>
              <w:rPr>
                <w:rFonts w:hint="eastAsia"/>
                <w:bCs/>
                <w:sz w:val="24"/>
              </w:rPr>
            </w:pPr>
            <w:r>
              <w:rPr>
                <w:rFonts w:hint="eastAsia"/>
                <w:bCs/>
                <w:sz w:val="24"/>
              </w:rPr>
              <w:t>原料供应来源</w:t>
            </w:r>
          </w:p>
          <w:p w14:paraId="0AF05A2B">
            <w:pPr>
              <w:wordWrap w:val="0"/>
              <w:adjustRightInd w:val="0"/>
              <w:snapToGrid w:val="0"/>
              <w:spacing w:line="360" w:lineRule="auto"/>
              <w:ind w:firstLine="480" w:firstLineChars="200"/>
              <w:rPr>
                <w:rFonts w:hint="eastAsia"/>
                <w:bCs/>
                <w:color w:val="000000"/>
                <w:sz w:val="24"/>
              </w:rPr>
            </w:pPr>
            <w:r>
              <w:rPr>
                <w:rFonts w:hint="eastAsia"/>
                <w:bCs/>
                <w:color w:val="000000"/>
                <w:sz w:val="24"/>
              </w:rPr>
              <w:t>拟建项目主要销售汽油及柴油的成品油，主要销售油料类型及油料来源于江顺石油公司。本项目油品委托具有相关有运输成品油证书的单位及油罐车从中石油江顺石油公司运</w:t>
            </w:r>
            <w:r>
              <w:rPr>
                <w:bCs/>
                <w:color w:val="000000"/>
                <w:sz w:val="24"/>
              </w:rPr>
              <w:t>输至加油站，通过密闭卸油方式将油料注入</w:t>
            </w:r>
            <w:r>
              <w:rPr>
                <w:rFonts w:hint="eastAsia"/>
                <w:bCs/>
                <w:color w:val="000000"/>
                <w:sz w:val="24"/>
              </w:rPr>
              <w:t>埋地</w:t>
            </w:r>
            <w:r>
              <w:rPr>
                <w:bCs/>
                <w:color w:val="000000"/>
                <w:sz w:val="24"/>
              </w:rPr>
              <w:t>式储油罐中，本评价不包括油品运输风险评价。</w:t>
            </w:r>
          </w:p>
          <w:p w14:paraId="3ED6F19D">
            <w:pPr>
              <w:numPr>
                <w:ilvl w:val="0"/>
                <w:numId w:val="2"/>
              </w:numPr>
              <w:wordWrap w:val="0"/>
              <w:adjustRightInd w:val="0"/>
              <w:snapToGrid w:val="0"/>
              <w:spacing w:line="360" w:lineRule="auto"/>
              <w:ind w:firstLine="480" w:firstLineChars="200"/>
              <w:rPr>
                <w:rFonts w:hint="eastAsia"/>
                <w:bCs/>
                <w:sz w:val="24"/>
              </w:rPr>
            </w:pPr>
            <w:r>
              <w:rPr>
                <w:rFonts w:hint="eastAsia"/>
                <w:bCs/>
                <w:sz w:val="24"/>
              </w:rPr>
              <w:t>加油站等级划分</w:t>
            </w:r>
          </w:p>
          <w:p w14:paraId="22822D78">
            <w:pPr>
              <w:wordWrap w:val="0"/>
              <w:adjustRightInd w:val="0"/>
              <w:snapToGrid w:val="0"/>
              <w:spacing w:line="360" w:lineRule="auto"/>
              <w:ind w:firstLine="480" w:firstLineChars="200"/>
              <w:rPr>
                <w:rFonts w:hint="eastAsia"/>
                <w:bCs/>
                <w:sz w:val="24"/>
              </w:rPr>
            </w:pPr>
            <w:r>
              <w:rPr>
                <w:rFonts w:hint="eastAsia"/>
                <w:bCs/>
                <w:sz w:val="24"/>
              </w:rPr>
              <w:t>本项目设置30m³×1个柴油罐、30 m³×1个92#汽油罐，25m³×1个95#汽油罐，20m³×1个95#汽油罐，设计总容量90m³（柴油罐容积折半计入油罐总容积），根据</w:t>
            </w:r>
            <w:r>
              <w:rPr>
                <w:rFonts w:hint="eastAsia"/>
                <w:sz w:val="24"/>
              </w:rPr>
              <w:t>《汽车加油加气加氢站技术标准》（GB50156-2021）</w:t>
            </w:r>
            <w:r>
              <w:rPr>
                <w:rFonts w:hint="eastAsia"/>
                <w:bCs/>
                <w:sz w:val="24"/>
              </w:rPr>
              <w:t>规定，</w:t>
            </w:r>
            <w:r>
              <w:rPr>
                <w:sz w:val="24"/>
              </w:rPr>
              <w:t>柴油罐容积可折半计后，拟建项目油罐总容量为</w:t>
            </w:r>
            <w:r>
              <w:rPr>
                <w:rFonts w:hint="eastAsia"/>
                <w:sz w:val="24"/>
              </w:rPr>
              <w:t>90</w:t>
            </w:r>
            <w:r>
              <w:rPr>
                <w:sz w:val="24"/>
              </w:rPr>
              <w:t>m</w:t>
            </w:r>
            <w:r>
              <w:rPr>
                <w:sz w:val="24"/>
                <w:vertAlign w:val="superscript"/>
              </w:rPr>
              <w:t>3</w:t>
            </w:r>
            <w:r>
              <w:rPr>
                <w:sz w:val="24"/>
              </w:rPr>
              <w:t>。由表</w:t>
            </w:r>
            <w:r>
              <w:rPr>
                <w:rFonts w:hint="eastAsia"/>
                <w:sz w:val="24"/>
              </w:rPr>
              <w:t>2</w:t>
            </w:r>
            <w:r>
              <w:rPr>
                <w:sz w:val="24"/>
              </w:rPr>
              <w:t>-1等级划分判定条件，拟建项目属于</w:t>
            </w:r>
            <w:r>
              <w:rPr>
                <w:rFonts w:hint="eastAsia"/>
                <w:sz w:val="24"/>
              </w:rPr>
              <w:t>三</w:t>
            </w:r>
            <w:r>
              <w:rPr>
                <w:sz w:val="24"/>
              </w:rPr>
              <w:t>级加油站。</w:t>
            </w:r>
          </w:p>
          <w:p w14:paraId="62A47207">
            <w:pPr>
              <w:pStyle w:val="68"/>
              <w:spacing w:line="240" w:lineRule="auto"/>
              <w:rPr>
                <w:rFonts w:ascii="黑体" w:hAnsi="黑体" w:eastAsia="黑体" w:cs="黑体"/>
                <w:b w:val="0"/>
                <w:bCs w:val="0"/>
              </w:rPr>
            </w:pPr>
            <w:r>
              <w:rPr>
                <w:rFonts w:ascii="黑体" w:hAnsi="黑体" w:eastAsia="黑体" w:cs="黑体"/>
                <w:b w:val="0"/>
                <w:bCs w:val="0"/>
              </w:rPr>
              <w:t>表</w:t>
            </w:r>
            <w:r>
              <w:rPr>
                <w:rFonts w:hint="eastAsia" w:ascii="黑体" w:hAnsi="黑体" w:eastAsia="黑体" w:cs="黑体"/>
                <w:b w:val="0"/>
                <w:bCs w:val="0"/>
              </w:rPr>
              <w:t>2</w:t>
            </w:r>
            <w:r>
              <w:rPr>
                <w:rFonts w:ascii="黑体" w:hAnsi="黑体" w:eastAsia="黑体" w:cs="黑体"/>
                <w:b w:val="0"/>
                <w:bCs w:val="0"/>
              </w:rPr>
              <w:t>-1  加油站等级划分</w:t>
            </w:r>
          </w:p>
          <w:tbl>
            <w:tblPr>
              <w:tblStyle w:val="23"/>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703"/>
              <w:gridCol w:w="2707"/>
              <w:gridCol w:w="2718"/>
            </w:tblGrid>
            <w:tr w14:paraId="4FA970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663" w:type="pct"/>
                  <w:vMerge w:val="restart"/>
                  <w:vAlign w:val="center"/>
                </w:tcPr>
                <w:p w14:paraId="60BA442C">
                  <w:pPr>
                    <w:adjustRightInd w:val="0"/>
                    <w:jc w:val="center"/>
                    <w:rPr>
                      <w:szCs w:val="21"/>
                    </w:rPr>
                  </w:pPr>
                  <w:r>
                    <w:rPr>
                      <w:szCs w:val="21"/>
                    </w:rPr>
                    <w:t>级别</w:t>
                  </w:r>
                </w:p>
              </w:tc>
              <w:tc>
                <w:tcPr>
                  <w:tcW w:w="3336" w:type="pct"/>
                  <w:gridSpan w:val="2"/>
                  <w:vAlign w:val="center"/>
                </w:tcPr>
                <w:p w14:paraId="33130C1D">
                  <w:pPr>
                    <w:adjustRightInd w:val="0"/>
                    <w:jc w:val="center"/>
                    <w:rPr>
                      <w:szCs w:val="21"/>
                    </w:rPr>
                  </w:pPr>
                  <w:r>
                    <w:rPr>
                      <w:szCs w:val="21"/>
                    </w:rPr>
                    <w:t>油罐容积（m</w:t>
                  </w:r>
                  <w:r>
                    <w:rPr>
                      <w:szCs w:val="21"/>
                      <w:vertAlign w:val="superscript"/>
                    </w:rPr>
                    <w:t>3</w:t>
                  </w:r>
                  <w:r>
                    <w:rPr>
                      <w:szCs w:val="21"/>
                    </w:rPr>
                    <w:t>）</w:t>
                  </w:r>
                </w:p>
              </w:tc>
            </w:tr>
            <w:tr w14:paraId="3DE3A3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663" w:type="pct"/>
                  <w:vMerge w:val="continue"/>
                  <w:vAlign w:val="center"/>
                </w:tcPr>
                <w:p w14:paraId="702BC4FD">
                  <w:pPr>
                    <w:adjustRightInd w:val="0"/>
                    <w:jc w:val="center"/>
                    <w:rPr>
                      <w:szCs w:val="21"/>
                    </w:rPr>
                  </w:pPr>
                </w:p>
              </w:tc>
              <w:tc>
                <w:tcPr>
                  <w:tcW w:w="1665" w:type="pct"/>
                  <w:vAlign w:val="center"/>
                </w:tcPr>
                <w:p w14:paraId="6E1EFBE7">
                  <w:pPr>
                    <w:adjustRightInd w:val="0"/>
                    <w:jc w:val="center"/>
                    <w:rPr>
                      <w:szCs w:val="21"/>
                    </w:rPr>
                  </w:pPr>
                  <w:r>
                    <w:rPr>
                      <w:szCs w:val="21"/>
                    </w:rPr>
                    <w:t>总容积</w:t>
                  </w:r>
                </w:p>
              </w:tc>
              <w:tc>
                <w:tcPr>
                  <w:tcW w:w="1670" w:type="pct"/>
                  <w:vAlign w:val="center"/>
                </w:tcPr>
                <w:p w14:paraId="76CE7A4D">
                  <w:pPr>
                    <w:adjustRightInd w:val="0"/>
                    <w:jc w:val="center"/>
                    <w:rPr>
                      <w:szCs w:val="21"/>
                    </w:rPr>
                  </w:pPr>
                  <w:r>
                    <w:rPr>
                      <w:szCs w:val="21"/>
                    </w:rPr>
                    <w:t>单罐容积</w:t>
                  </w:r>
                </w:p>
              </w:tc>
            </w:tr>
            <w:tr w14:paraId="0F6E5E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663" w:type="pct"/>
                  <w:vAlign w:val="center"/>
                </w:tcPr>
                <w:p w14:paraId="05CCBADC">
                  <w:pPr>
                    <w:adjustRightInd w:val="0"/>
                    <w:jc w:val="center"/>
                    <w:rPr>
                      <w:szCs w:val="21"/>
                    </w:rPr>
                  </w:pPr>
                  <w:r>
                    <w:rPr>
                      <w:szCs w:val="21"/>
                    </w:rPr>
                    <w:t>一级</w:t>
                  </w:r>
                </w:p>
              </w:tc>
              <w:tc>
                <w:tcPr>
                  <w:tcW w:w="1665" w:type="pct"/>
                  <w:vAlign w:val="center"/>
                </w:tcPr>
                <w:p w14:paraId="3133B56D">
                  <w:pPr>
                    <w:adjustRightInd w:val="0"/>
                    <w:jc w:val="center"/>
                    <w:rPr>
                      <w:szCs w:val="21"/>
                    </w:rPr>
                  </w:pPr>
                  <w:r>
                    <w:rPr>
                      <w:szCs w:val="21"/>
                    </w:rPr>
                    <w:t>150＜V≤210</w:t>
                  </w:r>
                </w:p>
              </w:tc>
              <w:tc>
                <w:tcPr>
                  <w:tcW w:w="1670" w:type="pct"/>
                  <w:vAlign w:val="center"/>
                </w:tcPr>
                <w:p w14:paraId="556B7755">
                  <w:pPr>
                    <w:adjustRightInd w:val="0"/>
                    <w:jc w:val="center"/>
                    <w:rPr>
                      <w:szCs w:val="21"/>
                    </w:rPr>
                  </w:pPr>
                  <w:r>
                    <w:rPr>
                      <w:szCs w:val="21"/>
                    </w:rPr>
                    <w:t>≤50</w:t>
                  </w:r>
                </w:p>
              </w:tc>
            </w:tr>
            <w:tr w14:paraId="1D4E87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663" w:type="pct"/>
                  <w:vAlign w:val="center"/>
                </w:tcPr>
                <w:p w14:paraId="5F69D8CD">
                  <w:pPr>
                    <w:adjustRightInd w:val="0"/>
                    <w:jc w:val="center"/>
                    <w:rPr>
                      <w:szCs w:val="21"/>
                    </w:rPr>
                  </w:pPr>
                  <w:r>
                    <w:rPr>
                      <w:szCs w:val="21"/>
                    </w:rPr>
                    <w:t>二级</w:t>
                  </w:r>
                </w:p>
              </w:tc>
              <w:tc>
                <w:tcPr>
                  <w:tcW w:w="1665" w:type="pct"/>
                  <w:vAlign w:val="center"/>
                </w:tcPr>
                <w:p w14:paraId="6091E630">
                  <w:pPr>
                    <w:adjustRightInd w:val="0"/>
                    <w:jc w:val="center"/>
                    <w:rPr>
                      <w:szCs w:val="21"/>
                    </w:rPr>
                  </w:pPr>
                  <w:r>
                    <w:rPr>
                      <w:szCs w:val="21"/>
                    </w:rPr>
                    <w:t>90＜V≤150</w:t>
                  </w:r>
                </w:p>
              </w:tc>
              <w:tc>
                <w:tcPr>
                  <w:tcW w:w="1670" w:type="pct"/>
                  <w:vAlign w:val="center"/>
                </w:tcPr>
                <w:p w14:paraId="47BAA41E">
                  <w:pPr>
                    <w:adjustRightInd w:val="0"/>
                    <w:jc w:val="center"/>
                    <w:rPr>
                      <w:szCs w:val="21"/>
                    </w:rPr>
                  </w:pPr>
                  <w:r>
                    <w:rPr>
                      <w:szCs w:val="21"/>
                    </w:rPr>
                    <w:t>≤50</w:t>
                  </w:r>
                </w:p>
              </w:tc>
            </w:tr>
            <w:tr w14:paraId="3CAA06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663" w:type="pct"/>
                  <w:vAlign w:val="center"/>
                </w:tcPr>
                <w:p w14:paraId="23FEE626">
                  <w:pPr>
                    <w:adjustRightInd w:val="0"/>
                    <w:jc w:val="center"/>
                    <w:rPr>
                      <w:szCs w:val="21"/>
                    </w:rPr>
                  </w:pPr>
                  <w:r>
                    <w:rPr>
                      <w:szCs w:val="21"/>
                    </w:rPr>
                    <w:t>三级</w:t>
                  </w:r>
                </w:p>
              </w:tc>
              <w:tc>
                <w:tcPr>
                  <w:tcW w:w="1665" w:type="pct"/>
                  <w:vAlign w:val="center"/>
                </w:tcPr>
                <w:p w14:paraId="5ADB1E06">
                  <w:pPr>
                    <w:adjustRightInd w:val="0"/>
                    <w:jc w:val="center"/>
                    <w:rPr>
                      <w:szCs w:val="21"/>
                    </w:rPr>
                  </w:pPr>
                  <w:r>
                    <w:rPr>
                      <w:szCs w:val="21"/>
                    </w:rPr>
                    <w:t>V≤90</w:t>
                  </w:r>
                </w:p>
              </w:tc>
              <w:tc>
                <w:tcPr>
                  <w:tcW w:w="1670" w:type="pct"/>
                  <w:vAlign w:val="center"/>
                </w:tcPr>
                <w:p w14:paraId="2119E5B3">
                  <w:pPr>
                    <w:adjustRightInd w:val="0"/>
                    <w:jc w:val="center"/>
                    <w:rPr>
                      <w:szCs w:val="21"/>
                    </w:rPr>
                  </w:pPr>
                  <w:r>
                    <w:rPr>
                      <w:szCs w:val="21"/>
                    </w:rPr>
                    <w:t>汽油罐≤30、柴油罐≤50</w:t>
                  </w:r>
                </w:p>
              </w:tc>
            </w:tr>
            <w:tr w14:paraId="787BD7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5000" w:type="pct"/>
                  <w:gridSpan w:val="3"/>
                  <w:vAlign w:val="center"/>
                </w:tcPr>
                <w:p w14:paraId="01A5991D">
                  <w:pPr>
                    <w:adjustRightInd w:val="0"/>
                    <w:snapToGrid w:val="0"/>
                    <w:jc w:val="left"/>
                    <w:rPr>
                      <w:szCs w:val="21"/>
                    </w:rPr>
                  </w:pPr>
                  <w:r>
                    <w:rPr>
                      <w:szCs w:val="21"/>
                    </w:rPr>
                    <w:t>注：柴油罐容积折半计入油罐总容积。</w:t>
                  </w:r>
                </w:p>
              </w:tc>
            </w:tr>
          </w:tbl>
          <w:p w14:paraId="4DEC16ED">
            <w:pPr>
              <w:numPr>
                <w:ilvl w:val="0"/>
                <w:numId w:val="2"/>
              </w:numPr>
              <w:adjustRightInd w:val="0"/>
              <w:snapToGrid w:val="0"/>
              <w:spacing w:line="360" w:lineRule="auto"/>
              <w:ind w:firstLine="480" w:firstLineChars="200"/>
              <w:rPr>
                <w:rFonts w:hint="eastAsia"/>
                <w:sz w:val="24"/>
              </w:rPr>
            </w:pPr>
            <w:r>
              <w:rPr>
                <w:rFonts w:hint="eastAsia"/>
                <w:sz w:val="24"/>
              </w:rPr>
              <w:t>销售规模</w:t>
            </w:r>
          </w:p>
          <w:p w14:paraId="7FF20E99">
            <w:pPr>
              <w:adjustRightInd w:val="0"/>
              <w:snapToGrid w:val="0"/>
              <w:spacing w:line="360" w:lineRule="auto"/>
              <w:ind w:firstLine="480" w:firstLineChars="200"/>
              <w:rPr>
                <w:rFonts w:hint="eastAsia"/>
                <w:sz w:val="24"/>
              </w:rPr>
            </w:pPr>
            <w:r>
              <w:rPr>
                <w:rFonts w:hint="eastAsia"/>
                <w:sz w:val="24"/>
              </w:rPr>
              <w:t>拟建项目建成后，预计年销售规模见表2-2。</w:t>
            </w:r>
          </w:p>
          <w:p w14:paraId="6BA99369">
            <w:pPr>
              <w:pStyle w:val="68"/>
              <w:spacing w:line="240" w:lineRule="auto"/>
              <w:rPr>
                <w:rFonts w:ascii="黑体" w:hAnsi="黑体" w:eastAsia="黑体" w:cs="黑体"/>
                <w:b w:val="0"/>
                <w:bCs w:val="0"/>
              </w:rPr>
            </w:pPr>
            <w:r>
              <w:rPr>
                <w:rFonts w:ascii="黑体" w:hAnsi="黑体" w:eastAsia="黑体" w:cs="黑体"/>
                <w:b w:val="0"/>
                <w:bCs w:val="0"/>
              </w:rPr>
              <w:t>表</w:t>
            </w:r>
            <w:r>
              <w:rPr>
                <w:rFonts w:hint="eastAsia" w:ascii="黑体" w:hAnsi="黑体" w:eastAsia="黑体" w:cs="黑体"/>
                <w:b w:val="0"/>
                <w:bCs w:val="0"/>
              </w:rPr>
              <w:t>2</w:t>
            </w:r>
            <w:r>
              <w:rPr>
                <w:rFonts w:ascii="黑体" w:hAnsi="黑体" w:eastAsia="黑体" w:cs="黑体"/>
                <w:b w:val="0"/>
                <w:bCs w:val="0"/>
              </w:rPr>
              <w:t>-2  预计年销售规模</w:t>
            </w:r>
          </w:p>
          <w:tbl>
            <w:tblPr>
              <w:tblStyle w:val="23"/>
              <w:tblW w:w="4999"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4061"/>
              <w:gridCol w:w="4067"/>
            </w:tblGrid>
            <w:tr w14:paraId="2F3518F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2498" w:type="pct"/>
                  <w:vAlign w:val="center"/>
                </w:tcPr>
                <w:p w14:paraId="11CC1C5B">
                  <w:pPr>
                    <w:adjustRightInd w:val="0"/>
                    <w:jc w:val="center"/>
                    <w:rPr>
                      <w:bCs/>
                      <w:kern w:val="0"/>
                      <w:szCs w:val="21"/>
                    </w:rPr>
                  </w:pPr>
                  <w:r>
                    <w:rPr>
                      <w:bCs/>
                      <w:kern w:val="0"/>
                      <w:szCs w:val="21"/>
                    </w:rPr>
                    <w:t>名称</w:t>
                  </w:r>
                </w:p>
              </w:tc>
              <w:tc>
                <w:tcPr>
                  <w:tcW w:w="2501" w:type="pct"/>
                  <w:vAlign w:val="center"/>
                </w:tcPr>
                <w:p w14:paraId="3B9CA5EB">
                  <w:pPr>
                    <w:adjustRightInd w:val="0"/>
                    <w:jc w:val="center"/>
                    <w:rPr>
                      <w:bCs/>
                      <w:kern w:val="0"/>
                      <w:szCs w:val="21"/>
                    </w:rPr>
                  </w:pPr>
                  <w:r>
                    <w:rPr>
                      <w:bCs/>
                      <w:kern w:val="0"/>
                      <w:szCs w:val="21"/>
                    </w:rPr>
                    <w:t>数量</w:t>
                  </w:r>
                </w:p>
              </w:tc>
            </w:tr>
            <w:tr w14:paraId="2BA3301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2498" w:type="pct"/>
                  <w:vAlign w:val="center"/>
                </w:tcPr>
                <w:p w14:paraId="20234672">
                  <w:pPr>
                    <w:adjustRightInd w:val="0"/>
                    <w:jc w:val="center"/>
                    <w:rPr>
                      <w:color w:val="000000"/>
                      <w:szCs w:val="21"/>
                    </w:rPr>
                  </w:pPr>
                  <w:r>
                    <w:rPr>
                      <w:color w:val="000000"/>
                      <w:szCs w:val="21"/>
                    </w:rPr>
                    <w:t>92#汽油</w:t>
                  </w:r>
                </w:p>
              </w:tc>
              <w:tc>
                <w:tcPr>
                  <w:tcW w:w="2501" w:type="pct"/>
                  <w:vAlign w:val="center"/>
                </w:tcPr>
                <w:p w14:paraId="7318F71C">
                  <w:pPr>
                    <w:adjustRightInd w:val="0"/>
                    <w:jc w:val="center"/>
                    <w:rPr>
                      <w:color w:val="000000"/>
                      <w:szCs w:val="21"/>
                    </w:rPr>
                  </w:pPr>
                  <w:r>
                    <w:rPr>
                      <w:rFonts w:hint="eastAsia"/>
                      <w:color w:val="000000"/>
                      <w:szCs w:val="21"/>
                    </w:rPr>
                    <w:t>1944</w:t>
                  </w:r>
                  <w:r>
                    <w:rPr>
                      <w:color w:val="000000"/>
                      <w:szCs w:val="21"/>
                    </w:rPr>
                    <w:t>t/a</w:t>
                  </w:r>
                </w:p>
              </w:tc>
            </w:tr>
            <w:tr w14:paraId="2A7DEDA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2498" w:type="pct"/>
                  <w:vAlign w:val="center"/>
                </w:tcPr>
                <w:p w14:paraId="43BCF612">
                  <w:pPr>
                    <w:adjustRightInd w:val="0"/>
                    <w:jc w:val="center"/>
                    <w:rPr>
                      <w:color w:val="000000"/>
                      <w:szCs w:val="21"/>
                    </w:rPr>
                  </w:pPr>
                  <w:r>
                    <w:rPr>
                      <w:color w:val="000000"/>
                      <w:szCs w:val="21"/>
                    </w:rPr>
                    <w:t>95#汽油</w:t>
                  </w:r>
                </w:p>
              </w:tc>
              <w:tc>
                <w:tcPr>
                  <w:tcW w:w="2501" w:type="pct"/>
                  <w:vAlign w:val="center"/>
                </w:tcPr>
                <w:p w14:paraId="4B7AC00F">
                  <w:pPr>
                    <w:adjustRightInd w:val="0"/>
                    <w:jc w:val="center"/>
                    <w:rPr>
                      <w:color w:val="000000"/>
                      <w:szCs w:val="21"/>
                    </w:rPr>
                  </w:pPr>
                  <w:r>
                    <w:rPr>
                      <w:rFonts w:hint="eastAsia"/>
                      <w:color w:val="000000"/>
                      <w:szCs w:val="21"/>
                    </w:rPr>
                    <w:t>1296</w:t>
                  </w:r>
                  <w:r>
                    <w:rPr>
                      <w:color w:val="000000"/>
                      <w:szCs w:val="21"/>
                    </w:rPr>
                    <w:t>t/a</w:t>
                  </w:r>
                </w:p>
              </w:tc>
            </w:tr>
            <w:tr w14:paraId="6E1B96A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2498" w:type="pct"/>
                  <w:vAlign w:val="center"/>
                </w:tcPr>
                <w:p w14:paraId="0FCCFFCC">
                  <w:pPr>
                    <w:adjustRightInd w:val="0"/>
                    <w:jc w:val="center"/>
                    <w:rPr>
                      <w:color w:val="000000"/>
                      <w:szCs w:val="21"/>
                    </w:rPr>
                  </w:pPr>
                  <w:r>
                    <w:rPr>
                      <w:color w:val="000000"/>
                      <w:szCs w:val="21"/>
                    </w:rPr>
                    <w:t>0#柴油</w:t>
                  </w:r>
                </w:p>
              </w:tc>
              <w:tc>
                <w:tcPr>
                  <w:tcW w:w="2501" w:type="pct"/>
                  <w:vAlign w:val="center"/>
                </w:tcPr>
                <w:p w14:paraId="68782F24">
                  <w:pPr>
                    <w:adjustRightInd w:val="0"/>
                    <w:jc w:val="center"/>
                    <w:rPr>
                      <w:color w:val="000000"/>
                      <w:szCs w:val="21"/>
                    </w:rPr>
                  </w:pPr>
                  <w:r>
                    <w:rPr>
                      <w:rFonts w:hint="eastAsia"/>
                      <w:color w:val="000000"/>
                      <w:szCs w:val="21"/>
                    </w:rPr>
                    <w:t>1080</w:t>
                  </w:r>
                  <w:r>
                    <w:rPr>
                      <w:color w:val="000000"/>
                      <w:szCs w:val="21"/>
                    </w:rPr>
                    <w:t>t/a</w:t>
                  </w:r>
                </w:p>
              </w:tc>
            </w:tr>
            <w:tr w14:paraId="1000FB5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2498" w:type="pct"/>
                  <w:vAlign w:val="center"/>
                </w:tcPr>
                <w:p w14:paraId="190AE118">
                  <w:pPr>
                    <w:adjustRightInd w:val="0"/>
                    <w:jc w:val="center"/>
                    <w:rPr>
                      <w:color w:val="000000"/>
                      <w:szCs w:val="21"/>
                    </w:rPr>
                  </w:pPr>
                  <w:r>
                    <w:rPr>
                      <w:color w:val="000000"/>
                      <w:szCs w:val="21"/>
                    </w:rPr>
                    <w:t>合计</w:t>
                  </w:r>
                </w:p>
              </w:tc>
              <w:tc>
                <w:tcPr>
                  <w:tcW w:w="2501" w:type="pct"/>
                  <w:vAlign w:val="center"/>
                </w:tcPr>
                <w:p w14:paraId="095E56C7">
                  <w:pPr>
                    <w:adjustRightInd w:val="0"/>
                    <w:jc w:val="center"/>
                    <w:rPr>
                      <w:color w:val="000000"/>
                      <w:szCs w:val="21"/>
                    </w:rPr>
                  </w:pPr>
                  <w:r>
                    <w:rPr>
                      <w:rFonts w:hint="eastAsia"/>
                      <w:color w:val="000000"/>
                      <w:szCs w:val="21"/>
                    </w:rPr>
                    <w:t>4320t</w:t>
                  </w:r>
                  <w:r>
                    <w:rPr>
                      <w:color w:val="000000"/>
                      <w:szCs w:val="21"/>
                    </w:rPr>
                    <w:t>/a</w:t>
                  </w:r>
                </w:p>
              </w:tc>
            </w:tr>
          </w:tbl>
          <w:p w14:paraId="39D39E5C">
            <w:pPr>
              <w:tabs>
                <w:tab w:val="left" w:pos="2585"/>
                <w:tab w:val="center" w:pos="4215"/>
              </w:tabs>
              <w:adjustRightInd w:val="0"/>
              <w:snapToGrid w:val="0"/>
              <w:spacing w:line="360" w:lineRule="auto"/>
              <w:ind w:firstLine="480" w:firstLineChars="200"/>
              <w:rPr>
                <w:rFonts w:hint="eastAsia"/>
                <w:sz w:val="24"/>
              </w:rPr>
            </w:pPr>
            <w:r>
              <w:rPr>
                <w:rFonts w:hint="eastAsia"/>
                <w:sz w:val="24"/>
              </w:rPr>
              <w:t>（4）项目主要技术经济指标</w:t>
            </w:r>
          </w:p>
          <w:p w14:paraId="08CE1AE8">
            <w:pPr>
              <w:pStyle w:val="68"/>
              <w:spacing w:line="240" w:lineRule="auto"/>
              <w:rPr>
                <w:rFonts w:ascii="黑体" w:hAnsi="黑体" w:eastAsia="黑体" w:cs="黑体"/>
                <w:b w:val="0"/>
                <w:bCs w:val="0"/>
              </w:rPr>
            </w:pPr>
            <w:r>
              <w:rPr>
                <w:rFonts w:ascii="黑体" w:hAnsi="黑体" w:eastAsia="黑体" w:cs="黑体"/>
                <w:b w:val="0"/>
                <w:bCs w:val="0"/>
              </w:rPr>
              <w:t>表</w:t>
            </w:r>
            <w:r>
              <w:rPr>
                <w:rFonts w:hint="eastAsia" w:ascii="黑体" w:hAnsi="黑体" w:eastAsia="黑体" w:cs="黑体"/>
                <w:b w:val="0"/>
                <w:bCs w:val="0"/>
              </w:rPr>
              <w:t>2</w:t>
            </w:r>
            <w:r>
              <w:rPr>
                <w:rFonts w:ascii="黑体" w:hAnsi="黑体" w:eastAsia="黑体" w:cs="黑体"/>
                <w:b w:val="0"/>
                <w:bCs w:val="0"/>
              </w:rPr>
              <w:t>-</w:t>
            </w:r>
            <w:r>
              <w:rPr>
                <w:rFonts w:hint="eastAsia" w:ascii="黑体" w:hAnsi="黑体" w:eastAsia="黑体" w:cs="黑体"/>
                <w:b w:val="0"/>
                <w:bCs w:val="0"/>
              </w:rPr>
              <w:t xml:space="preserve">3 </w:t>
            </w:r>
            <w:r>
              <w:rPr>
                <w:rFonts w:ascii="黑体" w:hAnsi="黑体" w:eastAsia="黑体" w:cs="黑体"/>
                <w:b w:val="0"/>
                <w:bCs w:val="0"/>
              </w:rPr>
              <w:t xml:space="preserve"> 主要技术经济指标</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6"/>
              <w:gridCol w:w="1033"/>
              <w:gridCol w:w="1360"/>
              <w:gridCol w:w="1109"/>
              <w:gridCol w:w="1396"/>
              <w:gridCol w:w="2573"/>
            </w:tblGrid>
            <w:tr w14:paraId="1EB2A2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tblHeader/>
                <w:jc w:val="center"/>
              </w:trPr>
              <w:tc>
                <w:tcPr>
                  <w:tcW w:w="403" w:type="pct"/>
                  <w:vAlign w:val="center"/>
                </w:tcPr>
                <w:p w14:paraId="0D5BE2AD">
                  <w:pPr>
                    <w:jc w:val="center"/>
                    <w:rPr>
                      <w:szCs w:val="21"/>
                    </w:rPr>
                  </w:pPr>
                  <w:r>
                    <w:rPr>
                      <w:szCs w:val="21"/>
                    </w:rPr>
                    <w:t>序号</w:t>
                  </w:r>
                </w:p>
              </w:tc>
              <w:tc>
                <w:tcPr>
                  <w:tcW w:w="1472" w:type="pct"/>
                  <w:gridSpan w:val="2"/>
                  <w:vAlign w:val="center"/>
                </w:tcPr>
                <w:p w14:paraId="5D74A4EA">
                  <w:pPr>
                    <w:jc w:val="center"/>
                    <w:rPr>
                      <w:szCs w:val="21"/>
                    </w:rPr>
                  </w:pPr>
                  <w:r>
                    <w:rPr>
                      <w:szCs w:val="21"/>
                    </w:rPr>
                    <w:t>指标名称</w:t>
                  </w:r>
                </w:p>
              </w:tc>
              <w:tc>
                <w:tcPr>
                  <w:tcW w:w="682" w:type="pct"/>
                  <w:vAlign w:val="center"/>
                </w:tcPr>
                <w:p w14:paraId="252140D5">
                  <w:pPr>
                    <w:jc w:val="center"/>
                    <w:rPr>
                      <w:szCs w:val="21"/>
                    </w:rPr>
                  </w:pPr>
                  <w:r>
                    <w:rPr>
                      <w:szCs w:val="21"/>
                    </w:rPr>
                    <w:t>单位</w:t>
                  </w:r>
                </w:p>
              </w:tc>
              <w:tc>
                <w:tcPr>
                  <w:tcW w:w="859" w:type="pct"/>
                  <w:vAlign w:val="center"/>
                </w:tcPr>
                <w:p w14:paraId="3C7B0AB3">
                  <w:pPr>
                    <w:jc w:val="center"/>
                    <w:rPr>
                      <w:szCs w:val="21"/>
                    </w:rPr>
                  </w:pPr>
                  <w:r>
                    <w:rPr>
                      <w:szCs w:val="21"/>
                    </w:rPr>
                    <w:t>指标值</w:t>
                  </w:r>
                </w:p>
              </w:tc>
              <w:tc>
                <w:tcPr>
                  <w:tcW w:w="1582" w:type="pct"/>
                  <w:vAlign w:val="center"/>
                </w:tcPr>
                <w:p w14:paraId="208D1AB9">
                  <w:pPr>
                    <w:jc w:val="center"/>
                    <w:rPr>
                      <w:szCs w:val="21"/>
                    </w:rPr>
                  </w:pPr>
                  <w:r>
                    <w:rPr>
                      <w:szCs w:val="21"/>
                    </w:rPr>
                    <w:t>备注</w:t>
                  </w:r>
                </w:p>
              </w:tc>
            </w:tr>
            <w:tr w14:paraId="321A76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tblHeader/>
                <w:jc w:val="center"/>
              </w:trPr>
              <w:tc>
                <w:tcPr>
                  <w:tcW w:w="403" w:type="pct"/>
                  <w:vMerge w:val="restart"/>
                  <w:vAlign w:val="center"/>
                </w:tcPr>
                <w:p w14:paraId="0E4CF7A2">
                  <w:pPr>
                    <w:jc w:val="center"/>
                    <w:rPr>
                      <w:szCs w:val="21"/>
                    </w:rPr>
                  </w:pPr>
                  <w:r>
                    <w:rPr>
                      <w:szCs w:val="21"/>
                    </w:rPr>
                    <w:t>1</w:t>
                  </w:r>
                </w:p>
              </w:tc>
              <w:tc>
                <w:tcPr>
                  <w:tcW w:w="1472" w:type="pct"/>
                  <w:gridSpan w:val="2"/>
                  <w:vAlign w:val="center"/>
                </w:tcPr>
                <w:p w14:paraId="5DD9EE11">
                  <w:pPr>
                    <w:pStyle w:val="19"/>
                    <w:spacing w:after="0" w:line="240" w:lineRule="auto"/>
                    <w:jc w:val="center"/>
                    <w:rPr>
                      <w:szCs w:val="21"/>
                    </w:rPr>
                  </w:pPr>
                  <w:r>
                    <w:rPr>
                      <w:szCs w:val="21"/>
                    </w:rPr>
                    <w:t>油品储存量</w:t>
                  </w:r>
                </w:p>
              </w:tc>
              <w:tc>
                <w:tcPr>
                  <w:tcW w:w="682" w:type="pct"/>
                  <w:vAlign w:val="center"/>
                </w:tcPr>
                <w:p w14:paraId="02EB5BD0">
                  <w:pPr>
                    <w:pStyle w:val="19"/>
                    <w:spacing w:after="0" w:line="240" w:lineRule="auto"/>
                    <w:jc w:val="center"/>
                    <w:rPr>
                      <w:szCs w:val="21"/>
                    </w:rPr>
                  </w:pPr>
                  <w:r>
                    <w:rPr>
                      <w:szCs w:val="21"/>
                    </w:rPr>
                    <w:t>m³</w:t>
                  </w:r>
                </w:p>
              </w:tc>
              <w:tc>
                <w:tcPr>
                  <w:tcW w:w="859" w:type="pct"/>
                  <w:vAlign w:val="center"/>
                </w:tcPr>
                <w:p w14:paraId="755B6078">
                  <w:pPr>
                    <w:pStyle w:val="19"/>
                    <w:spacing w:after="0" w:line="240" w:lineRule="auto"/>
                    <w:jc w:val="center"/>
                    <w:rPr>
                      <w:szCs w:val="21"/>
                    </w:rPr>
                  </w:pPr>
                  <w:r>
                    <w:rPr>
                      <w:rFonts w:hint="eastAsia"/>
                      <w:szCs w:val="21"/>
                    </w:rPr>
                    <w:t>90</w:t>
                  </w:r>
                </w:p>
              </w:tc>
              <w:tc>
                <w:tcPr>
                  <w:tcW w:w="1582" w:type="pct"/>
                  <w:vAlign w:val="center"/>
                </w:tcPr>
                <w:p w14:paraId="3A9FB3B1">
                  <w:pPr>
                    <w:jc w:val="center"/>
                    <w:rPr>
                      <w:szCs w:val="21"/>
                    </w:rPr>
                  </w:pPr>
                  <w:r>
                    <w:rPr>
                      <w:szCs w:val="21"/>
                    </w:rPr>
                    <w:t>柴油罐容积折半计</w:t>
                  </w:r>
                </w:p>
              </w:tc>
            </w:tr>
            <w:tr w14:paraId="748D4B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tblHeader/>
                <w:jc w:val="center"/>
              </w:trPr>
              <w:tc>
                <w:tcPr>
                  <w:tcW w:w="403" w:type="pct"/>
                  <w:vMerge w:val="continue"/>
                  <w:vAlign w:val="center"/>
                </w:tcPr>
                <w:p w14:paraId="08B0A38E">
                  <w:pPr>
                    <w:jc w:val="center"/>
                    <w:rPr>
                      <w:szCs w:val="21"/>
                    </w:rPr>
                  </w:pPr>
                </w:p>
              </w:tc>
              <w:tc>
                <w:tcPr>
                  <w:tcW w:w="635" w:type="pct"/>
                  <w:vMerge w:val="restart"/>
                  <w:vAlign w:val="center"/>
                </w:tcPr>
                <w:p w14:paraId="23EF78CE">
                  <w:pPr>
                    <w:pStyle w:val="19"/>
                    <w:spacing w:after="0" w:line="240" w:lineRule="auto"/>
                    <w:jc w:val="center"/>
                    <w:rPr>
                      <w:szCs w:val="21"/>
                    </w:rPr>
                  </w:pPr>
                  <w:r>
                    <w:rPr>
                      <w:szCs w:val="21"/>
                    </w:rPr>
                    <w:t>其中：</w:t>
                  </w:r>
                </w:p>
              </w:tc>
              <w:tc>
                <w:tcPr>
                  <w:tcW w:w="836" w:type="pct"/>
                  <w:vAlign w:val="center"/>
                </w:tcPr>
                <w:p w14:paraId="25420A7B">
                  <w:pPr>
                    <w:pStyle w:val="19"/>
                    <w:spacing w:after="0" w:line="240" w:lineRule="auto"/>
                    <w:jc w:val="center"/>
                    <w:rPr>
                      <w:szCs w:val="21"/>
                    </w:rPr>
                  </w:pPr>
                  <w:r>
                    <w:rPr>
                      <w:szCs w:val="21"/>
                    </w:rPr>
                    <w:t>0</w:t>
                  </w:r>
                  <w:r>
                    <w:rPr>
                      <w:szCs w:val="21"/>
                      <w:vertAlign w:val="superscript"/>
                    </w:rPr>
                    <w:t>#</w:t>
                  </w:r>
                  <w:r>
                    <w:rPr>
                      <w:szCs w:val="21"/>
                    </w:rPr>
                    <w:t>柴油</w:t>
                  </w:r>
                </w:p>
              </w:tc>
              <w:tc>
                <w:tcPr>
                  <w:tcW w:w="682" w:type="pct"/>
                  <w:vAlign w:val="center"/>
                </w:tcPr>
                <w:p w14:paraId="086DD4CF">
                  <w:pPr>
                    <w:jc w:val="center"/>
                    <w:rPr>
                      <w:szCs w:val="21"/>
                    </w:rPr>
                  </w:pPr>
                  <w:r>
                    <w:rPr>
                      <w:szCs w:val="21"/>
                    </w:rPr>
                    <w:t>m³</w:t>
                  </w:r>
                </w:p>
              </w:tc>
              <w:tc>
                <w:tcPr>
                  <w:tcW w:w="859" w:type="pct"/>
                  <w:vAlign w:val="center"/>
                </w:tcPr>
                <w:p w14:paraId="6FE18E41">
                  <w:pPr>
                    <w:jc w:val="center"/>
                    <w:rPr>
                      <w:szCs w:val="21"/>
                    </w:rPr>
                  </w:pPr>
                  <w:r>
                    <w:rPr>
                      <w:rFonts w:hint="eastAsia"/>
                      <w:szCs w:val="21"/>
                    </w:rPr>
                    <w:t>30</w:t>
                  </w:r>
                </w:p>
              </w:tc>
              <w:tc>
                <w:tcPr>
                  <w:tcW w:w="1582" w:type="pct"/>
                  <w:vAlign w:val="center"/>
                </w:tcPr>
                <w:p w14:paraId="7EA3A88B">
                  <w:pPr>
                    <w:jc w:val="center"/>
                    <w:rPr>
                      <w:szCs w:val="21"/>
                    </w:rPr>
                  </w:pPr>
                  <w:r>
                    <w:rPr>
                      <w:szCs w:val="21"/>
                    </w:rPr>
                    <w:t>容积折半计入</w:t>
                  </w:r>
                </w:p>
              </w:tc>
            </w:tr>
            <w:tr w14:paraId="1552ED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tblHeader/>
                <w:jc w:val="center"/>
              </w:trPr>
              <w:tc>
                <w:tcPr>
                  <w:tcW w:w="403" w:type="pct"/>
                  <w:vMerge w:val="continue"/>
                  <w:vAlign w:val="center"/>
                </w:tcPr>
                <w:p w14:paraId="2CC1531E">
                  <w:pPr>
                    <w:jc w:val="center"/>
                    <w:rPr>
                      <w:szCs w:val="21"/>
                    </w:rPr>
                  </w:pPr>
                </w:p>
              </w:tc>
              <w:tc>
                <w:tcPr>
                  <w:tcW w:w="635" w:type="pct"/>
                  <w:vMerge w:val="continue"/>
                  <w:vAlign w:val="center"/>
                </w:tcPr>
                <w:p w14:paraId="4C1C9CF4">
                  <w:pPr>
                    <w:pStyle w:val="19"/>
                    <w:spacing w:after="0" w:line="240" w:lineRule="auto"/>
                    <w:jc w:val="center"/>
                    <w:rPr>
                      <w:szCs w:val="21"/>
                    </w:rPr>
                  </w:pPr>
                </w:p>
              </w:tc>
              <w:tc>
                <w:tcPr>
                  <w:tcW w:w="836" w:type="pct"/>
                  <w:vAlign w:val="center"/>
                </w:tcPr>
                <w:p w14:paraId="2F037BC4">
                  <w:pPr>
                    <w:pStyle w:val="19"/>
                    <w:spacing w:after="0" w:line="240" w:lineRule="auto"/>
                    <w:jc w:val="center"/>
                    <w:rPr>
                      <w:szCs w:val="21"/>
                    </w:rPr>
                  </w:pPr>
                  <w:r>
                    <w:rPr>
                      <w:szCs w:val="21"/>
                    </w:rPr>
                    <w:t>92</w:t>
                  </w:r>
                  <w:r>
                    <w:rPr>
                      <w:szCs w:val="21"/>
                      <w:vertAlign w:val="superscript"/>
                    </w:rPr>
                    <w:t>#</w:t>
                  </w:r>
                  <w:r>
                    <w:rPr>
                      <w:szCs w:val="21"/>
                    </w:rPr>
                    <w:t>汽油</w:t>
                  </w:r>
                </w:p>
              </w:tc>
              <w:tc>
                <w:tcPr>
                  <w:tcW w:w="682" w:type="pct"/>
                  <w:vAlign w:val="center"/>
                </w:tcPr>
                <w:p w14:paraId="761D3B2B">
                  <w:pPr>
                    <w:jc w:val="center"/>
                    <w:rPr>
                      <w:szCs w:val="21"/>
                    </w:rPr>
                  </w:pPr>
                  <w:r>
                    <w:rPr>
                      <w:szCs w:val="21"/>
                    </w:rPr>
                    <w:t>m³</w:t>
                  </w:r>
                </w:p>
              </w:tc>
              <w:tc>
                <w:tcPr>
                  <w:tcW w:w="859" w:type="pct"/>
                  <w:vAlign w:val="center"/>
                </w:tcPr>
                <w:p w14:paraId="2CFF2352">
                  <w:pPr>
                    <w:jc w:val="center"/>
                    <w:rPr>
                      <w:szCs w:val="21"/>
                    </w:rPr>
                  </w:pPr>
                  <w:r>
                    <w:rPr>
                      <w:rFonts w:hint="eastAsia"/>
                      <w:szCs w:val="21"/>
                    </w:rPr>
                    <w:t>30</w:t>
                  </w:r>
                </w:p>
              </w:tc>
              <w:tc>
                <w:tcPr>
                  <w:tcW w:w="1582" w:type="pct"/>
                  <w:vAlign w:val="center"/>
                </w:tcPr>
                <w:p w14:paraId="04C9B641">
                  <w:pPr>
                    <w:jc w:val="center"/>
                    <w:rPr>
                      <w:szCs w:val="21"/>
                    </w:rPr>
                  </w:pPr>
                  <w:r>
                    <w:rPr>
                      <w:szCs w:val="21"/>
                    </w:rPr>
                    <w:t>/</w:t>
                  </w:r>
                </w:p>
              </w:tc>
            </w:tr>
            <w:tr w14:paraId="591A7C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tblHeader/>
                <w:jc w:val="center"/>
              </w:trPr>
              <w:tc>
                <w:tcPr>
                  <w:tcW w:w="403" w:type="pct"/>
                  <w:vMerge w:val="continue"/>
                  <w:vAlign w:val="center"/>
                </w:tcPr>
                <w:p w14:paraId="49FD2E1A">
                  <w:pPr>
                    <w:jc w:val="center"/>
                    <w:rPr>
                      <w:szCs w:val="21"/>
                    </w:rPr>
                  </w:pPr>
                </w:p>
              </w:tc>
              <w:tc>
                <w:tcPr>
                  <w:tcW w:w="635" w:type="pct"/>
                  <w:vMerge w:val="continue"/>
                  <w:vAlign w:val="center"/>
                </w:tcPr>
                <w:p w14:paraId="65B43FDF">
                  <w:pPr>
                    <w:pStyle w:val="19"/>
                    <w:spacing w:after="0" w:line="240" w:lineRule="auto"/>
                    <w:ind w:firstLine="840" w:firstLineChars="400"/>
                    <w:jc w:val="center"/>
                    <w:rPr>
                      <w:szCs w:val="21"/>
                    </w:rPr>
                  </w:pPr>
                </w:p>
              </w:tc>
              <w:tc>
                <w:tcPr>
                  <w:tcW w:w="836" w:type="pct"/>
                  <w:vAlign w:val="center"/>
                </w:tcPr>
                <w:p w14:paraId="71CBC956">
                  <w:pPr>
                    <w:pStyle w:val="19"/>
                    <w:spacing w:after="0" w:line="240" w:lineRule="auto"/>
                    <w:jc w:val="center"/>
                    <w:rPr>
                      <w:szCs w:val="21"/>
                    </w:rPr>
                  </w:pPr>
                  <w:r>
                    <w:rPr>
                      <w:szCs w:val="21"/>
                    </w:rPr>
                    <w:t>95</w:t>
                  </w:r>
                  <w:r>
                    <w:rPr>
                      <w:szCs w:val="21"/>
                      <w:vertAlign w:val="superscript"/>
                    </w:rPr>
                    <w:t>#</w:t>
                  </w:r>
                  <w:r>
                    <w:rPr>
                      <w:szCs w:val="21"/>
                    </w:rPr>
                    <w:t>汽油</w:t>
                  </w:r>
                </w:p>
              </w:tc>
              <w:tc>
                <w:tcPr>
                  <w:tcW w:w="682" w:type="pct"/>
                  <w:vAlign w:val="center"/>
                </w:tcPr>
                <w:p w14:paraId="3D46E545">
                  <w:pPr>
                    <w:jc w:val="center"/>
                    <w:rPr>
                      <w:szCs w:val="21"/>
                    </w:rPr>
                  </w:pPr>
                  <w:r>
                    <w:rPr>
                      <w:szCs w:val="21"/>
                    </w:rPr>
                    <w:t>m³</w:t>
                  </w:r>
                </w:p>
              </w:tc>
              <w:tc>
                <w:tcPr>
                  <w:tcW w:w="859" w:type="pct"/>
                  <w:vAlign w:val="center"/>
                </w:tcPr>
                <w:p w14:paraId="4C40B631">
                  <w:pPr>
                    <w:jc w:val="center"/>
                    <w:rPr>
                      <w:rFonts w:hint="eastAsia"/>
                      <w:szCs w:val="21"/>
                    </w:rPr>
                  </w:pPr>
                  <w:r>
                    <w:rPr>
                      <w:rFonts w:hint="eastAsia"/>
                      <w:szCs w:val="21"/>
                    </w:rPr>
                    <w:t>25</w:t>
                  </w:r>
                </w:p>
              </w:tc>
              <w:tc>
                <w:tcPr>
                  <w:tcW w:w="1582" w:type="pct"/>
                  <w:vAlign w:val="center"/>
                </w:tcPr>
                <w:p w14:paraId="484EB70D">
                  <w:pPr>
                    <w:jc w:val="center"/>
                    <w:rPr>
                      <w:rFonts w:hint="eastAsia"/>
                      <w:szCs w:val="21"/>
                    </w:rPr>
                  </w:pPr>
                  <w:r>
                    <w:rPr>
                      <w:rFonts w:hint="eastAsia"/>
                      <w:szCs w:val="21"/>
                    </w:rPr>
                    <w:t>/</w:t>
                  </w:r>
                </w:p>
              </w:tc>
            </w:tr>
            <w:tr w14:paraId="1F0329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tblHeader/>
                <w:jc w:val="center"/>
              </w:trPr>
              <w:tc>
                <w:tcPr>
                  <w:tcW w:w="403" w:type="pct"/>
                  <w:vMerge w:val="continue"/>
                  <w:vAlign w:val="center"/>
                </w:tcPr>
                <w:p w14:paraId="4FD347CD">
                  <w:pPr>
                    <w:jc w:val="center"/>
                    <w:rPr>
                      <w:szCs w:val="21"/>
                    </w:rPr>
                  </w:pPr>
                </w:p>
              </w:tc>
              <w:tc>
                <w:tcPr>
                  <w:tcW w:w="635" w:type="pct"/>
                  <w:vMerge w:val="continue"/>
                  <w:vAlign w:val="center"/>
                </w:tcPr>
                <w:p w14:paraId="53EDF55F">
                  <w:pPr>
                    <w:pStyle w:val="19"/>
                    <w:spacing w:after="0" w:line="240" w:lineRule="auto"/>
                    <w:ind w:firstLine="840" w:firstLineChars="400"/>
                    <w:jc w:val="center"/>
                    <w:rPr>
                      <w:szCs w:val="21"/>
                    </w:rPr>
                  </w:pPr>
                </w:p>
              </w:tc>
              <w:tc>
                <w:tcPr>
                  <w:tcW w:w="836" w:type="pct"/>
                  <w:vAlign w:val="center"/>
                </w:tcPr>
                <w:p w14:paraId="24AB0BB1">
                  <w:pPr>
                    <w:pStyle w:val="19"/>
                    <w:spacing w:after="0" w:line="240" w:lineRule="auto"/>
                    <w:jc w:val="center"/>
                    <w:rPr>
                      <w:szCs w:val="21"/>
                    </w:rPr>
                  </w:pPr>
                  <w:r>
                    <w:rPr>
                      <w:szCs w:val="21"/>
                    </w:rPr>
                    <w:t>95</w:t>
                  </w:r>
                  <w:r>
                    <w:rPr>
                      <w:szCs w:val="21"/>
                      <w:vertAlign w:val="superscript"/>
                    </w:rPr>
                    <w:t>#</w:t>
                  </w:r>
                  <w:r>
                    <w:rPr>
                      <w:szCs w:val="21"/>
                    </w:rPr>
                    <w:t>汽油</w:t>
                  </w:r>
                </w:p>
              </w:tc>
              <w:tc>
                <w:tcPr>
                  <w:tcW w:w="682" w:type="pct"/>
                  <w:vAlign w:val="center"/>
                </w:tcPr>
                <w:p w14:paraId="09B42FA7">
                  <w:pPr>
                    <w:jc w:val="center"/>
                    <w:rPr>
                      <w:szCs w:val="21"/>
                    </w:rPr>
                  </w:pPr>
                  <w:r>
                    <w:rPr>
                      <w:szCs w:val="21"/>
                    </w:rPr>
                    <w:t>m³</w:t>
                  </w:r>
                </w:p>
              </w:tc>
              <w:tc>
                <w:tcPr>
                  <w:tcW w:w="859" w:type="pct"/>
                  <w:vAlign w:val="center"/>
                </w:tcPr>
                <w:p w14:paraId="4CB7A45B">
                  <w:pPr>
                    <w:jc w:val="center"/>
                    <w:rPr>
                      <w:rFonts w:hint="eastAsia"/>
                      <w:szCs w:val="21"/>
                    </w:rPr>
                  </w:pPr>
                  <w:r>
                    <w:rPr>
                      <w:rFonts w:hint="eastAsia"/>
                      <w:szCs w:val="21"/>
                    </w:rPr>
                    <w:t>20</w:t>
                  </w:r>
                </w:p>
              </w:tc>
              <w:tc>
                <w:tcPr>
                  <w:tcW w:w="1582" w:type="pct"/>
                  <w:vAlign w:val="center"/>
                </w:tcPr>
                <w:p w14:paraId="25A06087">
                  <w:pPr>
                    <w:jc w:val="center"/>
                    <w:rPr>
                      <w:rFonts w:hint="eastAsia"/>
                      <w:szCs w:val="21"/>
                    </w:rPr>
                  </w:pPr>
                  <w:r>
                    <w:rPr>
                      <w:rFonts w:hint="eastAsia"/>
                      <w:szCs w:val="21"/>
                    </w:rPr>
                    <w:t>/</w:t>
                  </w:r>
                </w:p>
              </w:tc>
            </w:tr>
            <w:tr w14:paraId="742B8E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tblHeader/>
                <w:jc w:val="center"/>
              </w:trPr>
              <w:tc>
                <w:tcPr>
                  <w:tcW w:w="403" w:type="pct"/>
                  <w:vAlign w:val="center"/>
                </w:tcPr>
                <w:p w14:paraId="7771C2F0">
                  <w:pPr>
                    <w:jc w:val="center"/>
                    <w:rPr>
                      <w:szCs w:val="21"/>
                    </w:rPr>
                  </w:pPr>
                  <w:r>
                    <w:rPr>
                      <w:szCs w:val="21"/>
                    </w:rPr>
                    <w:t>2</w:t>
                  </w:r>
                </w:p>
              </w:tc>
              <w:tc>
                <w:tcPr>
                  <w:tcW w:w="1472" w:type="pct"/>
                  <w:gridSpan w:val="2"/>
                  <w:vAlign w:val="center"/>
                </w:tcPr>
                <w:p w14:paraId="3A849D6E">
                  <w:pPr>
                    <w:pStyle w:val="19"/>
                    <w:spacing w:after="0" w:line="240" w:lineRule="auto"/>
                    <w:jc w:val="center"/>
                    <w:rPr>
                      <w:szCs w:val="21"/>
                    </w:rPr>
                  </w:pPr>
                  <w:r>
                    <w:rPr>
                      <w:szCs w:val="21"/>
                    </w:rPr>
                    <w:t>项目占地面积</w:t>
                  </w:r>
                </w:p>
              </w:tc>
              <w:tc>
                <w:tcPr>
                  <w:tcW w:w="682" w:type="pct"/>
                  <w:vAlign w:val="center"/>
                </w:tcPr>
                <w:p w14:paraId="40CA8128">
                  <w:pPr>
                    <w:pStyle w:val="19"/>
                    <w:spacing w:after="0" w:line="240" w:lineRule="auto"/>
                    <w:jc w:val="center"/>
                    <w:rPr>
                      <w:szCs w:val="21"/>
                      <w:vertAlign w:val="superscript"/>
                    </w:rPr>
                  </w:pPr>
                  <w:r>
                    <w:rPr>
                      <w:szCs w:val="21"/>
                    </w:rPr>
                    <w:t>m</w:t>
                  </w:r>
                  <w:r>
                    <w:rPr>
                      <w:szCs w:val="21"/>
                      <w:vertAlign w:val="superscript"/>
                    </w:rPr>
                    <w:t>2</w:t>
                  </w:r>
                </w:p>
              </w:tc>
              <w:tc>
                <w:tcPr>
                  <w:tcW w:w="859" w:type="pct"/>
                  <w:vAlign w:val="center"/>
                </w:tcPr>
                <w:p w14:paraId="39948598">
                  <w:pPr>
                    <w:pStyle w:val="19"/>
                    <w:spacing w:after="0" w:line="240" w:lineRule="auto"/>
                    <w:jc w:val="center"/>
                    <w:rPr>
                      <w:szCs w:val="21"/>
                    </w:rPr>
                  </w:pPr>
                  <w:r>
                    <w:rPr>
                      <w:rFonts w:hint="eastAsia"/>
                      <w:szCs w:val="21"/>
                    </w:rPr>
                    <w:t>2006</w:t>
                  </w:r>
                </w:p>
              </w:tc>
              <w:tc>
                <w:tcPr>
                  <w:tcW w:w="1582" w:type="pct"/>
                  <w:vAlign w:val="center"/>
                </w:tcPr>
                <w:p w14:paraId="17D23AF5">
                  <w:pPr>
                    <w:jc w:val="center"/>
                    <w:rPr>
                      <w:szCs w:val="21"/>
                    </w:rPr>
                  </w:pPr>
                  <w:r>
                    <w:rPr>
                      <w:szCs w:val="21"/>
                    </w:rPr>
                    <w:t>/</w:t>
                  </w:r>
                </w:p>
              </w:tc>
            </w:tr>
            <w:tr w14:paraId="01C702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2" w:hRule="atLeast"/>
                <w:tblHeader/>
                <w:jc w:val="center"/>
              </w:trPr>
              <w:tc>
                <w:tcPr>
                  <w:tcW w:w="403" w:type="pct"/>
                  <w:vMerge w:val="restart"/>
                  <w:vAlign w:val="center"/>
                </w:tcPr>
                <w:p w14:paraId="7389D5BA">
                  <w:pPr>
                    <w:jc w:val="center"/>
                    <w:rPr>
                      <w:szCs w:val="21"/>
                    </w:rPr>
                  </w:pPr>
                  <w:r>
                    <w:rPr>
                      <w:szCs w:val="21"/>
                    </w:rPr>
                    <w:t>3</w:t>
                  </w:r>
                </w:p>
              </w:tc>
              <w:tc>
                <w:tcPr>
                  <w:tcW w:w="1472" w:type="pct"/>
                  <w:gridSpan w:val="2"/>
                  <w:vAlign w:val="center"/>
                </w:tcPr>
                <w:p w14:paraId="1E0E6D97">
                  <w:pPr>
                    <w:pStyle w:val="19"/>
                    <w:spacing w:after="0" w:line="240" w:lineRule="auto"/>
                    <w:jc w:val="center"/>
                    <w:rPr>
                      <w:szCs w:val="21"/>
                    </w:rPr>
                  </w:pPr>
                  <w:r>
                    <w:rPr>
                      <w:szCs w:val="21"/>
                    </w:rPr>
                    <w:t>总建筑面积</w:t>
                  </w:r>
                </w:p>
              </w:tc>
              <w:tc>
                <w:tcPr>
                  <w:tcW w:w="682" w:type="pct"/>
                  <w:vAlign w:val="center"/>
                </w:tcPr>
                <w:p w14:paraId="69D4B751">
                  <w:pPr>
                    <w:pStyle w:val="19"/>
                    <w:spacing w:after="0" w:line="240" w:lineRule="auto"/>
                    <w:jc w:val="center"/>
                    <w:rPr>
                      <w:szCs w:val="21"/>
                      <w:vertAlign w:val="superscript"/>
                    </w:rPr>
                  </w:pPr>
                  <w:r>
                    <w:rPr>
                      <w:szCs w:val="21"/>
                    </w:rPr>
                    <w:t>m</w:t>
                  </w:r>
                  <w:r>
                    <w:rPr>
                      <w:szCs w:val="21"/>
                      <w:vertAlign w:val="superscript"/>
                    </w:rPr>
                    <w:t>2</w:t>
                  </w:r>
                </w:p>
              </w:tc>
              <w:tc>
                <w:tcPr>
                  <w:tcW w:w="859" w:type="pct"/>
                  <w:vAlign w:val="center"/>
                </w:tcPr>
                <w:p w14:paraId="01C99B55">
                  <w:pPr>
                    <w:pStyle w:val="19"/>
                    <w:spacing w:after="0" w:line="240" w:lineRule="auto"/>
                    <w:jc w:val="center"/>
                    <w:rPr>
                      <w:szCs w:val="21"/>
                    </w:rPr>
                  </w:pPr>
                  <w:r>
                    <w:rPr>
                      <w:rFonts w:hint="eastAsia"/>
                      <w:szCs w:val="21"/>
                    </w:rPr>
                    <w:t>567.75</w:t>
                  </w:r>
                </w:p>
              </w:tc>
              <w:tc>
                <w:tcPr>
                  <w:tcW w:w="1582" w:type="pct"/>
                  <w:vAlign w:val="center"/>
                </w:tcPr>
                <w:p w14:paraId="5E45BFBD">
                  <w:pPr>
                    <w:jc w:val="center"/>
                    <w:rPr>
                      <w:szCs w:val="21"/>
                    </w:rPr>
                  </w:pPr>
                  <w:r>
                    <w:rPr>
                      <w:szCs w:val="21"/>
                    </w:rPr>
                    <w:t>/</w:t>
                  </w:r>
                </w:p>
              </w:tc>
            </w:tr>
            <w:tr w14:paraId="69D296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tblHeader/>
                <w:jc w:val="center"/>
              </w:trPr>
              <w:tc>
                <w:tcPr>
                  <w:tcW w:w="403" w:type="pct"/>
                  <w:vMerge w:val="continue"/>
                  <w:vAlign w:val="center"/>
                </w:tcPr>
                <w:p w14:paraId="568DB38F">
                  <w:pPr>
                    <w:jc w:val="center"/>
                    <w:rPr>
                      <w:szCs w:val="21"/>
                    </w:rPr>
                  </w:pPr>
                </w:p>
              </w:tc>
              <w:tc>
                <w:tcPr>
                  <w:tcW w:w="635" w:type="pct"/>
                  <w:vMerge w:val="restart"/>
                  <w:vAlign w:val="center"/>
                </w:tcPr>
                <w:p w14:paraId="5ADC8009">
                  <w:pPr>
                    <w:pStyle w:val="19"/>
                    <w:spacing w:after="0" w:line="240" w:lineRule="auto"/>
                    <w:jc w:val="center"/>
                    <w:rPr>
                      <w:szCs w:val="21"/>
                    </w:rPr>
                  </w:pPr>
                  <w:r>
                    <w:rPr>
                      <w:szCs w:val="21"/>
                    </w:rPr>
                    <w:t>其中：</w:t>
                  </w:r>
                </w:p>
              </w:tc>
              <w:tc>
                <w:tcPr>
                  <w:tcW w:w="836" w:type="pct"/>
                  <w:vAlign w:val="center"/>
                </w:tcPr>
                <w:p w14:paraId="5B3067EB">
                  <w:pPr>
                    <w:pStyle w:val="19"/>
                    <w:spacing w:after="0" w:line="240" w:lineRule="auto"/>
                    <w:jc w:val="center"/>
                    <w:rPr>
                      <w:szCs w:val="21"/>
                    </w:rPr>
                  </w:pPr>
                  <w:r>
                    <w:rPr>
                      <w:szCs w:val="21"/>
                    </w:rPr>
                    <w:t>站房</w:t>
                  </w:r>
                </w:p>
              </w:tc>
              <w:tc>
                <w:tcPr>
                  <w:tcW w:w="682" w:type="pct"/>
                  <w:vAlign w:val="center"/>
                </w:tcPr>
                <w:p w14:paraId="1A4DBD7C">
                  <w:pPr>
                    <w:pStyle w:val="19"/>
                    <w:spacing w:after="0" w:line="240" w:lineRule="auto"/>
                    <w:jc w:val="center"/>
                    <w:rPr>
                      <w:szCs w:val="21"/>
                    </w:rPr>
                  </w:pPr>
                  <w:r>
                    <w:rPr>
                      <w:szCs w:val="21"/>
                    </w:rPr>
                    <w:t>m</w:t>
                  </w:r>
                  <w:r>
                    <w:rPr>
                      <w:szCs w:val="21"/>
                      <w:vertAlign w:val="superscript"/>
                    </w:rPr>
                    <w:t>2</w:t>
                  </w:r>
                </w:p>
              </w:tc>
              <w:tc>
                <w:tcPr>
                  <w:tcW w:w="859" w:type="pct"/>
                  <w:vAlign w:val="center"/>
                </w:tcPr>
                <w:p w14:paraId="682231C1">
                  <w:pPr>
                    <w:pStyle w:val="19"/>
                    <w:spacing w:after="0" w:line="240" w:lineRule="auto"/>
                    <w:jc w:val="center"/>
                    <w:rPr>
                      <w:szCs w:val="21"/>
                    </w:rPr>
                  </w:pPr>
                  <w:r>
                    <w:rPr>
                      <w:rFonts w:hint="eastAsia"/>
                      <w:szCs w:val="21"/>
                    </w:rPr>
                    <w:t>308.75</w:t>
                  </w:r>
                </w:p>
              </w:tc>
              <w:tc>
                <w:tcPr>
                  <w:tcW w:w="1582" w:type="pct"/>
                  <w:vAlign w:val="center"/>
                </w:tcPr>
                <w:p w14:paraId="7053373D">
                  <w:pPr>
                    <w:jc w:val="center"/>
                    <w:rPr>
                      <w:szCs w:val="21"/>
                    </w:rPr>
                  </w:pPr>
                  <w:r>
                    <w:rPr>
                      <w:szCs w:val="21"/>
                    </w:rPr>
                    <w:t>/</w:t>
                  </w:r>
                </w:p>
              </w:tc>
            </w:tr>
            <w:tr w14:paraId="41149A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tblHeader/>
                <w:jc w:val="center"/>
              </w:trPr>
              <w:tc>
                <w:tcPr>
                  <w:tcW w:w="403" w:type="pct"/>
                  <w:vMerge w:val="continue"/>
                  <w:vAlign w:val="center"/>
                </w:tcPr>
                <w:p w14:paraId="6D968D3B">
                  <w:pPr>
                    <w:jc w:val="center"/>
                    <w:rPr>
                      <w:szCs w:val="21"/>
                    </w:rPr>
                  </w:pPr>
                </w:p>
              </w:tc>
              <w:tc>
                <w:tcPr>
                  <w:tcW w:w="635" w:type="pct"/>
                  <w:vMerge w:val="continue"/>
                  <w:vAlign w:val="center"/>
                </w:tcPr>
                <w:p w14:paraId="77BCE0A7">
                  <w:pPr>
                    <w:pStyle w:val="19"/>
                    <w:spacing w:after="0" w:line="240" w:lineRule="auto"/>
                    <w:ind w:firstLine="840" w:firstLineChars="400"/>
                    <w:jc w:val="center"/>
                    <w:rPr>
                      <w:szCs w:val="21"/>
                    </w:rPr>
                  </w:pPr>
                </w:p>
              </w:tc>
              <w:tc>
                <w:tcPr>
                  <w:tcW w:w="836" w:type="pct"/>
                  <w:vAlign w:val="center"/>
                </w:tcPr>
                <w:p w14:paraId="64ACCC19">
                  <w:pPr>
                    <w:pStyle w:val="19"/>
                    <w:spacing w:after="0" w:line="240" w:lineRule="auto"/>
                    <w:jc w:val="center"/>
                    <w:rPr>
                      <w:szCs w:val="21"/>
                    </w:rPr>
                  </w:pPr>
                  <w:r>
                    <w:rPr>
                      <w:szCs w:val="21"/>
                    </w:rPr>
                    <w:t>加油棚</w:t>
                  </w:r>
                </w:p>
              </w:tc>
              <w:tc>
                <w:tcPr>
                  <w:tcW w:w="682" w:type="pct"/>
                  <w:vAlign w:val="center"/>
                </w:tcPr>
                <w:p w14:paraId="6B1AF4BD">
                  <w:pPr>
                    <w:pStyle w:val="19"/>
                    <w:spacing w:after="0" w:line="240" w:lineRule="auto"/>
                    <w:jc w:val="center"/>
                    <w:rPr>
                      <w:szCs w:val="21"/>
                    </w:rPr>
                  </w:pPr>
                  <w:r>
                    <w:rPr>
                      <w:szCs w:val="21"/>
                    </w:rPr>
                    <w:t>m</w:t>
                  </w:r>
                  <w:r>
                    <w:rPr>
                      <w:szCs w:val="21"/>
                      <w:vertAlign w:val="superscript"/>
                    </w:rPr>
                    <w:t>2</w:t>
                  </w:r>
                </w:p>
              </w:tc>
              <w:tc>
                <w:tcPr>
                  <w:tcW w:w="859" w:type="pct"/>
                  <w:vAlign w:val="center"/>
                </w:tcPr>
                <w:p w14:paraId="5B5BDE38">
                  <w:pPr>
                    <w:pStyle w:val="19"/>
                    <w:spacing w:after="0" w:line="240" w:lineRule="auto"/>
                    <w:jc w:val="center"/>
                    <w:rPr>
                      <w:color w:val="000000"/>
                      <w:szCs w:val="21"/>
                    </w:rPr>
                  </w:pPr>
                  <w:r>
                    <w:rPr>
                      <w:rFonts w:hint="eastAsia"/>
                      <w:color w:val="000000"/>
                      <w:szCs w:val="21"/>
                    </w:rPr>
                    <w:t>259</w:t>
                  </w:r>
                </w:p>
              </w:tc>
              <w:tc>
                <w:tcPr>
                  <w:tcW w:w="1582" w:type="pct"/>
                  <w:vAlign w:val="center"/>
                </w:tcPr>
                <w:p w14:paraId="4B55E1D4">
                  <w:pPr>
                    <w:jc w:val="center"/>
                    <w:rPr>
                      <w:szCs w:val="21"/>
                    </w:rPr>
                  </w:pPr>
                  <w:r>
                    <w:rPr>
                      <w:szCs w:val="21"/>
                    </w:rPr>
                    <w:t>投影面积</w:t>
                  </w:r>
                  <w:r>
                    <w:rPr>
                      <w:rFonts w:hint="eastAsia"/>
                      <w:szCs w:val="21"/>
                    </w:rPr>
                    <w:t>518</w:t>
                  </w:r>
                  <w:r>
                    <w:rPr>
                      <w:szCs w:val="21"/>
                    </w:rPr>
                    <w:t>m</w:t>
                  </w:r>
                  <w:r>
                    <w:rPr>
                      <w:szCs w:val="21"/>
                      <w:vertAlign w:val="superscript"/>
                    </w:rPr>
                    <w:t>2</w:t>
                  </w:r>
                </w:p>
              </w:tc>
            </w:tr>
            <w:tr w14:paraId="13A26D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tblHeader/>
                <w:jc w:val="center"/>
              </w:trPr>
              <w:tc>
                <w:tcPr>
                  <w:tcW w:w="403" w:type="pct"/>
                  <w:vAlign w:val="center"/>
                </w:tcPr>
                <w:p w14:paraId="726FB76E">
                  <w:pPr>
                    <w:jc w:val="center"/>
                    <w:rPr>
                      <w:rFonts w:hint="eastAsia"/>
                      <w:szCs w:val="21"/>
                    </w:rPr>
                  </w:pPr>
                  <w:r>
                    <w:rPr>
                      <w:rFonts w:hint="eastAsia"/>
                      <w:szCs w:val="21"/>
                    </w:rPr>
                    <w:t>4</w:t>
                  </w:r>
                </w:p>
              </w:tc>
              <w:tc>
                <w:tcPr>
                  <w:tcW w:w="1472" w:type="pct"/>
                  <w:gridSpan w:val="2"/>
                  <w:vAlign w:val="center"/>
                </w:tcPr>
                <w:p w14:paraId="5E2E48A1">
                  <w:pPr>
                    <w:pStyle w:val="19"/>
                    <w:spacing w:after="0" w:line="240" w:lineRule="auto"/>
                    <w:jc w:val="center"/>
                    <w:rPr>
                      <w:rFonts w:hint="eastAsia"/>
                      <w:szCs w:val="21"/>
                    </w:rPr>
                  </w:pPr>
                  <w:r>
                    <w:rPr>
                      <w:rFonts w:hint="eastAsia"/>
                      <w:szCs w:val="21"/>
                    </w:rPr>
                    <w:t>建筑占地面积</w:t>
                  </w:r>
                </w:p>
              </w:tc>
              <w:tc>
                <w:tcPr>
                  <w:tcW w:w="682" w:type="pct"/>
                  <w:vAlign w:val="center"/>
                </w:tcPr>
                <w:p w14:paraId="6F2E26B4">
                  <w:pPr>
                    <w:pStyle w:val="19"/>
                    <w:spacing w:after="0" w:line="240" w:lineRule="auto"/>
                    <w:jc w:val="center"/>
                    <w:rPr>
                      <w:szCs w:val="21"/>
                    </w:rPr>
                  </w:pPr>
                  <w:r>
                    <w:rPr>
                      <w:szCs w:val="21"/>
                    </w:rPr>
                    <w:t>m</w:t>
                  </w:r>
                  <w:r>
                    <w:rPr>
                      <w:szCs w:val="21"/>
                      <w:vertAlign w:val="superscript"/>
                    </w:rPr>
                    <w:t>2</w:t>
                  </w:r>
                </w:p>
              </w:tc>
              <w:tc>
                <w:tcPr>
                  <w:tcW w:w="859" w:type="pct"/>
                  <w:vAlign w:val="center"/>
                </w:tcPr>
                <w:p w14:paraId="228CFBA7">
                  <w:pPr>
                    <w:pStyle w:val="19"/>
                    <w:spacing w:after="0" w:line="240" w:lineRule="auto"/>
                    <w:jc w:val="center"/>
                    <w:rPr>
                      <w:color w:val="000000"/>
                      <w:szCs w:val="21"/>
                    </w:rPr>
                  </w:pPr>
                  <w:r>
                    <w:rPr>
                      <w:rFonts w:hint="eastAsia"/>
                      <w:color w:val="000000"/>
                      <w:szCs w:val="21"/>
                    </w:rPr>
                    <w:t>716.25</w:t>
                  </w:r>
                </w:p>
              </w:tc>
              <w:tc>
                <w:tcPr>
                  <w:tcW w:w="1582" w:type="pct"/>
                  <w:vAlign w:val="center"/>
                </w:tcPr>
                <w:p w14:paraId="50B71DB4">
                  <w:pPr>
                    <w:jc w:val="center"/>
                    <w:rPr>
                      <w:rFonts w:hint="eastAsia"/>
                      <w:szCs w:val="21"/>
                    </w:rPr>
                  </w:pPr>
                  <w:r>
                    <w:rPr>
                      <w:rFonts w:hint="eastAsia"/>
                      <w:szCs w:val="21"/>
                    </w:rPr>
                    <w:t>/</w:t>
                  </w:r>
                </w:p>
              </w:tc>
            </w:tr>
            <w:tr w14:paraId="6E4C71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tblHeader/>
                <w:jc w:val="center"/>
              </w:trPr>
              <w:tc>
                <w:tcPr>
                  <w:tcW w:w="403" w:type="pct"/>
                  <w:vAlign w:val="center"/>
                </w:tcPr>
                <w:p w14:paraId="23D792BB">
                  <w:pPr>
                    <w:jc w:val="center"/>
                    <w:rPr>
                      <w:szCs w:val="21"/>
                    </w:rPr>
                  </w:pPr>
                  <w:r>
                    <w:rPr>
                      <w:rFonts w:hint="eastAsia"/>
                      <w:szCs w:val="21"/>
                    </w:rPr>
                    <w:t>5</w:t>
                  </w:r>
                </w:p>
              </w:tc>
              <w:tc>
                <w:tcPr>
                  <w:tcW w:w="1472" w:type="pct"/>
                  <w:gridSpan w:val="2"/>
                  <w:vAlign w:val="center"/>
                </w:tcPr>
                <w:p w14:paraId="6FC25FE9">
                  <w:pPr>
                    <w:pStyle w:val="19"/>
                    <w:spacing w:after="0" w:line="240" w:lineRule="auto"/>
                    <w:jc w:val="center"/>
                    <w:rPr>
                      <w:rFonts w:hint="eastAsia"/>
                      <w:szCs w:val="21"/>
                    </w:rPr>
                  </w:pPr>
                  <w:r>
                    <w:rPr>
                      <w:rFonts w:hint="eastAsia"/>
                      <w:szCs w:val="21"/>
                    </w:rPr>
                    <w:t>容积率</w:t>
                  </w:r>
                </w:p>
              </w:tc>
              <w:tc>
                <w:tcPr>
                  <w:tcW w:w="682" w:type="pct"/>
                  <w:vAlign w:val="center"/>
                </w:tcPr>
                <w:p w14:paraId="6F8D9926">
                  <w:pPr>
                    <w:pStyle w:val="19"/>
                    <w:spacing w:after="0" w:line="240" w:lineRule="auto"/>
                    <w:jc w:val="center"/>
                    <w:rPr>
                      <w:rFonts w:hint="eastAsia"/>
                      <w:szCs w:val="21"/>
                    </w:rPr>
                  </w:pPr>
                  <w:r>
                    <w:rPr>
                      <w:rFonts w:hint="eastAsia"/>
                      <w:szCs w:val="21"/>
                    </w:rPr>
                    <w:t>/</w:t>
                  </w:r>
                </w:p>
              </w:tc>
              <w:tc>
                <w:tcPr>
                  <w:tcW w:w="859" w:type="pct"/>
                  <w:vAlign w:val="center"/>
                </w:tcPr>
                <w:p w14:paraId="2B23B2C6">
                  <w:pPr>
                    <w:pStyle w:val="19"/>
                    <w:spacing w:after="0" w:line="240" w:lineRule="auto"/>
                    <w:jc w:val="center"/>
                    <w:rPr>
                      <w:szCs w:val="21"/>
                    </w:rPr>
                  </w:pPr>
                  <w:r>
                    <w:rPr>
                      <w:rFonts w:hint="eastAsia"/>
                      <w:szCs w:val="21"/>
                    </w:rPr>
                    <w:t>0.28</w:t>
                  </w:r>
                </w:p>
              </w:tc>
              <w:tc>
                <w:tcPr>
                  <w:tcW w:w="1582" w:type="pct"/>
                  <w:vAlign w:val="center"/>
                </w:tcPr>
                <w:p w14:paraId="0FC7EF58">
                  <w:pPr>
                    <w:jc w:val="center"/>
                    <w:rPr>
                      <w:rFonts w:hint="eastAsia"/>
                      <w:szCs w:val="21"/>
                    </w:rPr>
                  </w:pPr>
                  <w:r>
                    <w:rPr>
                      <w:rFonts w:hint="eastAsia"/>
                      <w:szCs w:val="21"/>
                    </w:rPr>
                    <w:t>/</w:t>
                  </w:r>
                </w:p>
              </w:tc>
            </w:tr>
            <w:tr w14:paraId="35A2EC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tblHeader/>
                <w:jc w:val="center"/>
              </w:trPr>
              <w:tc>
                <w:tcPr>
                  <w:tcW w:w="403" w:type="pct"/>
                  <w:vAlign w:val="center"/>
                </w:tcPr>
                <w:p w14:paraId="65A28017">
                  <w:pPr>
                    <w:jc w:val="center"/>
                    <w:rPr>
                      <w:rFonts w:hint="eastAsia"/>
                      <w:szCs w:val="21"/>
                    </w:rPr>
                  </w:pPr>
                  <w:r>
                    <w:rPr>
                      <w:rFonts w:hint="eastAsia"/>
                      <w:szCs w:val="21"/>
                    </w:rPr>
                    <w:t>6</w:t>
                  </w:r>
                </w:p>
              </w:tc>
              <w:tc>
                <w:tcPr>
                  <w:tcW w:w="1472" w:type="pct"/>
                  <w:gridSpan w:val="2"/>
                  <w:vAlign w:val="center"/>
                </w:tcPr>
                <w:p w14:paraId="5D7F7062">
                  <w:pPr>
                    <w:jc w:val="center"/>
                    <w:rPr>
                      <w:szCs w:val="21"/>
                    </w:rPr>
                  </w:pPr>
                  <w:r>
                    <w:rPr>
                      <w:szCs w:val="21"/>
                    </w:rPr>
                    <w:t>绿地率</w:t>
                  </w:r>
                </w:p>
              </w:tc>
              <w:tc>
                <w:tcPr>
                  <w:tcW w:w="682" w:type="pct"/>
                  <w:vAlign w:val="center"/>
                </w:tcPr>
                <w:p w14:paraId="03B78AF5">
                  <w:pPr>
                    <w:jc w:val="center"/>
                    <w:rPr>
                      <w:szCs w:val="21"/>
                    </w:rPr>
                  </w:pPr>
                  <w:r>
                    <w:rPr>
                      <w:szCs w:val="21"/>
                    </w:rPr>
                    <w:t>%</w:t>
                  </w:r>
                </w:p>
              </w:tc>
              <w:tc>
                <w:tcPr>
                  <w:tcW w:w="859" w:type="pct"/>
                  <w:vAlign w:val="center"/>
                </w:tcPr>
                <w:p w14:paraId="3FB098BE">
                  <w:pPr>
                    <w:jc w:val="center"/>
                    <w:rPr>
                      <w:szCs w:val="21"/>
                    </w:rPr>
                  </w:pPr>
                  <w:r>
                    <w:rPr>
                      <w:rFonts w:hint="eastAsia"/>
                      <w:szCs w:val="21"/>
                    </w:rPr>
                    <w:t>18.45</w:t>
                  </w:r>
                </w:p>
              </w:tc>
              <w:tc>
                <w:tcPr>
                  <w:tcW w:w="1582" w:type="pct"/>
                  <w:vAlign w:val="center"/>
                </w:tcPr>
                <w:p w14:paraId="73CE97D0">
                  <w:pPr>
                    <w:jc w:val="center"/>
                    <w:rPr>
                      <w:szCs w:val="21"/>
                    </w:rPr>
                  </w:pPr>
                  <w:r>
                    <w:rPr>
                      <w:szCs w:val="21"/>
                    </w:rPr>
                    <w:t>绿化面积约</w:t>
                  </w:r>
                  <w:r>
                    <w:rPr>
                      <w:rFonts w:hint="eastAsia"/>
                      <w:szCs w:val="21"/>
                    </w:rPr>
                    <w:t>370.13</w:t>
                  </w:r>
                  <w:r>
                    <w:rPr>
                      <w:szCs w:val="21"/>
                    </w:rPr>
                    <w:t>m</w:t>
                  </w:r>
                  <w:r>
                    <w:rPr>
                      <w:szCs w:val="21"/>
                      <w:vertAlign w:val="superscript"/>
                    </w:rPr>
                    <w:t>2</w:t>
                  </w:r>
                </w:p>
              </w:tc>
            </w:tr>
            <w:tr w14:paraId="23FCC6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tblHeader/>
                <w:jc w:val="center"/>
              </w:trPr>
              <w:tc>
                <w:tcPr>
                  <w:tcW w:w="403" w:type="pct"/>
                  <w:vAlign w:val="center"/>
                </w:tcPr>
                <w:p w14:paraId="75985E12">
                  <w:pPr>
                    <w:jc w:val="center"/>
                    <w:rPr>
                      <w:rFonts w:hint="eastAsia"/>
                      <w:szCs w:val="21"/>
                    </w:rPr>
                  </w:pPr>
                  <w:r>
                    <w:rPr>
                      <w:rFonts w:hint="eastAsia"/>
                      <w:szCs w:val="21"/>
                    </w:rPr>
                    <w:t>7</w:t>
                  </w:r>
                </w:p>
              </w:tc>
              <w:tc>
                <w:tcPr>
                  <w:tcW w:w="1472" w:type="pct"/>
                  <w:gridSpan w:val="2"/>
                  <w:vAlign w:val="center"/>
                </w:tcPr>
                <w:p w14:paraId="229A8892">
                  <w:pPr>
                    <w:jc w:val="center"/>
                    <w:rPr>
                      <w:szCs w:val="21"/>
                    </w:rPr>
                  </w:pPr>
                  <w:r>
                    <w:rPr>
                      <w:szCs w:val="21"/>
                    </w:rPr>
                    <w:t>项目总投资</w:t>
                  </w:r>
                </w:p>
              </w:tc>
              <w:tc>
                <w:tcPr>
                  <w:tcW w:w="682" w:type="pct"/>
                  <w:vAlign w:val="center"/>
                </w:tcPr>
                <w:p w14:paraId="3ADD5C5C">
                  <w:pPr>
                    <w:jc w:val="center"/>
                    <w:rPr>
                      <w:szCs w:val="21"/>
                    </w:rPr>
                  </w:pPr>
                  <w:r>
                    <w:rPr>
                      <w:szCs w:val="21"/>
                    </w:rPr>
                    <w:t>万元</w:t>
                  </w:r>
                </w:p>
              </w:tc>
              <w:tc>
                <w:tcPr>
                  <w:tcW w:w="859" w:type="pct"/>
                  <w:vAlign w:val="center"/>
                </w:tcPr>
                <w:p w14:paraId="6F472B88">
                  <w:pPr>
                    <w:jc w:val="center"/>
                    <w:rPr>
                      <w:szCs w:val="21"/>
                    </w:rPr>
                  </w:pPr>
                  <w:r>
                    <w:rPr>
                      <w:rFonts w:hint="eastAsia"/>
                      <w:szCs w:val="21"/>
                    </w:rPr>
                    <w:t>1700</w:t>
                  </w:r>
                </w:p>
              </w:tc>
              <w:tc>
                <w:tcPr>
                  <w:tcW w:w="1582" w:type="pct"/>
                  <w:vAlign w:val="center"/>
                </w:tcPr>
                <w:p w14:paraId="5374DBB6">
                  <w:pPr>
                    <w:jc w:val="center"/>
                    <w:rPr>
                      <w:szCs w:val="21"/>
                    </w:rPr>
                  </w:pPr>
                  <w:r>
                    <w:rPr>
                      <w:szCs w:val="21"/>
                    </w:rPr>
                    <w:t>/</w:t>
                  </w:r>
                </w:p>
              </w:tc>
            </w:tr>
            <w:tr w14:paraId="65458F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tblHeader/>
                <w:jc w:val="center"/>
              </w:trPr>
              <w:tc>
                <w:tcPr>
                  <w:tcW w:w="403" w:type="pct"/>
                  <w:vAlign w:val="center"/>
                </w:tcPr>
                <w:p w14:paraId="0EC32EF3">
                  <w:pPr>
                    <w:jc w:val="center"/>
                    <w:rPr>
                      <w:rFonts w:hint="eastAsia"/>
                      <w:szCs w:val="21"/>
                    </w:rPr>
                  </w:pPr>
                  <w:r>
                    <w:rPr>
                      <w:rFonts w:hint="eastAsia"/>
                      <w:szCs w:val="21"/>
                    </w:rPr>
                    <w:t>8</w:t>
                  </w:r>
                </w:p>
              </w:tc>
              <w:tc>
                <w:tcPr>
                  <w:tcW w:w="1472" w:type="pct"/>
                  <w:gridSpan w:val="2"/>
                  <w:vAlign w:val="center"/>
                </w:tcPr>
                <w:p w14:paraId="20969909">
                  <w:pPr>
                    <w:ind w:firstLine="210" w:firstLineChars="100"/>
                    <w:jc w:val="center"/>
                    <w:rPr>
                      <w:szCs w:val="21"/>
                    </w:rPr>
                  </w:pPr>
                  <w:r>
                    <w:rPr>
                      <w:szCs w:val="21"/>
                    </w:rPr>
                    <w:t>其中：环保投资</w:t>
                  </w:r>
                </w:p>
              </w:tc>
              <w:tc>
                <w:tcPr>
                  <w:tcW w:w="682" w:type="pct"/>
                  <w:vAlign w:val="center"/>
                </w:tcPr>
                <w:p w14:paraId="70AFB0DB">
                  <w:pPr>
                    <w:jc w:val="center"/>
                    <w:rPr>
                      <w:szCs w:val="21"/>
                    </w:rPr>
                  </w:pPr>
                  <w:r>
                    <w:rPr>
                      <w:szCs w:val="21"/>
                    </w:rPr>
                    <w:t>万元</w:t>
                  </w:r>
                </w:p>
              </w:tc>
              <w:tc>
                <w:tcPr>
                  <w:tcW w:w="859" w:type="pct"/>
                  <w:vAlign w:val="center"/>
                </w:tcPr>
                <w:p w14:paraId="620BC3E1">
                  <w:pPr>
                    <w:jc w:val="center"/>
                    <w:rPr>
                      <w:color w:val="000000"/>
                      <w:szCs w:val="21"/>
                    </w:rPr>
                  </w:pPr>
                  <w:r>
                    <w:rPr>
                      <w:rFonts w:hint="eastAsia"/>
                      <w:color w:val="000000"/>
                      <w:szCs w:val="21"/>
                    </w:rPr>
                    <w:t>50</w:t>
                  </w:r>
                </w:p>
              </w:tc>
              <w:tc>
                <w:tcPr>
                  <w:tcW w:w="1582" w:type="pct"/>
                  <w:vAlign w:val="center"/>
                </w:tcPr>
                <w:p w14:paraId="103CDCBB">
                  <w:pPr>
                    <w:jc w:val="center"/>
                    <w:rPr>
                      <w:szCs w:val="21"/>
                    </w:rPr>
                  </w:pPr>
                  <w:r>
                    <w:rPr>
                      <w:szCs w:val="21"/>
                    </w:rPr>
                    <w:t>/</w:t>
                  </w:r>
                </w:p>
              </w:tc>
            </w:tr>
            <w:tr w14:paraId="7A5E08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tblHeader/>
                <w:jc w:val="center"/>
              </w:trPr>
              <w:tc>
                <w:tcPr>
                  <w:tcW w:w="403" w:type="pct"/>
                  <w:vAlign w:val="center"/>
                </w:tcPr>
                <w:p w14:paraId="238C763F">
                  <w:pPr>
                    <w:jc w:val="center"/>
                    <w:rPr>
                      <w:rFonts w:hint="eastAsia"/>
                      <w:szCs w:val="21"/>
                    </w:rPr>
                  </w:pPr>
                  <w:r>
                    <w:rPr>
                      <w:rFonts w:hint="eastAsia"/>
                      <w:szCs w:val="21"/>
                    </w:rPr>
                    <w:t>9</w:t>
                  </w:r>
                </w:p>
              </w:tc>
              <w:tc>
                <w:tcPr>
                  <w:tcW w:w="1472" w:type="pct"/>
                  <w:gridSpan w:val="2"/>
                  <w:vAlign w:val="center"/>
                </w:tcPr>
                <w:p w14:paraId="7254FA31">
                  <w:pPr>
                    <w:ind w:firstLine="210" w:firstLineChars="100"/>
                    <w:jc w:val="center"/>
                    <w:rPr>
                      <w:szCs w:val="21"/>
                    </w:rPr>
                  </w:pPr>
                  <w:r>
                    <w:rPr>
                      <w:szCs w:val="21"/>
                    </w:rPr>
                    <w:t>劳动定员</w:t>
                  </w:r>
                </w:p>
              </w:tc>
              <w:tc>
                <w:tcPr>
                  <w:tcW w:w="682" w:type="pct"/>
                  <w:vAlign w:val="center"/>
                </w:tcPr>
                <w:p w14:paraId="25504EEC">
                  <w:pPr>
                    <w:jc w:val="center"/>
                    <w:rPr>
                      <w:szCs w:val="21"/>
                    </w:rPr>
                  </w:pPr>
                  <w:r>
                    <w:rPr>
                      <w:szCs w:val="21"/>
                    </w:rPr>
                    <w:t>人</w:t>
                  </w:r>
                </w:p>
              </w:tc>
              <w:tc>
                <w:tcPr>
                  <w:tcW w:w="859" w:type="pct"/>
                  <w:vAlign w:val="center"/>
                </w:tcPr>
                <w:p w14:paraId="7002AFE9">
                  <w:pPr>
                    <w:jc w:val="center"/>
                    <w:rPr>
                      <w:rFonts w:hint="eastAsia"/>
                      <w:szCs w:val="21"/>
                    </w:rPr>
                  </w:pPr>
                  <w:r>
                    <w:rPr>
                      <w:rFonts w:hint="eastAsia"/>
                      <w:szCs w:val="21"/>
                    </w:rPr>
                    <w:t>8</w:t>
                  </w:r>
                </w:p>
              </w:tc>
              <w:tc>
                <w:tcPr>
                  <w:tcW w:w="1582" w:type="pct"/>
                  <w:vAlign w:val="center"/>
                </w:tcPr>
                <w:p w14:paraId="282C729F">
                  <w:pPr>
                    <w:jc w:val="center"/>
                    <w:rPr>
                      <w:rFonts w:hint="eastAsia"/>
                      <w:szCs w:val="21"/>
                    </w:rPr>
                  </w:pPr>
                  <w:r>
                    <w:rPr>
                      <w:rFonts w:hint="eastAsia"/>
                      <w:bCs/>
                      <w:szCs w:val="21"/>
                    </w:rPr>
                    <w:t>其中安全管理人员1人</w:t>
                  </w:r>
                </w:p>
              </w:tc>
            </w:tr>
          </w:tbl>
          <w:p w14:paraId="4A7071C6">
            <w:pPr>
              <w:adjustRightInd w:val="0"/>
              <w:snapToGrid w:val="0"/>
              <w:spacing w:line="360" w:lineRule="auto"/>
              <w:rPr>
                <w:rFonts w:hint="eastAsia" w:ascii="宋体" w:hAnsi="宋体" w:cs="宋体"/>
                <w:b/>
                <w:sz w:val="24"/>
              </w:rPr>
            </w:pPr>
            <w:r>
              <w:rPr>
                <w:rFonts w:hint="eastAsia" w:ascii="宋体" w:hAnsi="宋体" w:cs="宋体"/>
                <w:b/>
                <w:sz w:val="24"/>
              </w:rPr>
              <w:t>2.2建设内容</w:t>
            </w:r>
          </w:p>
          <w:p w14:paraId="29E4B3F7">
            <w:pPr>
              <w:adjustRightInd w:val="0"/>
              <w:snapToGrid w:val="0"/>
              <w:spacing w:line="360" w:lineRule="auto"/>
              <w:ind w:firstLine="480" w:firstLineChars="200"/>
              <w:rPr>
                <w:rFonts w:hint="eastAsia" w:ascii="宋体" w:hAnsi="宋体" w:cs="宋体"/>
                <w:bCs/>
                <w:sz w:val="24"/>
              </w:rPr>
            </w:pPr>
            <w:r>
              <w:rPr>
                <w:rFonts w:hint="eastAsia" w:ascii="宋体" w:hAnsi="宋体" w:cs="宋体"/>
                <w:bCs/>
                <w:sz w:val="24"/>
              </w:rPr>
              <w:t>本项目组成主要包括主体工程、辅助工程、储运工程、公用工程、环保工程等，拟建项目组成见表2-4。</w:t>
            </w:r>
          </w:p>
          <w:p w14:paraId="407BB617">
            <w:pPr>
              <w:pStyle w:val="2"/>
              <w:rPr>
                <w:rFonts w:hint="eastAsia"/>
              </w:rPr>
            </w:pPr>
          </w:p>
          <w:p w14:paraId="7CE772E5">
            <w:pPr>
              <w:rPr>
                <w:rFonts w:hint="eastAsia"/>
              </w:rPr>
            </w:pPr>
          </w:p>
          <w:p w14:paraId="7253E422">
            <w:pPr>
              <w:pStyle w:val="2"/>
              <w:rPr>
                <w:rFonts w:hint="eastAsia"/>
              </w:rPr>
            </w:pPr>
          </w:p>
          <w:p w14:paraId="0124414F">
            <w:pPr>
              <w:pStyle w:val="68"/>
              <w:spacing w:line="240" w:lineRule="auto"/>
              <w:rPr>
                <w:rFonts w:ascii="黑体" w:hAnsi="黑体" w:eastAsia="黑体" w:cs="黑体"/>
                <w:b w:val="0"/>
                <w:bCs w:val="0"/>
              </w:rPr>
            </w:pPr>
            <w:r>
              <w:rPr>
                <w:rFonts w:ascii="黑体" w:hAnsi="黑体" w:eastAsia="黑体" w:cs="黑体"/>
                <w:b w:val="0"/>
                <w:bCs w:val="0"/>
              </w:rPr>
              <w:t>表</w:t>
            </w:r>
            <w:r>
              <w:rPr>
                <w:rFonts w:hint="eastAsia" w:ascii="黑体" w:hAnsi="黑体" w:eastAsia="黑体" w:cs="黑体"/>
                <w:b w:val="0"/>
                <w:bCs w:val="0"/>
              </w:rPr>
              <w:t>2</w:t>
            </w:r>
            <w:r>
              <w:rPr>
                <w:rFonts w:ascii="黑体" w:hAnsi="黑体" w:eastAsia="黑体" w:cs="黑体"/>
                <w:b w:val="0"/>
                <w:bCs w:val="0"/>
              </w:rPr>
              <w:t>-</w:t>
            </w:r>
            <w:r>
              <w:rPr>
                <w:rFonts w:hint="eastAsia" w:ascii="黑体" w:hAnsi="黑体" w:eastAsia="黑体" w:cs="黑体"/>
                <w:b w:val="0"/>
                <w:bCs w:val="0"/>
              </w:rPr>
              <w:t>4</w:t>
            </w:r>
            <w:r>
              <w:rPr>
                <w:rFonts w:ascii="黑体" w:hAnsi="黑体" w:eastAsia="黑体" w:cs="黑体"/>
                <w:b w:val="0"/>
                <w:bCs w:val="0"/>
              </w:rPr>
              <w:t xml:space="preserve">  拟建项目组成一览表</w:t>
            </w:r>
          </w:p>
          <w:tbl>
            <w:tblPr>
              <w:tblStyle w:val="23"/>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81"/>
              <w:gridCol w:w="1037"/>
              <w:gridCol w:w="6409"/>
            </w:tblGrid>
            <w:tr w14:paraId="7ADD65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18" w:hRule="atLeast"/>
              </w:trPr>
              <w:tc>
                <w:tcPr>
                  <w:tcW w:w="419" w:type="pct"/>
                  <w:vAlign w:val="center"/>
                </w:tcPr>
                <w:p w14:paraId="59B62609">
                  <w:pPr>
                    <w:adjustRightInd w:val="0"/>
                    <w:jc w:val="center"/>
                    <w:rPr>
                      <w:szCs w:val="21"/>
                    </w:rPr>
                  </w:pPr>
                  <w:r>
                    <w:rPr>
                      <w:szCs w:val="21"/>
                    </w:rPr>
                    <w:t>分类</w:t>
                  </w:r>
                </w:p>
              </w:tc>
              <w:tc>
                <w:tcPr>
                  <w:tcW w:w="638" w:type="pct"/>
                  <w:vAlign w:val="center"/>
                </w:tcPr>
                <w:p w14:paraId="1F5CC7F6">
                  <w:pPr>
                    <w:adjustRightInd w:val="0"/>
                    <w:jc w:val="center"/>
                    <w:rPr>
                      <w:szCs w:val="21"/>
                    </w:rPr>
                  </w:pPr>
                  <w:r>
                    <w:rPr>
                      <w:szCs w:val="21"/>
                    </w:rPr>
                    <w:t>项目名称</w:t>
                  </w:r>
                </w:p>
              </w:tc>
              <w:tc>
                <w:tcPr>
                  <w:tcW w:w="3942" w:type="pct"/>
                  <w:vAlign w:val="center"/>
                </w:tcPr>
                <w:p w14:paraId="2F5505C7">
                  <w:pPr>
                    <w:adjustRightInd w:val="0"/>
                    <w:jc w:val="center"/>
                    <w:rPr>
                      <w:szCs w:val="21"/>
                    </w:rPr>
                  </w:pPr>
                  <w:r>
                    <w:rPr>
                      <w:szCs w:val="21"/>
                    </w:rPr>
                    <w:t>建设内容及规模</w:t>
                  </w:r>
                </w:p>
              </w:tc>
            </w:tr>
            <w:tr w14:paraId="299DEE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0" w:hRule="atLeast"/>
              </w:trPr>
              <w:tc>
                <w:tcPr>
                  <w:tcW w:w="419" w:type="pct"/>
                  <w:vMerge w:val="restart"/>
                  <w:vAlign w:val="center"/>
                </w:tcPr>
                <w:p w14:paraId="5EC54F32">
                  <w:pPr>
                    <w:adjustRightInd w:val="0"/>
                    <w:jc w:val="center"/>
                    <w:rPr>
                      <w:szCs w:val="21"/>
                    </w:rPr>
                  </w:pPr>
                  <w:r>
                    <w:rPr>
                      <w:szCs w:val="21"/>
                    </w:rPr>
                    <w:t>主体</w:t>
                  </w:r>
                </w:p>
                <w:p w14:paraId="4A1B036C">
                  <w:pPr>
                    <w:adjustRightInd w:val="0"/>
                    <w:jc w:val="center"/>
                    <w:rPr>
                      <w:szCs w:val="21"/>
                    </w:rPr>
                  </w:pPr>
                  <w:r>
                    <w:rPr>
                      <w:szCs w:val="21"/>
                    </w:rPr>
                    <w:t>工程</w:t>
                  </w:r>
                </w:p>
              </w:tc>
              <w:tc>
                <w:tcPr>
                  <w:tcW w:w="638" w:type="pct"/>
                  <w:vAlign w:val="center"/>
                </w:tcPr>
                <w:p w14:paraId="7A689D0E">
                  <w:pPr>
                    <w:adjustRightInd w:val="0"/>
                    <w:jc w:val="center"/>
                    <w:rPr>
                      <w:szCs w:val="21"/>
                    </w:rPr>
                  </w:pPr>
                  <w:r>
                    <w:rPr>
                      <w:szCs w:val="21"/>
                    </w:rPr>
                    <w:t>油罐区</w:t>
                  </w:r>
                </w:p>
              </w:tc>
              <w:tc>
                <w:tcPr>
                  <w:tcW w:w="3942" w:type="pct"/>
                  <w:vAlign w:val="center"/>
                </w:tcPr>
                <w:p w14:paraId="68E382E7">
                  <w:pPr>
                    <w:adjustRightInd w:val="0"/>
                    <w:jc w:val="center"/>
                    <w:rPr>
                      <w:szCs w:val="21"/>
                    </w:rPr>
                  </w:pPr>
                  <w:r>
                    <w:rPr>
                      <w:szCs w:val="21"/>
                    </w:rPr>
                    <w:t>油罐区位于</w:t>
                  </w:r>
                  <w:r>
                    <w:rPr>
                      <w:rFonts w:hint="eastAsia"/>
                      <w:szCs w:val="21"/>
                    </w:rPr>
                    <w:t>站区</w:t>
                  </w:r>
                  <w:r>
                    <w:rPr>
                      <w:szCs w:val="21"/>
                    </w:rPr>
                    <w:t>中部加油区下</w:t>
                  </w:r>
                  <w:r>
                    <w:rPr>
                      <w:rFonts w:hint="eastAsia"/>
                      <w:szCs w:val="21"/>
                    </w:rPr>
                    <w:t>方</w:t>
                  </w:r>
                  <w:r>
                    <w:rPr>
                      <w:szCs w:val="21"/>
                    </w:rPr>
                    <w:t>，设置4个</w:t>
                  </w:r>
                  <w:r>
                    <w:rPr>
                      <w:rFonts w:hint="eastAsia"/>
                      <w:szCs w:val="21"/>
                    </w:rPr>
                    <w:t>埋地卧式单层罐</w:t>
                  </w:r>
                  <w:r>
                    <w:rPr>
                      <w:szCs w:val="21"/>
                    </w:rPr>
                    <w:t>（0#柴油：1×30m³；92#汽油：1×</w:t>
                  </w:r>
                  <w:r>
                    <w:rPr>
                      <w:rFonts w:hint="eastAsia"/>
                      <w:szCs w:val="21"/>
                    </w:rPr>
                    <w:t>30</w:t>
                  </w:r>
                  <w:r>
                    <w:rPr>
                      <w:szCs w:val="21"/>
                    </w:rPr>
                    <w:t>m³；95#汽油：1×25m³；9</w:t>
                  </w:r>
                  <w:r>
                    <w:rPr>
                      <w:rFonts w:hint="eastAsia"/>
                      <w:szCs w:val="21"/>
                    </w:rPr>
                    <w:t>5</w:t>
                  </w:r>
                  <w:r>
                    <w:rPr>
                      <w:szCs w:val="21"/>
                    </w:rPr>
                    <w:t>#汽油：1×2</w:t>
                  </w:r>
                  <w:r>
                    <w:rPr>
                      <w:rFonts w:hint="eastAsia"/>
                      <w:szCs w:val="21"/>
                    </w:rPr>
                    <w:t>0</w:t>
                  </w:r>
                  <w:r>
                    <w:rPr>
                      <w:szCs w:val="21"/>
                    </w:rPr>
                    <w:t>m³）</w:t>
                  </w:r>
                </w:p>
              </w:tc>
            </w:tr>
            <w:tr w14:paraId="0185F6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90" w:hRule="atLeast"/>
              </w:trPr>
              <w:tc>
                <w:tcPr>
                  <w:tcW w:w="419" w:type="pct"/>
                  <w:vMerge w:val="continue"/>
                  <w:vAlign w:val="center"/>
                </w:tcPr>
                <w:p w14:paraId="44F5A5A4">
                  <w:pPr>
                    <w:adjustRightInd w:val="0"/>
                    <w:jc w:val="center"/>
                    <w:rPr>
                      <w:szCs w:val="21"/>
                    </w:rPr>
                  </w:pPr>
                </w:p>
              </w:tc>
              <w:tc>
                <w:tcPr>
                  <w:tcW w:w="638" w:type="pct"/>
                  <w:vAlign w:val="center"/>
                </w:tcPr>
                <w:p w14:paraId="5A88674D">
                  <w:pPr>
                    <w:adjustRightInd w:val="0"/>
                    <w:jc w:val="center"/>
                    <w:rPr>
                      <w:szCs w:val="21"/>
                    </w:rPr>
                  </w:pPr>
                  <w:r>
                    <w:rPr>
                      <w:szCs w:val="21"/>
                    </w:rPr>
                    <w:t>加油区</w:t>
                  </w:r>
                </w:p>
              </w:tc>
              <w:tc>
                <w:tcPr>
                  <w:tcW w:w="3942" w:type="pct"/>
                  <w:vAlign w:val="center"/>
                </w:tcPr>
                <w:p w14:paraId="0B203A02">
                  <w:pPr>
                    <w:adjustRightInd w:val="0"/>
                    <w:jc w:val="center"/>
                    <w:rPr>
                      <w:szCs w:val="21"/>
                    </w:rPr>
                  </w:pPr>
                  <w:r>
                    <w:rPr>
                      <w:szCs w:val="21"/>
                    </w:rPr>
                    <w:t>位于</w:t>
                  </w:r>
                  <w:r>
                    <w:rPr>
                      <w:rFonts w:hint="eastAsia"/>
                      <w:szCs w:val="21"/>
                    </w:rPr>
                    <w:t>站区</w:t>
                  </w:r>
                  <w:r>
                    <w:rPr>
                      <w:szCs w:val="21"/>
                    </w:rPr>
                    <w:t>中部，罩棚面积</w:t>
                  </w:r>
                  <w:r>
                    <w:rPr>
                      <w:rFonts w:hint="eastAsia"/>
                      <w:szCs w:val="21"/>
                    </w:rPr>
                    <w:t>259</w:t>
                  </w:r>
                  <w:r>
                    <w:rPr>
                      <w:szCs w:val="21"/>
                    </w:rPr>
                    <w:t>m</w:t>
                  </w:r>
                  <w:r>
                    <w:rPr>
                      <w:szCs w:val="21"/>
                      <w:vertAlign w:val="superscript"/>
                    </w:rPr>
                    <w:t>2</w:t>
                  </w:r>
                  <w:r>
                    <w:rPr>
                      <w:szCs w:val="21"/>
                    </w:rPr>
                    <w:t>（投影面积</w:t>
                  </w:r>
                  <w:r>
                    <w:rPr>
                      <w:rFonts w:hint="eastAsia"/>
                      <w:szCs w:val="21"/>
                    </w:rPr>
                    <w:t>518</w:t>
                  </w:r>
                  <w:r>
                    <w:rPr>
                      <w:szCs w:val="21"/>
                    </w:rPr>
                    <w:t>m</w:t>
                  </w:r>
                  <w:r>
                    <w:rPr>
                      <w:szCs w:val="21"/>
                      <w:vertAlign w:val="superscript"/>
                    </w:rPr>
                    <w:t>2</w:t>
                  </w:r>
                  <w:r>
                    <w:rPr>
                      <w:szCs w:val="21"/>
                    </w:rPr>
                    <w:t>）</w:t>
                  </w:r>
                  <w:r>
                    <w:rPr>
                      <w:rFonts w:hint="eastAsia"/>
                      <w:szCs w:val="21"/>
                    </w:rPr>
                    <w:t>，H=7m，</w:t>
                  </w:r>
                  <w:r>
                    <w:rPr>
                      <w:szCs w:val="21"/>
                    </w:rPr>
                    <w:t>采用轻钢结构，设置加油岛</w:t>
                  </w:r>
                  <w:r>
                    <w:rPr>
                      <w:rFonts w:hint="eastAsia"/>
                      <w:szCs w:val="21"/>
                    </w:rPr>
                    <w:t>4</w:t>
                  </w:r>
                  <w:r>
                    <w:rPr>
                      <w:szCs w:val="21"/>
                    </w:rPr>
                    <w:t>座，布置</w:t>
                  </w:r>
                  <w:r>
                    <w:rPr>
                      <w:rFonts w:hint="eastAsia"/>
                      <w:szCs w:val="21"/>
                    </w:rPr>
                    <w:t>4</w:t>
                  </w:r>
                  <w:r>
                    <w:rPr>
                      <w:szCs w:val="21"/>
                    </w:rPr>
                    <w:t>台4枪加油机。汽油加油枪配套二次油气回收系统</w:t>
                  </w:r>
                </w:p>
              </w:tc>
            </w:tr>
            <w:tr w14:paraId="09E386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90" w:hRule="atLeast"/>
              </w:trPr>
              <w:tc>
                <w:tcPr>
                  <w:tcW w:w="419" w:type="pct"/>
                  <w:vMerge w:val="restart"/>
                  <w:vAlign w:val="center"/>
                </w:tcPr>
                <w:p w14:paraId="224D2798">
                  <w:pPr>
                    <w:adjustRightInd w:val="0"/>
                    <w:jc w:val="center"/>
                    <w:rPr>
                      <w:szCs w:val="21"/>
                    </w:rPr>
                  </w:pPr>
                  <w:r>
                    <w:rPr>
                      <w:szCs w:val="21"/>
                    </w:rPr>
                    <w:t>辅助</w:t>
                  </w:r>
                </w:p>
                <w:p w14:paraId="01DD51DD">
                  <w:pPr>
                    <w:adjustRightInd w:val="0"/>
                    <w:jc w:val="center"/>
                    <w:rPr>
                      <w:szCs w:val="21"/>
                    </w:rPr>
                  </w:pPr>
                  <w:r>
                    <w:rPr>
                      <w:szCs w:val="21"/>
                    </w:rPr>
                    <w:t>工程</w:t>
                  </w:r>
                </w:p>
              </w:tc>
              <w:tc>
                <w:tcPr>
                  <w:tcW w:w="638" w:type="pct"/>
                  <w:vAlign w:val="center"/>
                </w:tcPr>
                <w:p w14:paraId="652129D9">
                  <w:pPr>
                    <w:adjustRightInd w:val="0"/>
                    <w:jc w:val="center"/>
                    <w:rPr>
                      <w:szCs w:val="21"/>
                    </w:rPr>
                  </w:pPr>
                  <w:r>
                    <w:rPr>
                      <w:szCs w:val="21"/>
                    </w:rPr>
                    <w:t>站房</w:t>
                  </w:r>
                </w:p>
              </w:tc>
              <w:tc>
                <w:tcPr>
                  <w:tcW w:w="3942" w:type="pct"/>
                  <w:vAlign w:val="center"/>
                </w:tcPr>
                <w:p w14:paraId="42741B44">
                  <w:pPr>
                    <w:adjustRightInd w:val="0"/>
                    <w:jc w:val="center"/>
                    <w:rPr>
                      <w:rFonts w:hint="eastAsia"/>
                      <w:szCs w:val="21"/>
                    </w:rPr>
                  </w:pPr>
                  <w:r>
                    <w:rPr>
                      <w:rFonts w:hint="eastAsia"/>
                      <w:szCs w:val="21"/>
                    </w:rPr>
                    <w:t>1座，占地308.75m</w:t>
                  </w:r>
                  <w:r>
                    <w:rPr>
                      <w:rFonts w:hint="eastAsia"/>
                      <w:szCs w:val="21"/>
                      <w:vertAlign w:val="superscript"/>
                    </w:rPr>
                    <w:t>2</w:t>
                  </w:r>
                  <w:r>
                    <w:rPr>
                      <w:rFonts w:hint="eastAsia"/>
                      <w:szCs w:val="21"/>
                    </w:rPr>
                    <w:t>，钢混结构，</w:t>
                  </w:r>
                  <w:r>
                    <w:rPr>
                      <w:szCs w:val="21"/>
                    </w:rPr>
                    <w:t>2F</w:t>
                  </w:r>
                  <w:r>
                    <w:rPr>
                      <w:rFonts w:hint="eastAsia"/>
                      <w:szCs w:val="21"/>
                    </w:rPr>
                    <w:t>，H=7.65m，</w:t>
                  </w:r>
                  <w:r>
                    <w:rPr>
                      <w:szCs w:val="21"/>
                    </w:rPr>
                    <w:t>位于</w:t>
                  </w:r>
                  <w:r>
                    <w:rPr>
                      <w:rFonts w:hint="eastAsia"/>
                      <w:szCs w:val="21"/>
                    </w:rPr>
                    <w:t>站区</w:t>
                  </w:r>
                  <w:r>
                    <w:rPr>
                      <w:szCs w:val="21"/>
                    </w:rPr>
                    <w:t>北侧</w:t>
                  </w:r>
                </w:p>
              </w:tc>
            </w:tr>
            <w:tr w14:paraId="39FDAB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0" w:hRule="atLeast"/>
              </w:trPr>
              <w:tc>
                <w:tcPr>
                  <w:tcW w:w="419" w:type="pct"/>
                  <w:vMerge w:val="continue"/>
                  <w:vAlign w:val="center"/>
                </w:tcPr>
                <w:p w14:paraId="6035EA34">
                  <w:pPr>
                    <w:adjustRightInd w:val="0"/>
                    <w:jc w:val="center"/>
                    <w:rPr>
                      <w:szCs w:val="21"/>
                    </w:rPr>
                  </w:pPr>
                </w:p>
              </w:tc>
              <w:tc>
                <w:tcPr>
                  <w:tcW w:w="638" w:type="pct"/>
                  <w:vAlign w:val="center"/>
                </w:tcPr>
                <w:p w14:paraId="7B232D35">
                  <w:pPr>
                    <w:adjustRightInd w:val="0"/>
                    <w:jc w:val="center"/>
                    <w:rPr>
                      <w:szCs w:val="21"/>
                    </w:rPr>
                  </w:pPr>
                  <w:r>
                    <w:rPr>
                      <w:szCs w:val="21"/>
                    </w:rPr>
                    <w:t>卸油口</w:t>
                  </w:r>
                </w:p>
              </w:tc>
              <w:tc>
                <w:tcPr>
                  <w:tcW w:w="3942" w:type="pct"/>
                  <w:vAlign w:val="center"/>
                </w:tcPr>
                <w:p w14:paraId="0A0AEC5C">
                  <w:pPr>
                    <w:adjustRightInd w:val="0"/>
                    <w:jc w:val="center"/>
                    <w:rPr>
                      <w:szCs w:val="21"/>
                    </w:rPr>
                  </w:pPr>
                  <w:r>
                    <w:rPr>
                      <w:szCs w:val="21"/>
                    </w:rPr>
                    <w:t>密闭卸油口位于场地</w:t>
                  </w:r>
                  <w:r>
                    <w:rPr>
                      <w:rFonts w:hint="eastAsia"/>
                      <w:szCs w:val="21"/>
                    </w:rPr>
                    <w:t>东北</w:t>
                  </w:r>
                  <w:r>
                    <w:rPr>
                      <w:szCs w:val="21"/>
                    </w:rPr>
                    <w:t>侧，用于运油车卸油作业。卸油口设置一次油气回收系统</w:t>
                  </w:r>
                </w:p>
              </w:tc>
            </w:tr>
            <w:tr w14:paraId="452208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0" w:hRule="atLeast"/>
              </w:trPr>
              <w:tc>
                <w:tcPr>
                  <w:tcW w:w="419" w:type="pct"/>
                  <w:vMerge w:val="continue"/>
                  <w:vAlign w:val="center"/>
                </w:tcPr>
                <w:p w14:paraId="370334E9">
                  <w:pPr>
                    <w:adjustRightInd w:val="0"/>
                    <w:jc w:val="center"/>
                    <w:rPr>
                      <w:szCs w:val="21"/>
                    </w:rPr>
                  </w:pPr>
                </w:p>
              </w:tc>
              <w:tc>
                <w:tcPr>
                  <w:tcW w:w="638" w:type="pct"/>
                  <w:vAlign w:val="center"/>
                </w:tcPr>
                <w:p w14:paraId="75F10551">
                  <w:pPr>
                    <w:adjustRightInd w:val="0"/>
                    <w:jc w:val="center"/>
                    <w:rPr>
                      <w:szCs w:val="21"/>
                    </w:rPr>
                  </w:pPr>
                  <w:r>
                    <w:rPr>
                      <w:szCs w:val="21"/>
                    </w:rPr>
                    <w:t>液位测量系统</w:t>
                  </w:r>
                </w:p>
              </w:tc>
              <w:tc>
                <w:tcPr>
                  <w:tcW w:w="3942" w:type="pct"/>
                  <w:vAlign w:val="center"/>
                </w:tcPr>
                <w:p w14:paraId="30A83927">
                  <w:pPr>
                    <w:adjustRightInd w:val="0"/>
                    <w:jc w:val="center"/>
                    <w:rPr>
                      <w:rFonts w:hint="eastAsia"/>
                      <w:szCs w:val="21"/>
                    </w:rPr>
                  </w:pPr>
                  <w:r>
                    <w:rPr>
                      <w:szCs w:val="21"/>
                    </w:rPr>
                    <w:t>地下油罐设测油孔，具有测漏功能和高液位报警功能</w:t>
                  </w:r>
                </w:p>
              </w:tc>
            </w:tr>
            <w:tr w14:paraId="0A28F0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06" w:hRule="atLeast"/>
              </w:trPr>
              <w:tc>
                <w:tcPr>
                  <w:tcW w:w="419" w:type="pct"/>
                  <w:vAlign w:val="center"/>
                </w:tcPr>
                <w:p w14:paraId="1A447F52">
                  <w:pPr>
                    <w:adjustRightInd w:val="0"/>
                    <w:jc w:val="center"/>
                    <w:rPr>
                      <w:szCs w:val="21"/>
                    </w:rPr>
                  </w:pPr>
                  <w:r>
                    <w:rPr>
                      <w:szCs w:val="21"/>
                    </w:rPr>
                    <w:t>储运</w:t>
                  </w:r>
                </w:p>
                <w:p w14:paraId="12BE16BE">
                  <w:pPr>
                    <w:adjustRightInd w:val="0"/>
                    <w:jc w:val="center"/>
                    <w:rPr>
                      <w:szCs w:val="21"/>
                    </w:rPr>
                  </w:pPr>
                  <w:r>
                    <w:rPr>
                      <w:szCs w:val="21"/>
                    </w:rPr>
                    <w:t>工程</w:t>
                  </w:r>
                </w:p>
              </w:tc>
              <w:tc>
                <w:tcPr>
                  <w:tcW w:w="638" w:type="pct"/>
                  <w:vAlign w:val="center"/>
                </w:tcPr>
                <w:p w14:paraId="12C9C5B0">
                  <w:pPr>
                    <w:adjustRightInd w:val="0"/>
                    <w:jc w:val="center"/>
                    <w:rPr>
                      <w:szCs w:val="21"/>
                    </w:rPr>
                  </w:pPr>
                  <w:r>
                    <w:rPr>
                      <w:szCs w:val="21"/>
                    </w:rPr>
                    <w:t>油品运输</w:t>
                  </w:r>
                </w:p>
              </w:tc>
              <w:tc>
                <w:tcPr>
                  <w:tcW w:w="3942" w:type="pct"/>
                  <w:vAlign w:val="center"/>
                </w:tcPr>
                <w:p w14:paraId="642F473B">
                  <w:pPr>
                    <w:adjustRightInd w:val="0"/>
                    <w:jc w:val="center"/>
                    <w:rPr>
                      <w:szCs w:val="21"/>
                    </w:rPr>
                  </w:pPr>
                  <w:r>
                    <w:rPr>
                      <w:szCs w:val="21"/>
                    </w:rPr>
                    <w:t>油品由</w:t>
                  </w:r>
                  <w:r>
                    <w:rPr>
                      <w:rFonts w:hint="eastAsia"/>
                      <w:szCs w:val="21"/>
                    </w:rPr>
                    <w:t>江顺石油公司</w:t>
                  </w:r>
                  <w:r>
                    <w:rPr>
                      <w:szCs w:val="21"/>
                    </w:rPr>
                    <w:t>运输至加油站后，通过密闭卸油方式将油料注入</w:t>
                  </w:r>
                  <w:r>
                    <w:rPr>
                      <w:rFonts w:hint="eastAsia"/>
                      <w:szCs w:val="21"/>
                    </w:rPr>
                    <w:t>埋地</w:t>
                  </w:r>
                  <w:r>
                    <w:rPr>
                      <w:szCs w:val="21"/>
                    </w:rPr>
                    <w:t>式储油罐中</w:t>
                  </w:r>
                </w:p>
              </w:tc>
            </w:tr>
            <w:tr w14:paraId="0DBF8D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56" w:hRule="atLeast"/>
              </w:trPr>
              <w:tc>
                <w:tcPr>
                  <w:tcW w:w="419" w:type="pct"/>
                  <w:vMerge w:val="restart"/>
                  <w:vAlign w:val="center"/>
                </w:tcPr>
                <w:p w14:paraId="07C3857C">
                  <w:pPr>
                    <w:adjustRightInd w:val="0"/>
                    <w:jc w:val="center"/>
                    <w:rPr>
                      <w:szCs w:val="21"/>
                    </w:rPr>
                  </w:pPr>
                  <w:r>
                    <w:rPr>
                      <w:szCs w:val="21"/>
                    </w:rPr>
                    <w:t>公用工程</w:t>
                  </w:r>
                </w:p>
              </w:tc>
              <w:tc>
                <w:tcPr>
                  <w:tcW w:w="638" w:type="pct"/>
                  <w:vAlign w:val="center"/>
                </w:tcPr>
                <w:p w14:paraId="4730DAC2">
                  <w:pPr>
                    <w:adjustRightInd w:val="0"/>
                    <w:jc w:val="center"/>
                    <w:rPr>
                      <w:szCs w:val="21"/>
                    </w:rPr>
                  </w:pPr>
                  <w:r>
                    <w:rPr>
                      <w:szCs w:val="21"/>
                    </w:rPr>
                    <w:t>给水</w:t>
                  </w:r>
                </w:p>
              </w:tc>
              <w:tc>
                <w:tcPr>
                  <w:tcW w:w="3942" w:type="pct"/>
                  <w:vAlign w:val="center"/>
                </w:tcPr>
                <w:p w14:paraId="6DC55B7E">
                  <w:pPr>
                    <w:adjustRightInd w:val="0"/>
                    <w:jc w:val="center"/>
                    <w:rPr>
                      <w:szCs w:val="21"/>
                    </w:rPr>
                  </w:pPr>
                  <w:r>
                    <w:rPr>
                      <w:rFonts w:hint="eastAsia"/>
                      <w:szCs w:val="21"/>
                    </w:rPr>
                    <w:t>园区自来水管网提供</w:t>
                  </w:r>
                </w:p>
              </w:tc>
            </w:tr>
            <w:tr w14:paraId="1C11C7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0" w:hRule="atLeast"/>
              </w:trPr>
              <w:tc>
                <w:tcPr>
                  <w:tcW w:w="419" w:type="pct"/>
                  <w:vMerge w:val="continue"/>
                  <w:vAlign w:val="center"/>
                </w:tcPr>
                <w:p w14:paraId="2D375E7A">
                  <w:pPr>
                    <w:adjustRightInd w:val="0"/>
                    <w:jc w:val="center"/>
                    <w:rPr>
                      <w:szCs w:val="21"/>
                    </w:rPr>
                  </w:pPr>
                </w:p>
              </w:tc>
              <w:tc>
                <w:tcPr>
                  <w:tcW w:w="638" w:type="pct"/>
                  <w:vAlign w:val="center"/>
                </w:tcPr>
                <w:p w14:paraId="4623DA8F">
                  <w:pPr>
                    <w:adjustRightInd w:val="0"/>
                    <w:jc w:val="center"/>
                    <w:rPr>
                      <w:szCs w:val="21"/>
                    </w:rPr>
                  </w:pPr>
                  <w:r>
                    <w:rPr>
                      <w:szCs w:val="21"/>
                    </w:rPr>
                    <w:t>排水</w:t>
                  </w:r>
                </w:p>
              </w:tc>
              <w:tc>
                <w:tcPr>
                  <w:tcW w:w="3942" w:type="pct"/>
                  <w:vAlign w:val="center"/>
                </w:tcPr>
                <w:p w14:paraId="4620176E">
                  <w:pPr>
                    <w:adjustRightInd w:val="0"/>
                    <w:jc w:val="center"/>
                    <w:rPr>
                      <w:szCs w:val="21"/>
                    </w:rPr>
                  </w:pPr>
                  <w:r>
                    <w:rPr>
                      <w:szCs w:val="21"/>
                    </w:rPr>
                    <w:t>采用雨污分流制。</w:t>
                  </w:r>
                  <w:r>
                    <w:rPr>
                      <w:rFonts w:hint="eastAsia"/>
                      <w:szCs w:val="21"/>
                    </w:rPr>
                    <w:t>初期雨水和污水经分别处理后排至园区污水管网，进入大耍坝污水处理厂进行深度处理。</w:t>
                  </w:r>
                </w:p>
                <w:p w14:paraId="112B71F9">
                  <w:pPr>
                    <w:adjustRightInd w:val="0"/>
                    <w:jc w:val="center"/>
                    <w:rPr>
                      <w:szCs w:val="21"/>
                    </w:rPr>
                  </w:pPr>
                  <w:r>
                    <w:rPr>
                      <w:szCs w:val="21"/>
                    </w:rPr>
                    <w:t>加油棚雨水及站房屋面雨水经雨水管道收集后排入</w:t>
                  </w:r>
                  <w:r>
                    <w:rPr>
                      <w:rFonts w:hint="eastAsia"/>
                      <w:szCs w:val="21"/>
                    </w:rPr>
                    <w:t>园区</w:t>
                  </w:r>
                  <w:r>
                    <w:rPr>
                      <w:szCs w:val="21"/>
                    </w:rPr>
                    <w:t>雨水管网。罩棚外区域初期雨水及加油岛地面冲洗废水沿地面坡向经截流沟排至隔油池（</w:t>
                  </w:r>
                  <w:r>
                    <w:rPr>
                      <w:rFonts w:hint="eastAsia"/>
                      <w:szCs w:val="21"/>
                    </w:rPr>
                    <w:t>容积</w:t>
                  </w:r>
                  <w:r>
                    <w:rPr>
                      <w:szCs w:val="21"/>
                    </w:rPr>
                    <w:t>1</w:t>
                  </w:r>
                  <w:r>
                    <w:rPr>
                      <w:rFonts w:hint="eastAsia"/>
                      <w:szCs w:val="21"/>
                    </w:rPr>
                    <w:t>5</w:t>
                  </w:r>
                  <w:r>
                    <w:rPr>
                      <w:szCs w:val="21"/>
                    </w:rPr>
                    <w:t>m³）隔油</w:t>
                  </w:r>
                  <w:r>
                    <w:rPr>
                      <w:rFonts w:hint="eastAsia"/>
                      <w:szCs w:val="21"/>
                    </w:rPr>
                    <w:t>沉砂</w:t>
                  </w:r>
                  <w:r>
                    <w:rPr>
                      <w:szCs w:val="21"/>
                    </w:rPr>
                    <w:t>处理后排入</w:t>
                  </w:r>
                  <w:r>
                    <w:rPr>
                      <w:rFonts w:hint="eastAsia"/>
                      <w:szCs w:val="21"/>
                    </w:rPr>
                    <w:t>园区污水管网；</w:t>
                  </w:r>
                  <w:r>
                    <w:rPr>
                      <w:szCs w:val="21"/>
                    </w:rPr>
                    <w:t>生活污水经生化池（</w:t>
                  </w:r>
                  <w:r>
                    <w:rPr>
                      <w:rFonts w:hint="eastAsia"/>
                      <w:szCs w:val="21"/>
                    </w:rPr>
                    <w:t>容积5</w:t>
                  </w:r>
                  <w:r>
                    <w:rPr>
                      <w:szCs w:val="21"/>
                    </w:rPr>
                    <w:t>m³）</w:t>
                  </w:r>
                  <w:r>
                    <w:rPr>
                      <w:rFonts w:hint="eastAsia"/>
                      <w:szCs w:val="21"/>
                    </w:rPr>
                    <w:t>预</w:t>
                  </w:r>
                  <w:r>
                    <w:rPr>
                      <w:szCs w:val="21"/>
                    </w:rPr>
                    <w:t>处理后进入</w:t>
                  </w:r>
                  <w:r>
                    <w:rPr>
                      <w:rFonts w:hint="eastAsia"/>
                      <w:szCs w:val="21"/>
                    </w:rPr>
                    <w:t>园区</w:t>
                  </w:r>
                  <w:r>
                    <w:rPr>
                      <w:szCs w:val="21"/>
                    </w:rPr>
                    <w:t>污水管网，</w:t>
                  </w:r>
                  <w:r>
                    <w:rPr>
                      <w:rFonts w:hint="eastAsia"/>
                      <w:szCs w:val="21"/>
                    </w:rPr>
                    <w:t>最终</w:t>
                  </w:r>
                  <w:r>
                    <w:rPr>
                      <w:szCs w:val="21"/>
                    </w:rPr>
                    <w:t>排入</w:t>
                  </w:r>
                  <w:r>
                    <w:rPr>
                      <w:rFonts w:hint="eastAsia"/>
                      <w:szCs w:val="21"/>
                    </w:rPr>
                    <w:t>大耍坝污水处理厂</w:t>
                  </w:r>
                  <w:r>
                    <w:rPr>
                      <w:szCs w:val="21"/>
                    </w:rPr>
                    <w:t>进一步处理，最终排入长江</w:t>
                  </w:r>
                </w:p>
              </w:tc>
            </w:tr>
            <w:tr w14:paraId="600D04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0" w:hRule="atLeast"/>
              </w:trPr>
              <w:tc>
                <w:tcPr>
                  <w:tcW w:w="419" w:type="pct"/>
                  <w:vMerge w:val="continue"/>
                  <w:vAlign w:val="center"/>
                </w:tcPr>
                <w:p w14:paraId="1653D680">
                  <w:pPr>
                    <w:adjustRightInd w:val="0"/>
                    <w:jc w:val="center"/>
                    <w:rPr>
                      <w:szCs w:val="21"/>
                    </w:rPr>
                  </w:pPr>
                </w:p>
              </w:tc>
              <w:tc>
                <w:tcPr>
                  <w:tcW w:w="638" w:type="pct"/>
                  <w:vAlign w:val="center"/>
                </w:tcPr>
                <w:p w14:paraId="36EFA317">
                  <w:pPr>
                    <w:adjustRightInd w:val="0"/>
                    <w:jc w:val="center"/>
                    <w:rPr>
                      <w:szCs w:val="21"/>
                    </w:rPr>
                  </w:pPr>
                  <w:r>
                    <w:rPr>
                      <w:szCs w:val="21"/>
                    </w:rPr>
                    <w:t>供电</w:t>
                  </w:r>
                </w:p>
              </w:tc>
              <w:tc>
                <w:tcPr>
                  <w:tcW w:w="3942" w:type="pct"/>
                  <w:vAlign w:val="center"/>
                </w:tcPr>
                <w:p w14:paraId="1A845D8A">
                  <w:pPr>
                    <w:adjustRightInd w:val="0"/>
                    <w:jc w:val="center"/>
                    <w:rPr>
                      <w:szCs w:val="21"/>
                    </w:rPr>
                  </w:pPr>
                  <w:r>
                    <w:rPr>
                      <w:szCs w:val="21"/>
                    </w:rPr>
                    <w:t>项目供电由</w:t>
                  </w:r>
                  <w:r>
                    <w:rPr>
                      <w:rFonts w:hint="eastAsia"/>
                      <w:szCs w:val="21"/>
                    </w:rPr>
                    <w:t>园区</w:t>
                  </w:r>
                  <w:r>
                    <w:rPr>
                      <w:szCs w:val="21"/>
                    </w:rPr>
                    <w:t>电网统一提供，同时站内配备一台柴油发电机，发电机房位于站房内</w:t>
                  </w:r>
                  <w:r>
                    <w:rPr>
                      <w:rFonts w:hint="eastAsia"/>
                      <w:szCs w:val="21"/>
                    </w:rPr>
                    <w:t>西南</w:t>
                  </w:r>
                  <w:r>
                    <w:rPr>
                      <w:szCs w:val="21"/>
                    </w:rPr>
                    <w:t>侧</w:t>
                  </w:r>
                </w:p>
              </w:tc>
            </w:tr>
            <w:tr w14:paraId="07C3A9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90" w:hRule="atLeast"/>
              </w:trPr>
              <w:tc>
                <w:tcPr>
                  <w:tcW w:w="419" w:type="pct"/>
                  <w:vMerge w:val="continue"/>
                  <w:vAlign w:val="center"/>
                </w:tcPr>
                <w:p w14:paraId="25DF9050">
                  <w:pPr>
                    <w:adjustRightInd w:val="0"/>
                    <w:jc w:val="center"/>
                    <w:rPr>
                      <w:szCs w:val="21"/>
                    </w:rPr>
                  </w:pPr>
                </w:p>
              </w:tc>
              <w:tc>
                <w:tcPr>
                  <w:tcW w:w="638" w:type="pct"/>
                  <w:vAlign w:val="center"/>
                </w:tcPr>
                <w:p w14:paraId="13AFC867">
                  <w:pPr>
                    <w:adjustRightInd w:val="0"/>
                    <w:jc w:val="center"/>
                    <w:rPr>
                      <w:szCs w:val="21"/>
                    </w:rPr>
                  </w:pPr>
                  <w:r>
                    <w:rPr>
                      <w:szCs w:val="21"/>
                    </w:rPr>
                    <w:t>消防</w:t>
                  </w:r>
                </w:p>
              </w:tc>
              <w:tc>
                <w:tcPr>
                  <w:tcW w:w="3942" w:type="pct"/>
                  <w:vAlign w:val="center"/>
                </w:tcPr>
                <w:p w14:paraId="77AAF841">
                  <w:pPr>
                    <w:adjustRightInd w:val="0"/>
                    <w:jc w:val="center"/>
                    <w:rPr>
                      <w:szCs w:val="21"/>
                    </w:rPr>
                  </w:pPr>
                  <w:r>
                    <w:rPr>
                      <w:szCs w:val="21"/>
                    </w:rPr>
                    <w:t>配置</w:t>
                  </w:r>
                  <w:r>
                    <w:rPr>
                      <w:rFonts w:hint="eastAsia"/>
                      <w:szCs w:val="21"/>
                    </w:rPr>
                    <w:t>35</w:t>
                  </w:r>
                  <w:r>
                    <w:rPr>
                      <w:szCs w:val="21"/>
                    </w:rPr>
                    <w:t>kg推车式干粉灭火器1具</w:t>
                  </w:r>
                  <w:r>
                    <w:rPr>
                      <w:rFonts w:hint="eastAsia"/>
                      <w:szCs w:val="21"/>
                    </w:rPr>
                    <w:t>，5</w:t>
                  </w:r>
                  <w:r>
                    <w:rPr>
                      <w:szCs w:val="21"/>
                    </w:rPr>
                    <w:t>kg手提式干粉灭火器</w:t>
                  </w:r>
                  <w:r>
                    <w:rPr>
                      <w:rFonts w:hint="eastAsia"/>
                      <w:szCs w:val="21"/>
                    </w:rPr>
                    <w:t>16</w:t>
                  </w:r>
                  <w:r>
                    <w:rPr>
                      <w:szCs w:val="21"/>
                    </w:rPr>
                    <w:t>具，消防沙2m</w:t>
                  </w:r>
                  <w:r>
                    <w:rPr>
                      <w:szCs w:val="21"/>
                      <w:vertAlign w:val="superscript"/>
                    </w:rPr>
                    <w:t>3</w:t>
                  </w:r>
                  <w:r>
                    <w:rPr>
                      <w:szCs w:val="21"/>
                    </w:rPr>
                    <w:t>，灭火毯</w:t>
                  </w:r>
                  <w:r>
                    <w:rPr>
                      <w:rFonts w:hint="eastAsia"/>
                      <w:szCs w:val="21"/>
                    </w:rPr>
                    <w:t>2</w:t>
                  </w:r>
                  <w:r>
                    <w:rPr>
                      <w:szCs w:val="21"/>
                    </w:rPr>
                    <w:t>块</w:t>
                  </w:r>
                  <w:r>
                    <w:rPr>
                      <w:rFonts w:hint="eastAsia"/>
                      <w:szCs w:val="21"/>
                    </w:rPr>
                    <w:t>，消防铲2把，消防桶2个</w:t>
                  </w:r>
                </w:p>
              </w:tc>
            </w:tr>
            <w:tr w14:paraId="08CAC7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0" w:hRule="atLeast"/>
              </w:trPr>
              <w:tc>
                <w:tcPr>
                  <w:tcW w:w="419" w:type="pct"/>
                  <w:vMerge w:val="restart"/>
                  <w:vAlign w:val="center"/>
                </w:tcPr>
                <w:p w14:paraId="5A76AE84">
                  <w:pPr>
                    <w:adjustRightInd w:val="0"/>
                    <w:jc w:val="center"/>
                    <w:rPr>
                      <w:szCs w:val="21"/>
                    </w:rPr>
                  </w:pPr>
                  <w:r>
                    <w:rPr>
                      <w:szCs w:val="21"/>
                    </w:rPr>
                    <w:t>环保</w:t>
                  </w:r>
                </w:p>
                <w:p w14:paraId="17F23E30">
                  <w:pPr>
                    <w:adjustRightInd w:val="0"/>
                    <w:jc w:val="center"/>
                    <w:rPr>
                      <w:szCs w:val="21"/>
                    </w:rPr>
                  </w:pPr>
                  <w:r>
                    <w:rPr>
                      <w:szCs w:val="21"/>
                    </w:rPr>
                    <w:t>工程</w:t>
                  </w:r>
                </w:p>
              </w:tc>
              <w:tc>
                <w:tcPr>
                  <w:tcW w:w="638" w:type="pct"/>
                  <w:vMerge w:val="restart"/>
                  <w:vAlign w:val="center"/>
                </w:tcPr>
                <w:p w14:paraId="2ADB88B9">
                  <w:pPr>
                    <w:adjustRightInd w:val="0"/>
                    <w:jc w:val="center"/>
                    <w:rPr>
                      <w:szCs w:val="21"/>
                    </w:rPr>
                  </w:pPr>
                  <w:r>
                    <w:rPr>
                      <w:szCs w:val="21"/>
                    </w:rPr>
                    <w:t>废气</w:t>
                  </w:r>
                </w:p>
              </w:tc>
              <w:tc>
                <w:tcPr>
                  <w:tcW w:w="3942" w:type="pct"/>
                  <w:vAlign w:val="center"/>
                </w:tcPr>
                <w:p w14:paraId="58F8BFAF">
                  <w:pPr>
                    <w:adjustRightInd w:val="0"/>
                    <w:jc w:val="center"/>
                    <w:rPr>
                      <w:rFonts w:hint="eastAsia"/>
                      <w:color w:val="000000"/>
                      <w:szCs w:val="21"/>
                    </w:rPr>
                  </w:pPr>
                  <w:r>
                    <w:rPr>
                      <w:color w:val="000000"/>
                      <w:szCs w:val="21"/>
                    </w:rPr>
                    <w:t>在罐区设3根</w:t>
                  </w:r>
                  <w:r>
                    <w:rPr>
                      <w:rFonts w:hint="eastAsia"/>
                      <w:color w:val="000000"/>
                      <w:szCs w:val="21"/>
                    </w:rPr>
                    <w:t>通气立管</w:t>
                  </w:r>
                  <w:r>
                    <w:rPr>
                      <w:color w:val="000000"/>
                      <w:szCs w:val="21"/>
                    </w:rPr>
                    <w:t>，其中汽油罐共用</w:t>
                  </w:r>
                  <w:r>
                    <w:rPr>
                      <w:rFonts w:hint="eastAsia"/>
                      <w:color w:val="000000"/>
                      <w:szCs w:val="21"/>
                    </w:rPr>
                    <w:t>两</w:t>
                  </w:r>
                  <w:r>
                    <w:rPr>
                      <w:color w:val="000000"/>
                      <w:szCs w:val="21"/>
                    </w:rPr>
                    <w:t>根</w:t>
                  </w:r>
                  <w:r>
                    <w:rPr>
                      <w:rFonts w:hint="eastAsia"/>
                      <w:color w:val="000000"/>
                      <w:szCs w:val="21"/>
                    </w:rPr>
                    <w:t>通气立管</w:t>
                  </w:r>
                  <w:r>
                    <w:rPr>
                      <w:color w:val="000000"/>
                      <w:szCs w:val="21"/>
                    </w:rPr>
                    <w:t>，DN=50mm，柴油罐单独设置一根</w:t>
                  </w:r>
                  <w:r>
                    <w:rPr>
                      <w:rFonts w:hint="eastAsia"/>
                      <w:color w:val="000000"/>
                      <w:szCs w:val="21"/>
                    </w:rPr>
                    <w:t>通气立管</w:t>
                  </w:r>
                  <w:r>
                    <w:rPr>
                      <w:color w:val="000000"/>
                      <w:szCs w:val="21"/>
                    </w:rPr>
                    <w:t>，DN=50mm。通气立管高度≥4m</w:t>
                  </w:r>
                  <w:r>
                    <w:rPr>
                      <w:rFonts w:hint="eastAsia"/>
                      <w:color w:val="000000"/>
                      <w:szCs w:val="21"/>
                    </w:rPr>
                    <w:t>（位于站房北侧）</w:t>
                  </w:r>
                </w:p>
              </w:tc>
            </w:tr>
            <w:tr w14:paraId="2C9136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0" w:hRule="atLeast"/>
              </w:trPr>
              <w:tc>
                <w:tcPr>
                  <w:tcW w:w="419" w:type="pct"/>
                  <w:vMerge w:val="continue"/>
                  <w:vAlign w:val="center"/>
                </w:tcPr>
                <w:p w14:paraId="0823963A">
                  <w:pPr>
                    <w:adjustRightInd w:val="0"/>
                    <w:jc w:val="center"/>
                    <w:rPr>
                      <w:szCs w:val="21"/>
                    </w:rPr>
                  </w:pPr>
                </w:p>
              </w:tc>
              <w:tc>
                <w:tcPr>
                  <w:tcW w:w="638" w:type="pct"/>
                  <w:vMerge w:val="continue"/>
                  <w:vAlign w:val="center"/>
                </w:tcPr>
                <w:p w14:paraId="3BB2F13A">
                  <w:pPr>
                    <w:adjustRightInd w:val="0"/>
                    <w:jc w:val="center"/>
                    <w:rPr>
                      <w:szCs w:val="21"/>
                    </w:rPr>
                  </w:pPr>
                </w:p>
              </w:tc>
              <w:tc>
                <w:tcPr>
                  <w:tcW w:w="3942" w:type="pct"/>
                  <w:vAlign w:val="center"/>
                </w:tcPr>
                <w:p w14:paraId="4D9D5418">
                  <w:pPr>
                    <w:adjustRightInd w:val="0"/>
                    <w:jc w:val="center"/>
                    <w:rPr>
                      <w:rFonts w:hint="eastAsia"/>
                      <w:color w:val="000000"/>
                      <w:szCs w:val="21"/>
                    </w:rPr>
                  </w:pPr>
                  <w:r>
                    <w:rPr>
                      <w:color w:val="000000"/>
                      <w:szCs w:val="21"/>
                    </w:rPr>
                    <w:t>拟建项目汽油卸油、加油过程设置卸油油气回收系统（一次油气回收系统）和加油油气回收系统（二次油气回收系统）</w:t>
                  </w:r>
                  <w:r>
                    <w:rPr>
                      <w:rFonts w:hint="eastAsia"/>
                      <w:color w:val="000000"/>
                      <w:szCs w:val="21"/>
                    </w:rPr>
                    <w:t>，预留三次油气回收系统（即油气排放处理装置）</w:t>
                  </w:r>
                </w:p>
              </w:tc>
            </w:tr>
            <w:tr w14:paraId="36B12D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0" w:hRule="atLeast"/>
              </w:trPr>
              <w:tc>
                <w:tcPr>
                  <w:tcW w:w="419" w:type="pct"/>
                  <w:vMerge w:val="continue"/>
                  <w:vAlign w:val="center"/>
                </w:tcPr>
                <w:p w14:paraId="1A8BECFB">
                  <w:pPr>
                    <w:adjustRightInd w:val="0"/>
                    <w:jc w:val="center"/>
                    <w:rPr>
                      <w:szCs w:val="21"/>
                    </w:rPr>
                  </w:pPr>
                </w:p>
              </w:tc>
              <w:tc>
                <w:tcPr>
                  <w:tcW w:w="638" w:type="pct"/>
                  <w:vMerge w:val="continue"/>
                  <w:vAlign w:val="center"/>
                </w:tcPr>
                <w:p w14:paraId="73052789">
                  <w:pPr>
                    <w:adjustRightInd w:val="0"/>
                    <w:jc w:val="center"/>
                    <w:rPr>
                      <w:szCs w:val="21"/>
                    </w:rPr>
                  </w:pPr>
                </w:p>
              </w:tc>
              <w:tc>
                <w:tcPr>
                  <w:tcW w:w="3942" w:type="pct"/>
                  <w:vAlign w:val="center"/>
                </w:tcPr>
                <w:p w14:paraId="6022A195">
                  <w:pPr>
                    <w:adjustRightInd w:val="0"/>
                    <w:jc w:val="center"/>
                    <w:rPr>
                      <w:rFonts w:hint="eastAsia"/>
                      <w:szCs w:val="21"/>
                    </w:rPr>
                  </w:pPr>
                  <w:r>
                    <w:rPr>
                      <w:szCs w:val="21"/>
                    </w:rPr>
                    <w:t>加强对站内加油汽车的管理，减少站内汽车尾气的排放</w:t>
                  </w:r>
                </w:p>
              </w:tc>
            </w:tr>
            <w:tr w14:paraId="3B5957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0" w:hRule="atLeast"/>
              </w:trPr>
              <w:tc>
                <w:tcPr>
                  <w:tcW w:w="419" w:type="pct"/>
                  <w:vMerge w:val="continue"/>
                  <w:vAlign w:val="center"/>
                </w:tcPr>
                <w:p w14:paraId="286E4869">
                  <w:pPr>
                    <w:adjustRightInd w:val="0"/>
                    <w:jc w:val="center"/>
                    <w:rPr>
                      <w:szCs w:val="21"/>
                    </w:rPr>
                  </w:pPr>
                </w:p>
              </w:tc>
              <w:tc>
                <w:tcPr>
                  <w:tcW w:w="638" w:type="pct"/>
                  <w:vMerge w:val="continue"/>
                  <w:vAlign w:val="center"/>
                </w:tcPr>
                <w:p w14:paraId="55EF0212">
                  <w:pPr>
                    <w:adjustRightInd w:val="0"/>
                    <w:jc w:val="center"/>
                    <w:rPr>
                      <w:szCs w:val="21"/>
                    </w:rPr>
                  </w:pPr>
                </w:p>
              </w:tc>
              <w:tc>
                <w:tcPr>
                  <w:tcW w:w="3942" w:type="pct"/>
                  <w:vAlign w:val="center"/>
                </w:tcPr>
                <w:p w14:paraId="71B56A43">
                  <w:pPr>
                    <w:adjustRightInd w:val="0"/>
                    <w:jc w:val="center"/>
                    <w:rPr>
                      <w:szCs w:val="21"/>
                    </w:rPr>
                  </w:pPr>
                  <w:r>
                    <w:rPr>
                      <w:szCs w:val="21"/>
                    </w:rPr>
                    <w:t>柴油发电机废气经专用管道引至站房楼顶排放</w:t>
                  </w:r>
                </w:p>
              </w:tc>
            </w:tr>
            <w:tr w14:paraId="4A47E3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0" w:hRule="atLeast"/>
              </w:trPr>
              <w:tc>
                <w:tcPr>
                  <w:tcW w:w="419" w:type="pct"/>
                  <w:vMerge w:val="continue"/>
                  <w:vAlign w:val="center"/>
                </w:tcPr>
                <w:p w14:paraId="73E30B1B">
                  <w:pPr>
                    <w:adjustRightInd w:val="0"/>
                    <w:jc w:val="center"/>
                    <w:rPr>
                      <w:szCs w:val="21"/>
                    </w:rPr>
                  </w:pPr>
                </w:p>
              </w:tc>
              <w:tc>
                <w:tcPr>
                  <w:tcW w:w="638" w:type="pct"/>
                  <w:vMerge w:val="restart"/>
                  <w:vAlign w:val="center"/>
                </w:tcPr>
                <w:p w14:paraId="2302CE15">
                  <w:pPr>
                    <w:adjustRightInd w:val="0"/>
                    <w:jc w:val="center"/>
                    <w:rPr>
                      <w:szCs w:val="21"/>
                    </w:rPr>
                  </w:pPr>
                  <w:r>
                    <w:rPr>
                      <w:szCs w:val="21"/>
                    </w:rPr>
                    <w:t>废水</w:t>
                  </w:r>
                </w:p>
              </w:tc>
              <w:tc>
                <w:tcPr>
                  <w:tcW w:w="3942" w:type="pct"/>
                  <w:vAlign w:val="center"/>
                </w:tcPr>
                <w:p w14:paraId="376A9BC9">
                  <w:pPr>
                    <w:adjustRightInd w:val="0"/>
                    <w:jc w:val="center"/>
                    <w:rPr>
                      <w:szCs w:val="21"/>
                    </w:rPr>
                  </w:pPr>
                  <w:r>
                    <w:rPr>
                      <w:szCs w:val="21"/>
                    </w:rPr>
                    <w:t>加油区周围设置截流沟收集场地冲洗废水和初期地面雨水，场地西</w:t>
                  </w:r>
                  <w:r>
                    <w:rPr>
                      <w:rFonts w:hint="eastAsia"/>
                      <w:szCs w:val="21"/>
                    </w:rPr>
                    <w:t>东南</w:t>
                  </w:r>
                  <w:r>
                    <w:rPr>
                      <w:szCs w:val="21"/>
                    </w:rPr>
                    <w:t>侧设置一座隔油池（</w:t>
                  </w:r>
                  <w:r>
                    <w:rPr>
                      <w:rFonts w:hint="eastAsia"/>
                      <w:szCs w:val="21"/>
                    </w:rPr>
                    <w:t>容积</w:t>
                  </w:r>
                  <w:r>
                    <w:rPr>
                      <w:szCs w:val="21"/>
                    </w:rPr>
                    <w:t>1</w:t>
                  </w:r>
                  <w:r>
                    <w:rPr>
                      <w:rFonts w:hint="eastAsia"/>
                      <w:szCs w:val="21"/>
                    </w:rPr>
                    <w:t>5</w:t>
                  </w:r>
                  <w:r>
                    <w:rPr>
                      <w:szCs w:val="21"/>
                    </w:rPr>
                    <w:t>m³）用于处理场地冲洗废水和初期雨水。</w:t>
                  </w:r>
                  <w:r>
                    <w:rPr>
                      <w:rFonts w:hint="eastAsia"/>
                      <w:szCs w:val="21"/>
                    </w:rPr>
                    <w:t>初期雨水进入隔油池前端设置切换阀，后期雨水直接进入园区雨水管网</w:t>
                  </w:r>
                </w:p>
              </w:tc>
            </w:tr>
            <w:tr w14:paraId="3A5359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0" w:hRule="atLeast"/>
              </w:trPr>
              <w:tc>
                <w:tcPr>
                  <w:tcW w:w="419" w:type="pct"/>
                  <w:vMerge w:val="continue"/>
                  <w:vAlign w:val="center"/>
                </w:tcPr>
                <w:p w14:paraId="5B0B228B">
                  <w:pPr>
                    <w:adjustRightInd w:val="0"/>
                    <w:jc w:val="center"/>
                    <w:rPr>
                      <w:szCs w:val="21"/>
                    </w:rPr>
                  </w:pPr>
                </w:p>
              </w:tc>
              <w:tc>
                <w:tcPr>
                  <w:tcW w:w="638" w:type="pct"/>
                  <w:vMerge w:val="continue"/>
                  <w:vAlign w:val="center"/>
                </w:tcPr>
                <w:p w14:paraId="08767692">
                  <w:pPr>
                    <w:adjustRightInd w:val="0"/>
                    <w:jc w:val="center"/>
                    <w:rPr>
                      <w:szCs w:val="21"/>
                    </w:rPr>
                  </w:pPr>
                </w:p>
              </w:tc>
              <w:tc>
                <w:tcPr>
                  <w:tcW w:w="3942" w:type="pct"/>
                  <w:vAlign w:val="center"/>
                </w:tcPr>
                <w:p w14:paraId="49076A68">
                  <w:pPr>
                    <w:adjustRightInd w:val="0"/>
                    <w:jc w:val="center"/>
                    <w:rPr>
                      <w:szCs w:val="21"/>
                    </w:rPr>
                  </w:pPr>
                  <w:r>
                    <w:rPr>
                      <w:szCs w:val="21"/>
                    </w:rPr>
                    <w:t>设置1座生化池</w:t>
                  </w:r>
                  <w:r>
                    <w:rPr>
                      <w:rFonts w:hint="eastAsia"/>
                      <w:szCs w:val="21"/>
                    </w:rPr>
                    <w:t>（容积</w:t>
                  </w:r>
                  <w:r>
                    <w:rPr>
                      <w:rFonts w:hint="eastAsia"/>
                      <w:color w:val="000000"/>
                      <w:szCs w:val="21"/>
                    </w:rPr>
                    <w:t>5</w:t>
                  </w:r>
                  <w:r>
                    <w:rPr>
                      <w:color w:val="000000"/>
                      <w:szCs w:val="21"/>
                    </w:rPr>
                    <w:t>m³</w:t>
                  </w:r>
                  <w:r>
                    <w:rPr>
                      <w:rFonts w:hint="eastAsia"/>
                      <w:color w:val="000000"/>
                      <w:szCs w:val="21"/>
                    </w:rPr>
                    <w:t>）</w:t>
                  </w:r>
                  <w:r>
                    <w:rPr>
                      <w:szCs w:val="21"/>
                    </w:rPr>
                    <w:t>，位于站房西</w:t>
                  </w:r>
                  <w:r>
                    <w:rPr>
                      <w:rFonts w:hint="eastAsia"/>
                      <w:szCs w:val="21"/>
                    </w:rPr>
                    <w:t>北</w:t>
                  </w:r>
                  <w:r>
                    <w:rPr>
                      <w:szCs w:val="21"/>
                    </w:rPr>
                    <w:t>侧</w:t>
                  </w:r>
                </w:p>
              </w:tc>
            </w:tr>
            <w:tr w14:paraId="52EDF0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0" w:hRule="atLeast"/>
              </w:trPr>
              <w:tc>
                <w:tcPr>
                  <w:tcW w:w="419" w:type="pct"/>
                  <w:vMerge w:val="continue"/>
                  <w:vAlign w:val="center"/>
                </w:tcPr>
                <w:p w14:paraId="05D4D3E2">
                  <w:pPr>
                    <w:adjustRightInd w:val="0"/>
                    <w:jc w:val="center"/>
                    <w:rPr>
                      <w:szCs w:val="21"/>
                    </w:rPr>
                  </w:pPr>
                </w:p>
                <w:p w14:paraId="4BDE03AB">
                  <w:pPr>
                    <w:adjustRightInd w:val="0"/>
                    <w:jc w:val="center"/>
                    <w:rPr>
                      <w:szCs w:val="21"/>
                    </w:rPr>
                  </w:pPr>
                </w:p>
              </w:tc>
              <w:tc>
                <w:tcPr>
                  <w:tcW w:w="638" w:type="pct"/>
                  <w:vMerge w:val="restart"/>
                  <w:vAlign w:val="center"/>
                </w:tcPr>
                <w:p w14:paraId="4ECBB320">
                  <w:pPr>
                    <w:adjustRightInd w:val="0"/>
                    <w:jc w:val="center"/>
                    <w:rPr>
                      <w:szCs w:val="21"/>
                    </w:rPr>
                  </w:pPr>
                  <w:r>
                    <w:rPr>
                      <w:szCs w:val="21"/>
                    </w:rPr>
                    <w:t>固体废物</w:t>
                  </w:r>
                </w:p>
              </w:tc>
              <w:tc>
                <w:tcPr>
                  <w:tcW w:w="3942" w:type="pct"/>
                  <w:vAlign w:val="center"/>
                </w:tcPr>
                <w:p w14:paraId="087B57E0">
                  <w:pPr>
                    <w:adjustRightInd w:val="0"/>
                    <w:jc w:val="center"/>
                    <w:rPr>
                      <w:szCs w:val="21"/>
                    </w:rPr>
                  </w:pPr>
                  <w:r>
                    <w:rPr>
                      <w:szCs w:val="21"/>
                    </w:rPr>
                    <w:t>站</w:t>
                  </w:r>
                  <w:r>
                    <w:rPr>
                      <w:rFonts w:hint="eastAsia"/>
                      <w:szCs w:val="21"/>
                    </w:rPr>
                    <w:t>区</w:t>
                  </w:r>
                  <w:r>
                    <w:rPr>
                      <w:szCs w:val="21"/>
                    </w:rPr>
                    <w:t>内设置若干垃圾桶，生活垃圾经垃圾桶收集后，每天集中收集至站外市政垃圾收集点，由市政环卫定期清理</w:t>
                  </w:r>
                </w:p>
              </w:tc>
            </w:tr>
            <w:tr w14:paraId="772927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0" w:hRule="atLeast"/>
              </w:trPr>
              <w:tc>
                <w:tcPr>
                  <w:tcW w:w="419" w:type="pct"/>
                  <w:vMerge w:val="continue"/>
                  <w:vAlign w:val="center"/>
                </w:tcPr>
                <w:p w14:paraId="78994D08">
                  <w:pPr>
                    <w:adjustRightInd w:val="0"/>
                    <w:jc w:val="center"/>
                    <w:rPr>
                      <w:szCs w:val="21"/>
                    </w:rPr>
                  </w:pPr>
                </w:p>
              </w:tc>
              <w:tc>
                <w:tcPr>
                  <w:tcW w:w="638" w:type="pct"/>
                  <w:vMerge w:val="continue"/>
                  <w:vAlign w:val="center"/>
                </w:tcPr>
                <w:p w14:paraId="14A640B0">
                  <w:pPr>
                    <w:adjustRightInd w:val="0"/>
                    <w:jc w:val="center"/>
                    <w:rPr>
                      <w:szCs w:val="21"/>
                    </w:rPr>
                  </w:pPr>
                </w:p>
              </w:tc>
              <w:tc>
                <w:tcPr>
                  <w:tcW w:w="3942" w:type="pct"/>
                  <w:vAlign w:val="center"/>
                </w:tcPr>
                <w:p w14:paraId="409A4172">
                  <w:pPr>
                    <w:adjustRightInd w:val="0"/>
                    <w:jc w:val="center"/>
                    <w:rPr>
                      <w:szCs w:val="21"/>
                    </w:rPr>
                  </w:pPr>
                  <w:r>
                    <w:rPr>
                      <w:rFonts w:hint="eastAsia"/>
                      <w:szCs w:val="21"/>
                    </w:rPr>
                    <w:t>站房内</w:t>
                  </w:r>
                  <w:r>
                    <w:rPr>
                      <w:szCs w:val="21"/>
                    </w:rPr>
                    <w:t>设置一个</w:t>
                  </w:r>
                  <w:r>
                    <w:rPr>
                      <w:rFonts w:hint="eastAsia"/>
                      <w:szCs w:val="21"/>
                    </w:rPr>
                    <w:t>5m</w:t>
                  </w:r>
                  <w:r>
                    <w:rPr>
                      <w:rFonts w:hint="eastAsia"/>
                      <w:szCs w:val="21"/>
                      <w:vertAlign w:val="superscript"/>
                    </w:rPr>
                    <w:t>2</w:t>
                  </w:r>
                  <w:r>
                    <w:rPr>
                      <w:szCs w:val="21"/>
                    </w:rPr>
                    <w:t>危废暂存</w:t>
                  </w:r>
                  <w:r>
                    <w:rPr>
                      <w:rFonts w:hint="eastAsia"/>
                      <w:szCs w:val="21"/>
                    </w:rPr>
                    <w:t>间</w:t>
                  </w:r>
                  <w:r>
                    <w:rPr>
                      <w:szCs w:val="21"/>
                    </w:rPr>
                    <w:t>，位于站房</w:t>
                  </w:r>
                  <w:r>
                    <w:rPr>
                      <w:rFonts w:hint="eastAsia"/>
                      <w:szCs w:val="21"/>
                    </w:rPr>
                    <w:t>南</w:t>
                  </w:r>
                  <w:r>
                    <w:rPr>
                      <w:szCs w:val="21"/>
                    </w:rPr>
                    <w:t>侧，暂存点</w:t>
                  </w:r>
                  <w:r>
                    <w:rPr>
                      <w:rFonts w:hint="eastAsia"/>
                      <w:szCs w:val="21"/>
                    </w:rPr>
                    <w:t>应采取“四防”措施</w:t>
                  </w:r>
                </w:p>
              </w:tc>
            </w:tr>
            <w:tr w14:paraId="6114B7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0" w:hRule="atLeast"/>
              </w:trPr>
              <w:tc>
                <w:tcPr>
                  <w:tcW w:w="419" w:type="pct"/>
                  <w:vMerge w:val="continue"/>
                  <w:vAlign w:val="center"/>
                </w:tcPr>
                <w:p w14:paraId="3DC88714">
                  <w:pPr>
                    <w:adjustRightInd w:val="0"/>
                    <w:jc w:val="center"/>
                    <w:rPr>
                      <w:szCs w:val="21"/>
                    </w:rPr>
                  </w:pPr>
                </w:p>
              </w:tc>
              <w:tc>
                <w:tcPr>
                  <w:tcW w:w="638" w:type="pct"/>
                  <w:vAlign w:val="center"/>
                </w:tcPr>
                <w:p w14:paraId="68C5AC20">
                  <w:pPr>
                    <w:adjustRightInd w:val="0"/>
                    <w:jc w:val="center"/>
                    <w:rPr>
                      <w:szCs w:val="21"/>
                    </w:rPr>
                  </w:pPr>
                  <w:r>
                    <w:rPr>
                      <w:szCs w:val="21"/>
                    </w:rPr>
                    <w:t>地下水</w:t>
                  </w:r>
                </w:p>
              </w:tc>
              <w:tc>
                <w:tcPr>
                  <w:tcW w:w="3942" w:type="pct"/>
                  <w:vAlign w:val="center"/>
                </w:tcPr>
                <w:p w14:paraId="1FC8A23E">
                  <w:pPr>
                    <w:adjustRightInd w:val="0"/>
                    <w:jc w:val="center"/>
                    <w:rPr>
                      <w:rFonts w:hint="eastAsia"/>
                      <w:szCs w:val="21"/>
                    </w:rPr>
                  </w:pPr>
                  <w:r>
                    <w:rPr>
                      <w:szCs w:val="21"/>
                    </w:rPr>
                    <w:t>站内地面进行硬化，截水沟、生化池等均采用混凝土防渗，</w:t>
                  </w:r>
                  <w:r>
                    <w:rPr>
                      <w:rFonts w:hint="eastAsia"/>
                      <w:szCs w:val="21"/>
                    </w:rPr>
                    <w:t>埋地</w:t>
                  </w:r>
                  <w:r>
                    <w:rPr>
                      <w:szCs w:val="21"/>
                    </w:rPr>
                    <w:t>油罐采用</w:t>
                  </w:r>
                  <w:r>
                    <w:rPr>
                      <w:rFonts w:hint="eastAsia"/>
                      <w:szCs w:val="21"/>
                    </w:rPr>
                    <w:t>单层钢制</w:t>
                  </w:r>
                  <w:r>
                    <w:rPr>
                      <w:szCs w:val="21"/>
                    </w:rPr>
                    <w:t>储罐，</w:t>
                  </w:r>
                  <w:r>
                    <w:rPr>
                      <w:rFonts w:hint="eastAsia"/>
                      <w:szCs w:val="21"/>
                    </w:rPr>
                    <w:t>并设置防渗油罐池，</w:t>
                  </w:r>
                  <w:r>
                    <w:rPr>
                      <w:szCs w:val="21"/>
                    </w:rPr>
                    <w:t>隔油池及工艺管道采取重点防渗，危废暂</w:t>
                  </w:r>
                  <w:r>
                    <w:rPr>
                      <w:rFonts w:hint="eastAsia"/>
                      <w:szCs w:val="21"/>
                    </w:rPr>
                    <w:t>存间采取“四防”措施</w:t>
                  </w:r>
                </w:p>
                <w:p w14:paraId="61C4084A">
                  <w:pPr>
                    <w:adjustRightInd w:val="0"/>
                    <w:rPr>
                      <w:szCs w:val="21"/>
                    </w:rPr>
                  </w:pPr>
                  <w:r>
                    <w:rPr>
                      <w:rFonts w:hint="eastAsia"/>
                      <w:szCs w:val="21"/>
                    </w:rPr>
                    <w:t>设地下水质监测井1座，位于</w:t>
                  </w:r>
                  <w:r>
                    <w:rPr>
                      <w:rStyle w:val="27"/>
                      <w:rFonts w:hint="eastAsia"/>
                      <w:kern w:val="0"/>
                      <w:szCs w:val="20"/>
                    </w:rPr>
                    <w:t>项目下游</w:t>
                  </w:r>
                </w:p>
              </w:tc>
            </w:tr>
            <w:tr w14:paraId="341978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0" w:hRule="atLeast"/>
              </w:trPr>
              <w:tc>
                <w:tcPr>
                  <w:tcW w:w="419" w:type="pct"/>
                  <w:vMerge w:val="continue"/>
                  <w:vAlign w:val="center"/>
                </w:tcPr>
                <w:p w14:paraId="6E0C11FE">
                  <w:pPr>
                    <w:adjustRightInd w:val="0"/>
                    <w:jc w:val="center"/>
                    <w:rPr>
                      <w:szCs w:val="21"/>
                    </w:rPr>
                  </w:pPr>
                </w:p>
              </w:tc>
              <w:tc>
                <w:tcPr>
                  <w:tcW w:w="638" w:type="pct"/>
                  <w:vAlign w:val="center"/>
                </w:tcPr>
                <w:p w14:paraId="7B650746">
                  <w:pPr>
                    <w:adjustRightInd w:val="0"/>
                    <w:jc w:val="center"/>
                    <w:rPr>
                      <w:szCs w:val="21"/>
                    </w:rPr>
                  </w:pPr>
                  <w:r>
                    <w:rPr>
                      <w:rFonts w:hint="eastAsia"/>
                      <w:szCs w:val="21"/>
                    </w:rPr>
                    <w:t>环境</w:t>
                  </w:r>
                  <w:r>
                    <w:rPr>
                      <w:szCs w:val="21"/>
                    </w:rPr>
                    <w:t>风险</w:t>
                  </w:r>
                </w:p>
              </w:tc>
              <w:tc>
                <w:tcPr>
                  <w:tcW w:w="3942" w:type="pct"/>
                  <w:vAlign w:val="center"/>
                </w:tcPr>
                <w:p w14:paraId="2B0CB87B">
                  <w:pPr>
                    <w:adjustRightInd w:val="0"/>
                    <w:jc w:val="center"/>
                    <w:rPr>
                      <w:szCs w:val="21"/>
                    </w:rPr>
                  </w:pPr>
                  <w:r>
                    <w:rPr>
                      <w:szCs w:val="21"/>
                    </w:rPr>
                    <w:t>按规范配备灭火毯、消防砂池、手提式干粉灭火器、推车式干粉灭火器等；油罐均设置高液位报警功能的液位计；加油站内设立禁止吸烟、禁止打手机的警示牌，严格禁止站内明火；加油软管设置拉断截止阀；加强设备、管道的检修维护；加强员工的消防、安全技术培训，提高安全防范意识，提高处理突发事件的能力</w:t>
                  </w:r>
                </w:p>
              </w:tc>
            </w:tr>
          </w:tbl>
          <w:p w14:paraId="68FEEE84">
            <w:pPr>
              <w:adjustRightInd w:val="0"/>
              <w:snapToGrid w:val="0"/>
              <w:spacing w:line="360" w:lineRule="auto"/>
              <w:rPr>
                <w:rFonts w:hAnsi="宋体"/>
                <w:b/>
                <w:sz w:val="24"/>
              </w:rPr>
            </w:pPr>
            <w:r>
              <w:rPr>
                <w:rFonts w:hint="eastAsia" w:hAnsi="宋体"/>
                <w:b/>
                <w:sz w:val="24"/>
              </w:rPr>
              <w:t>2.3主要原辅料及燃料的种类和用量</w:t>
            </w:r>
          </w:p>
          <w:p w14:paraId="0FE21843">
            <w:pPr>
              <w:adjustRightInd w:val="0"/>
              <w:snapToGrid w:val="0"/>
              <w:spacing w:line="360" w:lineRule="auto"/>
              <w:ind w:firstLine="480" w:firstLineChars="200"/>
              <w:rPr>
                <w:rFonts w:hint="eastAsia" w:hAnsi="宋体"/>
                <w:bCs/>
                <w:sz w:val="24"/>
              </w:rPr>
            </w:pPr>
            <w:r>
              <w:rPr>
                <w:rFonts w:hint="eastAsia" w:hAnsi="宋体"/>
                <w:bCs/>
                <w:sz w:val="24"/>
              </w:rPr>
              <w:t>主要原辅材料及燃料的种类和用量如下表。</w:t>
            </w:r>
          </w:p>
          <w:p w14:paraId="730D471C">
            <w:pPr>
              <w:pStyle w:val="68"/>
              <w:spacing w:line="240" w:lineRule="auto"/>
              <w:rPr>
                <w:rFonts w:hint="eastAsia" w:ascii="黑体" w:hAnsi="黑体" w:eastAsia="黑体" w:cs="黑体"/>
                <w:b w:val="0"/>
                <w:bCs w:val="0"/>
              </w:rPr>
            </w:pPr>
            <w:r>
              <w:rPr>
                <w:rFonts w:hint="eastAsia" w:ascii="黑体" w:hAnsi="黑体" w:eastAsia="黑体" w:cs="黑体"/>
                <w:b w:val="0"/>
                <w:bCs w:val="0"/>
              </w:rPr>
              <w:t>表2-5  主要原辅料材料及燃料的种类和用量</w:t>
            </w:r>
          </w:p>
          <w:tbl>
            <w:tblPr>
              <w:tblStyle w:val="23"/>
              <w:tblW w:w="7932"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73"/>
              <w:gridCol w:w="1109"/>
              <w:gridCol w:w="1237"/>
              <w:gridCol w:w="1036"/>
              <w:gridCol w:w="1200"/>
              <w:gridCol w:w="941"/>
              <w:gridCol w:w="859"/>
              <w:gridCol w:w="677"/>
            </w:tblGrid>
            <w:tr w14:paraId="62F778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73" w:type="dxa"/>
                  <w:vAlign w:val="center"/>
                </w:tcPr>
                <w:p w14:paraId="42C0348F">
                  <w:pPr>
                    <w:widowControl/>
                    <w:snapToGrid w:val="0"/>
                    <w:jc w:val="center"/>
                    <w:rPr>
                      <w:rFonts w:ascii="宋体" w:hAnsi="宋体" w:cs="宋体"/>
                      <w:kern w:val="0"/>
                      <w:szCs w:val="21"/>
                    </w:rPr>
                  </w:pPr>
                  <w:r>
                    <w:rPr>
                      <w:rFonts w:hint="eastAsia" w:ascii="宋体" w:hAnsi="宋体" w:cs="宋体"/>
                      <w:kern w:val="0"/>
                      <w:szCs w:val="21"/>
                    </w:rPr>
                    <w:t>项目种类</w:t>
                  </w:r>
                </w:p>
              </w:tc>
              <w:tc>
                <w:tcPr>
                  <w:tcW w:w="1109" w:type="dxa"/>
                  <w:vAlign w:val="center"/>
                </w:tcPr>
                <w:p w14:paraId="6BCDD208">
                  <w:pPr>
                    <w:widowControl/>
                    <w:snapToGrid w:val="0"/>
                    <w:jc w:val="center"/>
                    <w:rPr>
                      <w:rFonts w:ascii="宋体" w:hAnsi="宋体" w:cs="宋体"/>
                      <w:kern w:val="0"/>
                      <w:szCs w:val="21"/>
                    </w:rPr>
                  </w:pPr>
                  <w:r>
                    <w:rPr>
                      <w:rFonts w:hint="eastAsia" w:ascii="宋体" w:hAnsi="宋体" w:cs="宋体"/>
                      <w:kern w:val="0"/>
                      <w:szCs w:val="21"/>
                    </w:rPr>
                    <w:t>名称</w:t>
                  </w:r>
                </w:p>
              </w:tc>
              <w:tc>
                <w:tcPr>
                  <w:tcW w:w="1237" w:type="dxa"/>
                  <w:vAlign w:val="center"/>
                </w:tcPr>
                <w:p w14:paraId="3102E4BD">
                  <w:pPr>
                    <w:widowControl/>
                    <w:snapToGrid w:val="0"/>
                    <w:jc w:val="center"/>
                    <w:rPr>
                      <w:rFonts w:ascii="宋体" w:hAnsi="宋体" w:cs="宋体"/>
                      <w:kern w:val="0"/>
                      <w:szCs w:val="21"/>
                    </w:rPr>
                  </w:pPr>
                  <w:r>
                    <w:rPr>
                      <w:rFonts w:hint="eastAsia" w:ascii="宋体" w:hAnsi="宋体" w:cs="宋体"/>
                      <w:kern w:val="0"/>
                      <w:szCs w:val="21"/>
                    </w:rPr>
                    <w:t>数量</w:t>
                  </w:r>
                </w:p>
              </w:tc>
              <w:tc>
                <w:tcPr>
                  <w:tcW w:w="1036" w:type="dxa"/>
                  <w:vAlign w:val="center"/>
                </w:tcPr>
                <w:p w14:paraId="50EC4B48">
                  <w:pPr>
                    <w:widowControl/>
                    <w:snapToGrid w:val="0"/>
                    <w:jc w:val="center"/>
                    <w:rPr>
                      <w:rFonts w:ascii="宋体" w:hAnsi="宋体" w:cs="宋体"/>
                      <w:kern w:val="0"/>
                      <w:szCs w:val="21"/>
                    </w:rPr>
                  </w:pPr>
                  <w:r>
                    <w:rPr>
                      <w:rFonts w:hint="eastAsia" w:ascii="宋体" w:hAnsi="宋体" w:cs="宋体"/>
                      <w:kern w:val="0"/>
                      <w:szCs w:val="21"/>
                    </w:rPr>
                    <w:t>单位</w:t>
                  </w:r>
                </w:p>
              </w:tc>
              <w:tc>
                <w:tcPr>
                  <w:tcW w:w="1200" w:type="dxa"/>
                  <w:vAlign w:val="center"/>
                </w:tcPr>
                <w:p w14:paraId="69FD289F">
                  <w:pPr>
                    <w:widowControl/>
                    <w:snapToGrid w:val="0"/>
                    <w:jc w:val="center"/>
                    <w:rPr>
                      <w:rFonts w:ascii="宋体" w:hAnsi="宋体" w:cs="宋体"/>
                      <w:kern w:val="0"/>
                      <w:szCs w:val="21"/>
                    </w:rPr>
                  </w:pPr>
                  <w:r>
                    <w:rPr>
                      <w:rFonts w:hint="eastAsia" w:ascii="宋体" w:hAnsi="宋体" w:cs="宋体"/>
                      <w:kern w:val="0"/>
                      <w:szCs w:val="21"/>
                    </w:rPr>
                    <w:t>来源</w:t>
                  </w:r>
                </w:p>
              </w:tc>
              <w:tc>
                <w:tcPr>
                  <w:tcW w:w="941" w:type="dxa"/>
                  <w:vAlign w:val="center"/>
                </w:tcPr>
                <w:p w14:paraId="6EA7025B">
                  <w:pPr>
                    <w:widowControl/>
                    <w:snapToGrid w:val="0"/>
                    <w:jc w:val="center"/>
                    <w:rPr>
                      <w:rFonts w:ascii="宋体" w:hAnsi="宋体" w:cs="宋体"/>
                      <w:kern w:val="0"/>
                      <w:szCs w:val="21"/>
                    </w:rPr>
                  </w:pPr>
                  <w:r>
                    <w:rPr>
                      <w:rFonts w:hint="eastAsia" w:ascii="宋体" w:hAnsi="宋体" w:cs="宋体"/>
                      <w:kern w:val="0"/>
                      <w:szCs w:val="21"/>
                    </w:rPr>
                    <w:t>运输方式</w:t>
                  </w:r>
                </w:p>
              </w:tc>
              <w:tc>
                <w:tcPr>
                  <w:tcW w:w="859" w:type="dxa"/>
                  <w:vAlign w:val="center"/>
                </w:tcPr>
                <w:p w14:paraId="6823257E">
                  <w:pPr>
                    <w:widowControl/>
                    <w:snapToGrid w:val="0"/>
                    <w:jc w:val="center"/>
                    <w:rPr>
                      <w:rFonts w:ascii="宋体" w:hAnsi="宋体" w:cs="宋体"/>
                      <w:kern w:val="0"/>
                      <w:szCs w:val="21"/>
                    </w:rPr>
                  </w:pPr>
                  <w:r>
                    <w:rPr>
                      <w:rFonts w:hint="eastAsia" w:ascii="宋体" w:hAnsi="宋体" w:cs="宋体"/>
                      <w:kern w:val="0"/>
                      <w:szCs w:val="21"/>
                    </w:rPr>
                    <w:t>储存位置</w:t>
                  </w:r>
                </w:p>
              </w:tc>
              <w:tc>
                <w:tcPr>
                  <w:tcW w:w="677" w:type="dxa"/>
                  <w:vAlign w:val="center"/>
                </w:tcPr>
                <w:p w14:paraId="0FF83E96">
                  <w:pPr>
                    <w:widowControl/>
                    <w:snapToGrid w:val="0"/>
                    <w:jc w:val="center"/>
                    <w:rPr>
                      <w:rFonts w:ascii="宋体" w:hAnsi="宋体" w:cs="宋体"/>
                      <w:kern w:val="0"/>
                      <w:szCs w:val="21"/>
                    </w:rPr>
                  </w:pPr>
                  <w:r>
                    <w:rPr>
                      <w:rFonts w:hint="eastAsia" w:ascii="宋体" w:hAnsi="宋体" w:cs="宋体"/>
                      <w:kern w:val="0"/>
                      <w:szCs w:val="21"/>
                    </w:rPr>
                    <w:t>备注</w:t>
                  </w:r>
                </w:p>
              </w:tc>
            </w:tr>
            <w:tr w14:paraId="60EA2E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73" w:type="dxa"/>
                  <w:vMerge w:val="restart"/>
                  <w:vAlign w:val="center"/>
                </w:tcPr>
                <w:p w14:paraId="6655C45D">
                  <w:pPr>
                    <w:widowControl/>
                    <w:snapToGrid w:val="0"/>
                    <w:jc w:val="center"/>
                    <w:rPr>
                      <w:rFonts w:ascii="宋体" w:hAnsi="宋体" w:cs="宋体"/>
                      <w:kern w:val="0"/>
                      <w:szCs w:val="21"/>
                    </w:rPr>
                  </w:pPr>
                  <w:r>
                    <w:rPr>
                      <w:rFonts w:hint="eastAsia" w:ascii="宋体" w:hAnsi="宋体" w:cs="宋体"/>
                      <w:kern w:val="0"/>
                      <w:szCs w:val="21"/>
                    </w:rPr>
                    <w:t>原材料</w:t>
                  </w:r>
                </w:p>
              </w:tc>
              <w:tc>
                <w:tcPr>
                  <w:tcW w:w="1109" w:type="dxa"/>
                  <w:vAlign w:val="center"/>
                </w:tcPr>
                <w:p w14:paraId="5DC57A28">
                  <w:pPr>
                    <w:widowControl/>
                    <w:snapToGrid w:val="0"/>
                    <w:jc w:val="center"/>
                    <w:rPr>
                      <w:rFonts w:ascii="宋体" w:hAnsi="宋体" w:cs="宋体"/>
                      <w:kern w:val="0"/>
                      <w:szCs w:val="21"/>
                    </w:rPr>
                  </w:pPr>
                  <w:r>
                    <w:rPr>
                      <w:rFonts w:hint="eastAsia" w:ascii="宋体" w:hAnsi="宋体" w:cs="宋体"/>
                      <w:kern w:val="0"/>
                      <w:szCs w:val="21"/>
                    </w:rPr>
                    <w:t>92#汽油</w:t>
                  </w:r>
                </w:p>
              </w:tc>
              <w:tc>
                <w:tcPr>
                  <w:tcW w:w="1237" w:type="dxa"/>
                  <w:vAlign w:val="center"/>
                </w:tcPr>
                <w:p w14:paraId="4436DCB8">
                  <w:pPr>
                    <w:widowControl/>
                    <w:snapToGrid w:val="0"/>
                    <w:jc w:val="center"/>
                    <w:rPr>
                      <w:rFonts w:ascii="宋体" w:hAnsi="宋体" w:cs="宋体"/>
                      <w:kern w:val="0"/>
                      <w:szCs w:val="21"/>
                    </w:rPr>
                  </w:pPr>
                  <w:r>
                    <w:rPr>
                      <w:rFonts w:hint="eastAsia" w:ascii="宋体" w:hAnsi="宋体" w:cs="宋体"/>
                      <w:kern w:val="0"/>
                      <w:szCs w:val="21"/>
                    </w:rPr>
                    <w:t>1944</w:t>
                  </w:r>
                </w:p>
              </w:tc>
              <w:tc>
                <w:tcPr>
                  <w:tcW w:w="1036" w:type="dxa"/>
                  <w:vAlign w:val="center"/>
                </w:tcPr>
                <w:p w14:paraId="20E4A166">
                  <w:pPr>
                    <w:widowControl/>
                    <w:snapToGrid w:val="0"/>
                    <w:jc w:val="center"/>
                    <w:rPr>
                      <w:rFonts w:ascii="宋体" w:hAnsi="宋体" w:cs="宋体"/>
                      <w:kern w:val="0"/>
                      <w:szCs w:val="21"/>
                    </w:rPr>
                  </w:pPr>
                  <w:r>
                    <w:rPr>
                      <w:rFonts w:hint="eastAsia" w:ascii="宋体" w:hAnsi="宋体" w:cs="宋体"/>
                      <w:kern w:val="0"/>
                      <w:szCs w:val="21"/>
                    </w:rPr>
                    <w:t>t/a</w:t>
                  </w:r>
                </w:p>
              </w:tc>
              <w:tc>
                <w:tcPr>
                  <w:tcW w:w="1200" w:type="dxa"/>
                  <w:vMerge w:val="restart"/>
                  <w:vAlign w:val="center"/>
                </w:tcPr>
                <w:p w14:paraId="5E2F8486">
                  <w:pPr>
                    <w:widowControl/>
                    <w:snapToGrid w:val="0"/>
                    <w:jc w:val="center"/>
                    <w:rPr>
                      <w:rFonts w:ascii="宋体" w:hAnsi="宋体" w:cs="宋体"/>
                      <w:kern w:val="0"/>
                      <w:szCs w:val="21"/>
                    </w:rPr>
                  </w:pPr>
                  <w:r>
                    <w:rPr>
                      <w:rFonts w:hint="eastAsia"/>
                      <w:szCs w:val="21"/>
                    </w:rPr>
                    <w:t>江顺石油公司</w:t>
                  </w:r>
                </w:p>
              </w:tc>
              <w:tc>
                <w:tcPr>
                  <w:tcW w:w="941" w:type="dxa"/>
                  <w:vMerge w:val="restart"/>
                  <w:vAlign w:val="center"/>
                </w:tcPr>
                <w:p w14:paraId="096F0C30">
                  <w:pPr>
                    <w:widowControl/>
                    <w:snapToGrid w:val="0"/>
                    <w:jc w:val="center"/>
                    <w:rPr>
                      <w:rFonts w:ascii="宋体" w:hAnsi="宋体" w:cs="宋体"/>
                      <w:kern w:val="0"/>
                      <w:szCs w:val="21"/>
                    </w:rPr>
                  </w:pPr>
                  <w:r>
                    <w:rPr>
                      <w:rFonts w:hint="eastAsia" w:ascii="宋体" w:hAnsi="宋体" w:cs="宋体"/>
                      <w:kern w:val="0"/>
                      <w:szCs w:val="21"/>
                    </w:rPr>
                    <w:t>油罐车</w:t>
                  </w:r>
                </w:p>
              </w:tc>
              <w:tc>
                <w:tcPr>
                  <w:tcW w:w="859" w:type="dxa"/>
                  <w:vMerge w:val="restart"/>
                  <w:vAlign w:val="center"/>
                </w:tcPr>
                <w:p w14:paraId="2D0B1F83">
                  <w:pPr>
                    <w:widowControl/>
                    <w:snapToGrid w:val="0"/>
                    <w:jc w:val="center"/>
                    <w:rPr>
                      <w:rFonts w:ascii="宋体" w:hAnsi="宋体" w:cs="宋体"/>
                      <w:kern w:val="0"/>
                      <w:szCs w:val="21"/>
                    </w:rPr>
                  </w:pPr>
                  <w:r>
                    <w:rPr>
                      <w:rFonts w:hint="eastAsia" w:ascii="宋体" w:hAnsi="宋体" w:cs="宋体"/>
                      <w:kern w:val="0"/>
                      <w:szCs w:val="21"/>
                    </w:rPr>
                    <w:t>油罐区</w:t>
                  </w:r>
                </w:p>
              </w:tc>
              <w:tc>
                <w:tcPr>
                  <w:tcW w:w="677" w:type="dxa"/>
                  <w:vMerge w:val="restart"/>
                  <w:vAlign w:val="center"/>
                </w:tcPr>
                <w:p w14:paraId="3EDED3DC">
                  <w:pPr>
                    <w:widowControl/>
                    <w:snapToGrid w:val="0"/>
                    <w:jc w:val="center"/>
                    <w:rPr>
                      <w:rFonts w:ascii="宋体" w:hAnsi="宋体" w:cs="宋体"/>
                      <w:kern w:val="0"/>
                      <w:szCs w:val="21"/>
                    </w:rPr>
                  </w:pPr>
                  <w:r>
                    <w:rPr>
                      <w:rFonts w:hint="eastAsia" w:ascii="宋体" w:hAnsi="宋体" w:cs="宋体"/>
                      <w:kern w:val="0"/>
                      <w:szCs w:val="21"/>
                    </w:rPr>
                    <w:t>液态</w:t>
                  </w:r>
                </w:p>
              </w:tc>
            </w:tr>
            <w:tr w14:paraId="49C5BE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73" w:type="dxa"/>
                  <w:vMerge w:val="continue"/>
                  <w:vAlign w:val="center"/>
                </w:tcPr>
                <w:p w14:paraId="5118F8EC">
                  <w:pPr>
                    <w:widowControl/>
                    <w:snapToGrid w:val="0"/>
                    <w:jc w:val="center"/>
                    <w:rPr>
                      <w:rFonts w:ascii="宋体" w:hAnsi="宋体" w:cs="宋体"/>
                      <w:kern w:val="0"/>
                      <w:szCs w:val="21"/>
                    </w:rPr>
                  </w:pPr>
                </w:p>
              </w:tc>
              <w:tc>
                <w:tcPr>
                  <w:tcW w:w="1109" w:type="dxa"/>
                  <w:vAlign w:val="center"/>
                </w:tcPr>
                <w:p w14:paraId="3E7E7773">
                  <w:pPr>
                    <w:widowControl/>
                    <w:snapToGrid w:val="0"/>
                    <w:jc w:val="center"/>
                    <w:rPr>
                      <w:rFonts w:ascii="宋体" w:hAnsi="宋体" w:cs="宋体"/>
                      <w:kern w:val="0"/>
                      <w:szCs w:val="21"/>
                    </w:rPr>
                  </w:pPr>
                  <w:r>
                    <w:rPr>
                      <w:rFonts w:hint="eastAsia" w:ascii="宋体" w:hAnsi="宋体" w:cs="宋体"/>
                      <w:kern w:val="0"/>
                      <w:szCs w:val="21"/>
                    </w:rPr>
                    <w:t>95#汽油</w:t>
                  </w:r>
                </w:p>
              </w:tc>
              <w:tc>
                <w:tcPr>
                  <w:tcW w:w="1237" w:type="dxa"/>
                  <w:vAlign w:val="center"/>
                </w:tcPr>
                <w:p w14:paraId="0E954D0C">
                  <w:pPr>
                    <w:widowControl/>
                    <w:snapToGrid w:val="0"/>
                    <w:jc w:val="center"/>
                    <w:rPr>
                      <w:rFonts w:ascii="宋体" w:hAnsi="宋体" w:cs="宋体"/>
                      <w:kern w:val="0"/>
                      <w:szCs w:val="21"/>
                    </w:rPr>
                  </w:pPr>
                  <w:r>
                    <w:rPr>
                      <w:rFonts w:hint="eastAsia" w:ascii="宋体" w:hAnsi="宋体" w:cs="宋体"/>
                      <w:kern w:val="0"/>
                      <w:szCs w:val="21"/>
                    </w:rPr>
                    <w:t>1296</w:t>
                  </w:r>
                </w:p>
              </w:tc>
              <w:tc>
                <w:tcPr>
                  <w:tcW w:w="1036" w:type="dxa"/>
                  <w:vAlign w:val="center"/>
                </w:tcPr>
                <w:p w14:paraId="4E97BFE8">
                  <w:pPr>
                    <w:widowControl/>
                    <w:snapToGrid w:val="0"/>
                    <w:jc w:val="center"/>
                    <w:rPr>
                      <w:rFonts w:ascii="宋体" w:hAnsi="宋体" w:cs="宋体"/>
                      <w:kern w:val="0"/>
                      <w:szCs w:val="21"/>
                    </w:rPr>
                  </w:pPr>
                  <w:r>
                    <w:rPr>
                      <w:rFonts w:hint="eastAsia" w:ascii="宋体" w:hAnsi="宋体" w:cs="宋体"/>
                      <w:kern w:val="0"/>
                      <w:szCs w:val="21"/>
                    </w:rPr>
                    <w:t>t/a</w:t>
                  </w:r>
                </w:p>
              </w:tc>
              <w:tc>
                <w:tcPr>
                  <w:tcW w:w="1200" w:type="dxa"/>
                  <w:vMerge w:val="continue"/>
                  <w:vAlign w:val="center"/>
                </w:tcPr>
                <w:p w14:paraId="6B404072">
                  <w:pPr>
                    <w:widowControl/>
                    <w:snapToGrid w:val="0"/>
                    <w:jc w:val="center"/>
                    <w:rPr>
                      <w:rFonts w:ascii="宋体" w:hAnsi="宋体" w:cs="宋体"/>
                      <w:kern w:val="0"/>
                      <w:szCs w:val="21"/>
                    </w:rPr>
                  </w:pPr>
                </w:p>
              </w:tc>
              <w:tc>
                <w:tcPr>
                  <w:tcW w:w="941" w:type="dxa"/>
                  <w:vMerge w:val="continue"/>
                  <w:vAlign w:val="center"/>
                </w:tcPr>
                <w:p w14:paraId="02C94E17">
                  <w:pPr>
                    <w:widowControl/>
                    <w:snapToGrid w:val="0"/>
                    <w:jc w:val="center"/>
                    <w:rPr>
                      <w:rFonts w:ascii="宋体" w:hAnsi="宋体" w:cs="宋体"/>
                      <w:kern w:val="0"/>
                      <w:szCs w:val="21"/>
                    </w:rPr>
                  </w:pPr>
                </w:p>
              </w:tc>
              <w:tc>
                <w:tcPr>
                  <w:tcW w:w="859" w:type="dxa"/>
                  <w:vMerge w:val="continue"/>
                  <w:vAlign w:val="center"/>
                </w:tcPr>
                <w:p w14:paraId="73F49CC0">
                  <w:pPr>
                    <w:widowControl/>
                    <w:snapToGrid w:val="0"/>
                    <w:jc w:val="center"/>
                    <w:rPr>
                      <w:rFonts w:ascii="宋体" w:hAnsi="宋体" w:cs="宋体"/>
                      <w:kern w:val="0"/>
                      <w:szCs w:val="21"/>
                    </w:rPr>
                  </w:pPr>
                </w:p>
              </w:tc>
              <w:tc>
                <w:tcPr>
                  <w:tcW w:w="677" w:type="dxa"/>
                  <w:vMerge w:val="continue"/>
                  <w:vAlign w:val="center"/>
                </w:tcPr>
                <w:p w14:paraId="07B92BB8">
                  <w:pPr>
                    <w:widowControl/>
                    <w:snapToGrid w:val="0"/>
                    <w:jc w:val="center"/>
                    <w:rPr>
                      <w:rFonts w:ascii="宋体" w:hAnsi="宋体" w:cs="宋体"/>
                      <w:kern w:val="0"/>
                      <w:szCs w:val="21"/>
                    </w:rPr>
                  </w:pPr>
                </w:p>
              </w:tc>
            </w:tr>
            <w:tr w14:paraId="3858F7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73" w:type="dxa"/>
                  <w:vMerge w:val="continue"/>
                  <w:vAlign w:val="center"/>
                </w:tcPr>
                <w:p w14:paraId="0C58BF8C">
                  <w:pPr>
                    <w:widowControl/>
                    <w:snapToGrid w:val="0"/>
                    <w:jc w:val="center"/>
                    <w:rPr>
                      <w:rFonts w:ascii="宋体" w:hAnsi="宋体" w:cs="宋体"/>
                      <w:kern w:val="0"/>
                      <w:szCs w:val="21"/>
                    </w:rPr>
                  </w:pPr>
                </w:p>
              </w:tc>
              <w:tc>
                <w:tcPr>
                  <w:tcW w:w="1109" w:type="dxa"/>
                  <w:vAlign w:val="center"/>
                </w:tcPr>
                <w:p w14:paraId="4B9408C9">
                  <w:pPr>
                    <w:widowControl/>
                    <w:snapToGrid w:val="0"/>
                    <w:jc w:val="center"/>
                    <w:rPr>
                      <w:rFonts w:ascii="宋体" w:hAnsi="宋体" w:cs="宋体"/>
                      <w:kern w:val="0"/>
                      <w:szCs w:val="21"/>
                    </w:rPr>
                  </w:pPr>
                  <w:r>
                    <w:rPr>
                      <w:rFonts w:hint="eastAsia" w:ascii="宋体" w:hAnsi="宋体" w:cs="宋体"/>
                      <w:kern w:val="0"/>
                      <w:szCs w:val="21"/>
                    </w:rPr>
                    <w:t>0#柴油</w:t>
                  </w:r>
                </w:p>
              </w:tc>
              <w:tc>
                <w:tcPr>
                  <w:tcW w:w="1237" w:type="dxa"/>
                  <w:vAlign w:val="center"/>
                </w:tcPr>
                <w:p w14:paraId="716255DC">
                  <w:pPr>
                    <w:widowControl/>
                    <w:snapToGrid w:val="0"/>
                    <w:jc w:val="center"/>
                    <w:rPr>
                      <w:rFonts w:hint="eastAsia" w:ascii="宋体" w:hAnsi="宋体" w:cs="宋体"/>
                      <w:kern w:val="0"/>
                      <w:szCs w:val="21"/>
                    </w:rPr>
                  </w:pPr>
                  <w:r>
                    <w:rPr>
                      <w:rFonts w:hint="eastAsia" w:ascii="宋体" w:hAnsi="宋体" w:cs="宋体"/>
                      <w:kern w:val="0"/>
                      <w:szCs w:val="21"/>
                    </w:rPr>
                    <w:t>1080</w:t>
                  </w:r>
                </w:p>
              </w:tc>
              <w:tc>
                <w:tcPr>
                  <w:tcW w:w="1036" w:type="dxa"/>
                  <w:vAlign w:val="center"/>
                </w:tcPr>
                <w:p w14:paraId="2FB39D48">
                  <w:pPr>
                    <w:widowControl/>
                    <w:snapToGrid w:val="0"/>
                    <w:jc w:val="center"/>
                    <w:rPr>
                      <w:rFonts w:ascii="宋体" w:hAnsi="宋体" w:cs="宋体"/>
                      <w:kern w:val="0"/>
                      <w:szCs w:val="21"/>
                    </w:rPr>
                  </w:pPr>
                  <w:r>
                    <w:rPr>
                      <w:rFonts w:hint="eastAsia" w:ascii="宋体" w:hAnsi="宋体" w:cs="宋体"/>
                      <w:kern w:val="0"/>
                      <w:szCs w:val="21"/>
                    </w:rPr>
                    <w:t>t/a</w:t>
                  </w:r>
                </w:p>
              </w:tc>
              <w:tc>
                <w:tcPr>
                  <w:tcW w:w="1200" w:type="dxa"/>
                  <w:vMerge w:val="continue"/>
                  <w:vAlign w:val="center"/>
                </w:tcPr>
                <w:p w14:paraId="2CA98138">
                  <w:pPr>
                    <w:widowControl/>
                    <w:snapToGrid w:val="0"/>
                    <w:jc w:val="center"/>
                    <w:rPr>
                      <w:rFonts w:ascii="宋体" w:hAnsi="宋体" w:cs="宋体"/>
                      <w:kern w:val="0"/>
                      <w:szCs w:val="21"/>
                    </w:rPr>
                  </w:pPr>
                </w:p>
              </w:tc>
              <w:tc>
                <w:tcPr>
                  <w:tcW w:w="941" w:type="dxa"/>
                  <w:vMerge w:val="continue"/>
                  <w:vAlign w:val="center"/>
                </w:tcPr>
                <w:p w14:paraId="75B48D3A">
                  <w:pPr>
                    <w:widowControl/>
                    <w:snapToGrid w:val="0"/>
                    <w:jc w:val="center"/>
                    <w:rPr>
                      <w:rFonts w:ascii="宋体" w:hAnsi="宋体" w:cs="宋体"/>
                      <w:kern w:val="0"/>
                      <w:szCs w:val="21"/>
                    </w:rPr>
                  </w:pPr>
                </w:p>
              </w:tc>
              <w:tc>
                <w:tcPr>
                  <w:tcW w:w="859" w:type="dxa"/>
                  <w:vMerge w:val="continue"/>
                  <w:vAlign w:val="center"/>
                </w:tcPr>
                <w:p w14:paraId="43263D76">
                  <w:pPr>
                    <w:widowControl/>
                    <w:snapToGrid w:val="0"/>
                    <w:jc w:val="center"/>
                    <w:rPr>
                      <w:rFonts w:ascii="宋体" w:hAnsi="宋体" w:cs="宋体"/>
                      <w:kern w:val="0"/>
                      <w:szCs w:val="21"/>
                    </w:rPr>
                  </w:pPr>
                </w:p>
              </w:tc>
              <w:tc>
                <w:tcPr>
                  <w:tcW w:w="677" w:type="dxa"/>
                  <w:vMerge w:val="continue"/>
                  <w:vAlign w:val="center"/>
                </w:tcPr>
                <w:p w14:paraId="2B51A5B8">
                  <w:pPr>
                    <w:widowControl/>
                    <w:snapToGrid w:val="0"/>
                    <w:jc w:val="center"/>
                    <w:rPr>
                      <w:rFonts w:ascii="宋体" w:hAnsi="宋体" w:cs="宋体"/>
                      <w:kern w:val="0"/>
                      <w:szCs w:val="21"/>
                    </w:rPr>
                  </w:pPr>
                </w:p>
              </w:tc>
            </w:tr>
            <w:tr w14:paraId="7C4C7A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73" w:type="dxa"/>
                  <w:vMerge w:val="restart"/>
                  <w:vAlign w:val="center"/>
                </w:tcPr>
                <w:p w14:paraId="2921C99D">
                  <w:pPr>
                    <w:widowControl/>
                    <w:snapToGrid w:val="0"/>
                    <w:jc w:val="center"/>
                    <w:rPr>
                      <w:rFonts w:ascii="宋体" w:hAnsi="宋体" w:cs="宋体"/>
                      <w:kern w:val="0"/>
                      <w:szCs w:val="21"/>
                    </w:rPr>
                  </w:pPr>
                  <w:r>
                    <w:rPr>
                      <w:rFonts w:hint="eastAsia" w:ascii="宋体" w:hAnsi="宋体" w:cs="宋体"/>
                      <w:kern w:val="0"/>
                      <w:szCs w:val="21"/>
                    </w:rPr>
                    <w:t>能源</w:t>
                  </w:r>
                </w:p>
              </w:tc>
              <w:tc>
                <w:tcPr>
                  <w:tcW w:w="1109" w:type="dxa"/>
                  <w:vAlign w:val="center"/>
                </w:tcPr>
                <w:p w14:paraId="1383A815">
                  <w:pPr>
                    <w:widowControl/>
                    <w:snapToGrid w:val="0"/>
                    <w:jc w:val="center"/>
                    <w:rPr>
                      <w:rFonts w:ascii="宋体" w:hAnsi="宋体" w:cs="宋体"/>
                      <w:kern w:val="0"/>
                      <w:szCs w:val="21"/>
                    </w:rPr>
                  </w:pPr>
                  <w:r>
                    <w:rPr>
                      <w:rFonts w:hint="eastAsia" w:ascii="宋体" w:hAnsi="宋体" w:cs="宋体"/>
                      <w:kern w:val="0"/>
                      <w:szCs w:val="21"/>
                    </w:rPr>
                    <w:t>自来水</w:t>
                  </w:r>
                </w:p>
              </w:tc>
              <w:tc>
                <w:tcPr>
                  <w:tcW w:w="1237" w:type="dxa"/>
                  <w:vAlign w:val="center"/>
                </w:tcPr>
                <w:p w14:paraId="5D7DE64B">
                  <w:pPr>
                    <w:widowControl/>
                    <w:snapToGrid w:val="0"/>
                    <w:jc w:val="center"/>
                    <w:rPr>
                      <w:rFonts w:hint="eastAsia" w:ascii="宋体" w:hAnsi="宋体" w:cs="宋体"/>
                      <w:kern w:val="0"/>
                      <w:szCs w:val="21"/>
                    </w:rPr>
                  </w:pPr>
                  <w:r>
                    <w:rPr>
                      <w:rFonts w:hint="eastAsia" w:ascii="宋体" w:hAnsi="宋体" w:cs="宋体"/>
                      <w:kern w:val="0"/>
                      <w:szCs w:val="21"/>
                    </w:rPr>
                    <w:t>1078.212</w:t>
                  </w:r>
                </w:p>
              </w:tc>
              <w:tc>
                <w:tcPr>
                  <w:tcW w:w="1036" w:type="dxa"/>
                  <w:vAlign w:val="center"/>
                </w:tcPr>
                <w:p w14:paraId="54115C1B">
                  <w:pPr>
                    <w:widowControl/>
                    <w:snapToGrid w:val="0"/>
                    <w:jc w:val="center"/>
                    <w:rPr>
                      <w:rFonts w:ascii="宋体" w:hAnsi="宋体" w:cs="宋体"/>
                      <w:kern w:val="0"/>
                      <w:szCs w:val="21"/>
                    </w:rPr>
                  </w:pPr>
                  <w:r>
                    <w:rPr>
                      <w:rFonts w:hint="eastAsia" w:ascii="宋体" w:hAnsi="宋体" w:cs="宋体"/>
                      <w:kern w:val="0"/>
                      <w:szCs w:val="21"/>
                    </w:rPr>
                    <w:t>m</w:t>
                  </w:r>
                  <w:r>
                    <w:rPr>
                      <w:rFonts w:hint="eastAsia" w:ascii="宋体" w:hAnsi="宋体" w:cs="宋体"/>
                      <w:kern w:val="0"/>
                      <w:szCs w:val="21"/>
                      <w:vertAlign w:val="superscript"/>
                    </w:rPr>
                    <w:t>3</w:t>
                  </w:r>
                  <w:r>
                    <w:rPr>
                      <w:rFonts w:hint="eastAsia" w:ascii="宋体" w:hAnsi="宋体" w:cs="宋体"/>
                      <w:kern w:val="0"/>
                      <w:szCs w:val="21"/>
                    </w:rPr>
                    <w:t>/a</w:t>
                  </w:r>
                </w:p>
              </w:tc>
              <w:tc>
                <w:tcPr>
                  <w:tcW w:w="1200" w:type="dxa"/>
                  <w:vAlign w:val="center"/>
                </w:tcPr>
                <w:p w14:paraId="3E7A4552">
                  <w:pPr>
                    <w:widowControl/>
                    <w:snapToGrid w:val="0"/>
                    <w:jc w:val="center"/>
                    <w:rPr>
                      <w:rFonts w:ascii="宋体" w:hAnsi="宋体" w:cs="宋体"/>
                      <w:kern w:val="0"/>
                      <w:szCs w:val="21"/>
                    </w:rPr>
                  </w:pPr>
                  <w:r>
                    <w:rPr>
                      <w:rFonts w:hint="eastAsia" w:ascii="宋体" w:hAnsi="宋体" w:cs="宋体"/>
                      <w:kern w:val="0"/>
                      <w:szCs w:val="21"/>
                    </w:rPr>
                    <w:t>园区自来水管网</w:t>
                  </w:r>
                </w:p>
              </w:tc>
              <w:tc>
                <w:tcPr>
                  <w:tcW w:w="941" w:type="dxa"/>
                  <w:vAlign w:val="center"/>
                </w:tcPr>
                <w:p w14:paraId="257725A1">
                  <w:pPr>
                    <w:widowControl/>
                    <w:snapToGrid w:val="0"/>
                    <w:jc w:val="center"/>
                    <w:rPr>
                      <w:rFonts w:ascii="宋体" w:hAnsi="宋体" w:cs="宋体"/>
                      <w:kern w:val="0"/>
                      <w:szCs w:val="21"/>
                    </w:rPr>
                  </w:pPr>
                  <w:r>
                    <w:rPr>
                      <w:rFonts w:hint="eastAsia" w:ascii="宋体" w:hAnsi="宋体" w:cs="宋体"/>
                      <w:kern w:val="0"/>
                      <w:szCs w:val="21"/>
                    </w:rPr>
                    <w:t>/</w:t>
                  </w:r>
                </w:p>
              </w:tc>
              <w:tc>
                <w:tcPr>
                  <w:tcW w:w="859" w:type="dxa"/>
                  <w:vAlign w:val="center"/>
                </w:tcPr>
                <w:p w14:paraId="416ADDB1">
                  <w:pPr>
                    <w:widowControl/>
                    <w:snapToGrid w:val="0"/>
                    <w:jc w:val="center"/>
                    <w:rPr>
                      <w:rFonts w:ascii="宋体" w:hAnsi="宋体" w:cs="宋体"/>
                      <w:kern w:val="0"/>
                      <w:szCs w:val="21"/>
                    </w:rPr>
                  </w:pPr>
                  <w:r>
                    <w:rPr>
                      <w:rFonts w:hint="eastAsia" w:ascii="宋体" w:hAnsi="宋体" w:cs="宋体"/>
                      <w:kern w:val="0"/>
                      <w:szCs w:val="21"/>
                    </w:rPr>
                    <w:t>/</w:t>
                  </w:r>
                </w:p>
              </w:tc>
              <w:tc>
                <w:tcPr>
                  <w:tcW w:w="677" w:type="dxa"/>
                  <w:vAlign w:val="center"/>
                </w:tcPr>
                <w:p w14:paraId="3C2C6FAA">
                  <w:pPr>
                    <w:widowControl/>
                    <w:snapToGrid w:val="0"/>
                    <w:jc w:val="center"/>
                    <w:rPr>
                      <w:rFonts w:ascii="宋体" w:hAnsi="宋体" w:cs="宋体"/>
                      <w:kern w:val="0"/>
                      <w:szCs w:val="21"/>
                    </w:rPr>
                  </w:pPr>
                  <w:r>
                    <w:rPr>
                      <w:rFonts w:hint="eastAsia" w:ascii="宋体" w:hAnsi="宋体" w:cs="宋体"/>
                      <w:kern w:val="0"/>
                      <w:szCs w:val="21"/>
                    </w:rPr>
                    <w:t>/</w:t>
                  </w:r>
                </w:p>
              </w:tc>
            </w:tr>
            <w:tr w14:paraId="02302A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73" w:type="dxa"/>
                  <w:vMerge w:val="continue"/>
                  <w:vAlign w:val="center"/>
                </w:tcPr>
                <w:p w14:paraId="636BA468">
                  <w:pPr>
                    <w:widowControl/>
                    <w:snapToGrid w:val="0"/>
                    <w:jc w:val="center"/>
                    <w:rPr>
                      <w:rFonts w:ascii="宋体" w:hAnsi="宋体" w:cs="宋体"/>
                      <w:kern w:val="0"/>
                      <w:szCs w:val="21"/>
                    </w:rPr>
                  </w:pPr>
                </w:p>
              </w:tc>
              <w:tc>
                <w:tcPr>
                  <w:tcW w:w="1109" w:type="dxa"/>
                  <w:vAlign w:val="center"/>
                </w:tcPr>
                <w:p w14:paraId="54BC6B9E">
                  <w:pPr>
                    <w:widowControl/>
                    <w:snapToGrid w:val="0"/>
                    <w:jc w:val="center"/>
                    <w:rPr>
                      <w:rFonts w:ascii="宋体" w:hAnsi="宋体" w:cs="宋体"/>
                      <w:kern w:val="0"/>
                      <w:szCs w:val="21"/>
                    </w:rPr>
                  </w:pPr>
                  <w:r>
                    <w:rPr>
                      <w:rFonts w:hint="eastAsia" w:ascii="宋体" w:hAnsi="宋体" w:cs="宋体"/>
                      <w:kern w:val="0"/>
                      <w:szCs w:val="21"/>
                    </w:rPr>
                    <w:t>电量</w:t>
                  </w:r>
                </w:p>
              </w:tc>
              <w:tc>
                <w:tcPr>
                  <w:tcW w:w="1237" w:type="dxa"/>
                  <w:vAlign w:val="center"/>
                </w:tcPr>
                <w:p w14:paraId="73D2454E">
                  <w:pPr>
                    <w:widowControl/>
                    <w:snapToGrid w:val="0"/>
                    <w:jc w:val="center"/>
                    <w:rPr>
                      <w:rFonts w:hint="eastAsia" w:ascii="宋体" w:hAnsi="宋体" w:cs="宋体"/>
                      <w:kern w:val="0"/>
                      <w:szCs w:val="21"/>
                    </w:rPr>
                  </w:pPr>
                  <w:r>
                    <w:rPr>
                      <w:rFonts w:hint="eastAsia" w:ascii="宋体" w:hAnsi="宋体" w:cs="宋体"/>
                      <w:kern w:val="0"/>
                      <w:szCs w:val="21"/>
                    </w:rPr>
                    <w:t>10000</w:t>
                  </w:r>
                </w:p>
              </w:tc>
              <w:tc>
                <w:tcPr>
                  <w:tcW w:w="1036" w:type="dxa"/>
                  <w:vAlign w:val="center"/>
                </w:tcPr>
                <w:p w14:paraId="142D4336">
                  <w:pPr>
                    <w:widowControl/>
                    <w:snapToGrid w:val="0"/>
                    <w:jc w:val="center"/>
                    <w:rPr>
                      <w:rFonts w:ascii="宋体" w:hAnsi="宋体" w:cs="宋体"/>
                      <w:kern w:val="0"/>
                      <w:szCs w:val="21"/>
                    </w:rPr>
                  </w:pPr>
                  <w:r>
                    <w:rPr>
                      <w:rFonts w:hint="eastAsia" w:ascii="宋体" w:hAnsi="宋体" w:cs="宋体"/>
                      <w:kern w:val="0"/>
                      <w:szCs w:val="21"/>
                    </w:rPr>
                    <w:t>Kw</w:t>
                  </w:r>
                  <w:r>
                    <w:rPr>
                      <w:rFonts w:ascii="宋体" w:hAnsi="宋体" w:cs="宋体"/>
                      <w:kern w:val="0"/>
                      <w:szCs w:val="21"/>
                    </w:rPr>
                    <w:t>·</w:t>
                  </w:r>
                  <w:r>
                    <w:rPr>
                      <w:rFonts w:hint="eastAsia" w:ascii="宋体" w:hAnsi="宋体" w:cs="宋体"/>
                      <w:kern w:val="0"/>
                      <w:szCs w:val="21"/>
                    </w:rPr>
                    <w:t>h</w:t>
                  </w:r>
                </w:p>
              </w:tc>
              <w:tc>
                <w:tcPr>
                  <w:tcW w:w="1200" w:type="dxa"/>
                  <w:vAlign w:val="center"/>
                </w:tcPr>
                <w:p w14:paraId="19A9B28A">
                  <w:pPr>
                    <w:widowControl/>
                    <w:snapToGrid w:val="0"/>
                    <w:jc w:val="center"/>
                    <w:rPr>
                      <w:rFonts w:ascii="宋体" w:hAnsi="宋体" w:cs="宋体"/>
                      <w:kern w:val="0"/>
                      <w:szCs w:val="21"/>
                    </w:rPr>
                  </w:pPr>
                  <w:r>
                    <w:rPr>
                      <w:rFonts w:hint="eastAsia" w:ascii="宋体" w:hAnsi="宋体" w:cs="宋体"/>
                      <w:kern w:val="0"/>
                      <w:szCs w:val="21"/>
                    </w:rPr>
                    <w:t>园区电网</w:t>
                  </w:r>
                </w:p>
              </w:tc>
              <w:tc>
                <w:tcPr>
                  <w:tcW w:w="941" w:type="dxa"/>
                  <w:vAlign w:val="center"/>
                </w:tcPr>
                <w:p w14:paraId="513B3405">
                  <w:pPr>
                    <w:widowControl/>
                    <w:snapToGrid w:val="0"/>
                    <w:jc w:val="center"/>
                    <w:rPr>
                      <w:rFonts w:ascii="宋体" w:hAnsi="宋体" w:cs="宋体"/>
                      <w:kern w:val="0"/>
                      <w:szCs w:val="21"/>
                    </w:rPr>
                  </w:pPr>
                  <w:r>
                    <w:rPr>
                      <w:rFonts w:hint="eastAsia" w:ascii="宋体" w:hAnsi="宋体" w:cs="宋体"/>
                      <w:kern w:val="0"/>
                      <w:szCs w:val="21"/>
                    </w:rPr>
                    <w:t>/</w:t>
                  </w:r>
                </w:p>
              </w:tc>
              <w:tc>
                <w:tcPr>
                  <w:tcW w:w="859" w:type="dxa"/>
                  <w:vAlign w:val="center"/>
                </w:tcPr>
                <w:p w14:paraId="6C02E356">
                  <w:pPr>
                    <w:widowControl/>
                    <w:snapToGrid w:val="0"/>
                    <w:jc w:val="center"/>
                    <w:rPr>
                      <w:rFonts w:ascii="宋体" w:hAnsi="宋体" w:cs="宋体"/>
                      <w:kern w:val="0"/>
                      <w:szCs w:val="21"/>
                    </w:rPr>
                  </w:pPr>
                  <w:r>
                    <w:rPr>
                      <w:rFonts w:hint="eastAsia" w:ascii="宋体" w:hAnsi="宋体" w:cs="宋体"/>
                      <w:kern w:val="0"/>
                      <w:szCs w:val="21"/>
                    </w:rPr>
                    <w:t>/</w:t>
                  </w:r>
                </w:p>
              </w:tc>
              <w:tc>
                <w:tcPr>
                  <w:tcW w:w="677" w:type="dxa"/>
                  <w:vAlign w:val="center"/>
                </w:tcPr>
                <w:p w14:paraId="30AA096E">
                  <w:pPr>
                    <w:widowControl/>
                    <w:snapToGrid w:val="0"/>
                    <w:jc w:val="center"/>
                    <w:rPr>
                      <w:rFonts w:ascii="宋体" w:hAnsi="宋体" w:cs="宋体"/>
                      <w:kern w:val="0"/>
                      <w:szCs w:val="21"/>
                    </w:rPr>
                  </w:pPr>
                  <w:r>
                    <w:rPr>
                      <w:rFonts w:hint="eastAsia" w:ascii="宋体" w:hAnsi="宋体" w:cs="宋体"/>
                      <w:kern w:val="0"/>
                      <w:szCs w:val="21"/>
                    </w:rPr>
                    <w:t>/</w:t>
                  </w:r>
                </w:p>
              </w:tc>
            </w:tr>
          </w:tbl>
          <w:p w14:paraId="05EADE9D">
            <w:pPr>
              <w:wordWrap w:val="0"/>
              <w:adjustRightInd w:val="0"/>
              <w:snapToGrid w:val="0"/>
              <w:spacing w:line="360" w:lineRule="auto"/>
              <w:ind w:firstLine="482" w:firstLineChars="200"/>
              <w:rPr>
                <w:rFonts w:hint="eastAsia"/>
                <w:b/>
                <w:sz w:val="24"/>
              </w:rPr>
            </w:pPr>
            <w:r>
              <w:rPr>
                <w:rFonts w:hint="eastAsia"/>
                <w:b/>
                <w:sz w:val="24"/>
              </w:rPr>
              <w:t>原辅料物化性质如下：</w:t>
            </w:r>
          </w:p>
          <w:p w14:paraId="689A5587">
            <w:pPr>
              <w:wordWrap w:val="0"/>
              <w:adjustRightInd w:val="0"/>
              <w:snapToGrid w:val="0"/>
              <w:spacing w:line="360" w:lineRule="auto"/>
              <w:ind w:firstLine="482" w:firstLineChars="200"/>
              <w:rPr>
                <w:rFonts w:hint="eastAsia"/>
                <w:bCs/>
                <w:sz w:val="24"/>
              </w:rPr>
            </w:pPr>
            <w:r>
              <w:rPr>
                <w:rFonts w:hint="eastAsia"/>
                <w:b/>
                <w:sz w:val="24"/>
              </w:rPr>
              <w:t>汽油：</w:t>
            </w:r>
            <w:r>
              <w:rPr>
                <w:rFonts w:hint="eastAsia"/>
                <w:bCs/>
                <w:sz w:val="24"/>
              </w:rPr>
              <w:t>汽油为油品的一大类，是四碳至十二碳复杂烃类的混合物，虽然为无色至淡黄色的易流动液体，但很难溶解于水，易燃，馏程为30℃至205℃，空气中含量为74～123g/m</w:t>
            </w:r>
            <w:r>
              <w:rPr>
                <w:rFonts w:hint="eastAsia"/>
                <w:bCs/>
                <w:sz w:val="24"/>
                <w:vertAlign w:val="superscript"/>
              </w:rPr>
              <w:t>3</w:t>
            </w:r>
            <w:r>
              <w:rPr>
                <w:rFonts w:hint="eastAsia"/>
                <w:bCs/>
                <w:sz w:val="24"/>
              </w:rPr>
              <w:t>时遇火爆炸。92#汽油是指含有93%的异辛烷、7%的正庚烷，相对密度为0.725g/mL。95#汽油是指含有97%的异辛烷、3%的正庚烷，相对密度为0.737g/mL，98#汽油是指含有97%的异辛烷、3%的正庚烷，相对密度为0.753g/mL。其蒸气与空气可形成爆炸性混合物。遇明火、高热极易燃烧爆炸。与氧化剂能发生强烈反应。其蒸气比空气重，能在较低处扩散到相当远的地方，遇明火会引着回燃。</w:t>
            </w:r>
          </w:p>
          <w:p w14:paraId="77716A3B">
            <w:pPr>
              <w:wordWrap w:val="0"/>
              <w:adjustRightInd w:val="0"/>
              <w:snapToGrid w:val="0"/>
              <w:spacing w:line="360" w:lineRule="auto"/>
              <w:ind w:firstLine="482" w:firstLineChars="200"/>
              <w:rPr>
                <w:rFonts w:hint="eastAsia"/>
                <w:bCs/>
                <w:sz w:val="24"/>
              </w:rPr>
            </w:pPr>
            <w:r>
              <w:rPr>
                <w:rFonts w:hint="eastAsia"/>
                <w:b/>
                <w:sz w:val="24"/>
              </w:rPr>
              <w:t>柴油：</w:t>
            </w:r>
            <w:r>
              <w:rPr>
                <w:rFonts w:hint="eastAsia"/>
                <w:bCs/>
                <w:sz w:val="24"/>
              </w:rPr>
              <w:t>柴油的化学和物理特性位于汽油和重油之间，沸点在170℃至390℃间，比重为0.82~0.845kg/L，热值为3.3×10</w:t>
            </w:r>
            <w:r>
              <w:rPr>
                <w:rFonts w:hint="eastAsia"/>
                <w:bCs/>
                <w:sz w:val="24"/>
                <w:vertAlign w:val="superscript"/>
              </w:rPr>
              <w:t>7</w:t>
            </w:r>
            <w:r>
              <w:rPr>
                <w:rFonts w:hint="eastAsia"/>
                <w:bCs/>
                <w:sz w:val="24"/>
              </w:rPr>
              <w:t>J/L。0#柴油外观为稍有粘性的棕色液体，沸点在 282-338℃间，相对密度为0.87-0.9g/mL，熔点为-18℃，自然温度为257℃。遇明火、高热或与氧化剂接触，有引起燃烧爆炸的危险。若遇高温，内压增大，有开裂或爆炸的危险。</w:t>
            </w:r>
          </w:p>
          <w:p w14:paraId="4631986A">
            <w:pPr>
              <w:wordWrap w:val="0"/>
              <w:adjustRightInd w:val="0"/>
              <w:snapToGrid w:val="0"/>
              <w:spacing w:line="360" w:lineRule="auto"/>
              <w:rPr>
                <w:rFonts w:hint="eastAsia"/>
                <w:b/>
                <w:sz w:val="24"/>
              </w:rPr>
            </w:pPr>
            <w:r>
              <w:rPr>
                <w:rFonts w:hint="eastAsia"/>
                <w:b/>
                <w:sz w:val="24"/>
              </w:rPr>
              <w:t>2.4公用工程</w:t>
            </w:r>
          </w:p>
          <w:p w14:paraId="6A44059E">
            <w:pPr>
              <w:numPr>
                <w:ilvl w:val="0"/>
                <w:numId w:val="3"/>
              </w:numPr>
              <w:adjustRightInd w:val="0"/>
              <w:snapToGrid w:val="0"/>
              <w:spacing w:line="360" w:lineRule="auto"/>
              <w:ind w:firstLine="480" w:firstLineChars="200"/>
              <w:rPr>
                <w:bCs/>
                <w:sz w:val="24"/>
              </w:rPr>
            </w:pPr>
            <w:r>
              <w:rPr>
                <w:rFonts w:hAnsi="宋体"/>
                <w:bCs/>
                <w:sz w:val="24"/>
              </w:rPr>
              <w:t>给水</w:t>
            </w:r>
          </w:p>
          <w:p w14:paraId="6D7A8990">
            <w:pPr>
              <w:adjustRightInd w:val="0"/>
              <w:snapToGrid w:val="0"/>
              <w:spacing w:line="360" w:lineRule="auto"/>
              <w:ind w:firstLine="480" w:firstLineChars="200"/>
              <w:rPr>
                <w:bCs/>
                <w:sz w:val="24"/>
              </w:rPr>
            </w:pPr>
            <w:r>
              <w:rPr>
                <w:rFonts w:hAnsi="宋体"/>
                <w:bCs/>
                <w:sz w:val="24"/>
              </w:rPr>
              <w:t>拟建项目供水由</w:t>
            </w:r>
            <w:r>
              <w:rPr>
                <w:rFonts w:hint="eastAsia" w:hAnsi="宋体"/>
                <w:bCs/>
                <w:sz w:val="24"/>
              </w:rPr>
              <w:t>园区自来水</w:t>
            </w:r>
            <w:r>
              <w:rPr>
                <w:rFonts w:hAnsi="宋体"/>
                <w:bCs/>
                <w:sz w:val="24"/>
              </w:rPr>
              <w:t>管网提供，用水主要包括生活用水和其他用水。生活用水主要包括站内职工生活用水、</w:t>
            </w:r>
            <w:r>
              <w:rPr>
                <w:rFonts w:hint="eastAsia" w:hAnsi="宋体"/>
                <w:bCs/>
                <w:sz w:val="24"/>
              </w:rPr>
              <w:t>司乘人员</w:t>
            </w:r>
            <w:r>
              <w:rPr>
                <w:rFonts w:hAnsi="宋体"/>
                <w:bCs/>
                <w:sz w:val="24"/>
              </w:rPr>
              <w:t>用水，其他用水主要包括场地</w:t>
            </w:r>
            <w:r>
              <w:rPr>
                <w:rFonts w:hint="eastAsia" w:hAnsi="宋体"/>
                <w:bCs/>
                <w:sz w:val="24"/>
              </w:rPr>
              <w:t>冲洗</w:t>
            </w:r>
            <w:r>
              <w:rPr>
                <w:rFonts w:hAnsi="宋体"/>
                <w:bCs/>
                <w:sz w:val="24"/>
              </w:rPr>
              <w:t>用水及绿化用水等。</w:t>
            </w:r>
            <w:r>
              <w:rPr>
                <w:rFonts w:hAnsi="宋体"/>
                <w:sz w:val="24"/>
              </w:rPr>
              <w:t>依据《建筑给水排水设计标准》（</w:t>
            </w:r>
            <w:r>
              <w:rPr>
                <w:sz w:val="24"/>
              </w:rPr>
              <w:t>GB50015-2019</w:t>
            </w:r>
            <w:r>
              <w:rPr>
                <w:rFonts w:hAnsi="宋体"/>
                <w:sz w:val="24"/>
              </w:rPr>
              <w:t>），并结合《重庆市经营及生活用水定额（</w:t>
            </w:r>
            <w:r>
              <w:rPr>
                <w:sz w:val="24"/>
              </w:rPr>
              <w:t>2017</w:t>
            </w:r>
            <w:r>
              <w:rPr>
                <w:rFonts w:hAnsi="宋体"/>
                <w:sz w:val="24"/>
              </w:rPr>
              <w:t>修订版）》</w:t>
            </w:r>
            <w:r>
              <w:rPr>
                <w:rFonts w:hint="eastAsia" w:hAnsi="宋体"/>
                <w:sz w:val="24"/>
              </w:rPr>
              <w:t>（</w:t>
            </w:r>
            <w:r>
              <w:rPr>
                <w:rFonts w:hAnsi="宋体"/>
                <w:sz w:val="24"/>
              </w:rPr>
              <w:t>渝水</w:t>
            </w:r>
            <w:r>
              <w:rPr>
                <w:sz w:val="24"/>
              </w:rPr>
              <w:t>[2018]66</w:t>
            </w:r>
            <w:r>
              <w:rPr>
                <w:rFonts w:hAnsi="宋体"/>
                <w:sz w:val="24"/>
              </w:rPr>
              <w:t>号</w:t>
            </w:r>
            <w:r>
              <w:rPr>
                <w:rFonts w:hint="eastAsia" w:hAnsi="宋体"/>
                <w:sz w:val="24"/>
              </w:rPr>
              <w:t>）</w:t>
            </w:r>
            <w:r>
              <w:rPr>
                <w:rFonts w:hAnsi="宋体"/>
                <w:sz w:val="24"/>
              </w:rPr>
              <w:t>中规定的重庆市用水标准，结合项目实际情况核算建设项目用水量，污水量按用水量的</w:t>
            </w:r>
            <w:r>
              <w:rPr>
                <w:sz w:val="24"/>
              </w:rPr>
              <w:t>90%</w:t>
            </w:r>
            <w:r>
              <w:rPr>
                <w:rFonts w:hAnsi="宋体"/>
                <w:sz w:val="24"/>
              </w:rPr>
              <w:t>计算，</w:t>
            </w:r>
            <w:r>
              <w:rPr>
                <w:rFonts w:hAnsi="宋体"/>
                <w:bCs/>
                <w:sz w:val="24"/>
              </w:rPr>
              <w:t>项目用水量见表</w:t>
            </w:r>
            <w:r>
              <w:rPr>
                <w:bCs/>
                <w:sz w:val="24"/>
              </w:rPr>
              <w:t>2-</w:t>
            </w:r>
            <w:r>
              <w:rPr>
                <w:rFonts w:hint="eastAsia"/>
                <w:bCs/>
                <w:sz w:val="24"/>
              </w:rPr>
              <w:t>6</w:t>
            </w:r>
            <w:r>
              <w:rPr>
                <w:rFonts w:hAnsi="宋体"/>
                <w:bCs/>
                <w:sz w:val="24"/>
              </w:rPr>
              <w:t>。</w:t>
            </w:r>
          </w:p>
          <w:p w14:paraId="0ED90C51">
            <w:pPr>
              <w:pStyle w:val="68"/>
              <w:spacing w:line="240" w:lineRule="auto"/>
              <w:rPr>
                <w:rFonts w:ascii="黑体" w:hAnsi="黑体" w:eastAsia="黑体" w:cs="黑体"/>
                <w:b w:val="0"/>
                <w:bCs w:val="0"/>
              </w:rPr>
            </w:pPr>
            <w:r>
              <w:rPr>
                <w:rFonts w:ascii="黑体" w:hAnsi="黑体" w:eastAsia="黑体" w:cs="黑体"/>
                <w:b w:val="0"/>
                <w:bCs w:val="0"/>
              </w:rPr>
              <w:t>表</w:t>
            </w:r>
            <w:r>
              <w:rPr>
                <w:rFonts w:hint="eastAsia" w:ascii="黑体" w:hAnsi="黑体" w:eastAsia="黑体" w:cs="黑体"/>
                <w:b w:val="0"/>
                <w:bCs w:val="0"/>
              </w:rPr>
              <w:t>2</w:t>
            </w:r>
            <w:r>
              <w:rPr>
                <w:rFonts w:ascii="黑体" w:hAnsi="黑体" w:eastAsia="黑体" w:cs="黑体"/>
                <w:b w:val="0"/>
                <w:bCs w:val="0"/>
              </w:rPr>
              <w:t>-</w:t>
            </w:r>
            <w:r>
              <w:rPr>
                <w:rFonts w:hint="eastAsia" w:ascii="黑体" w:hAnsi="黑体" w:eastAsia="黑体" w:cs="黑体"/>
                <w:b w:val="0"/>
                <w:bCs w:val="0"/>
              </w:rPr>
              <w:t>6</w:t>
            </w:r>
            <w:r>
              <w:rPr>
                <w:rFonts w:ascii="黑体" w:hAnsi="黑体" w:eastAsia="黑体" w:cs="黑体"/>
                <w:b w:val="0"/>
                <w:bCs w:val="0"/>
              </w:rPr>
              <w:t xml:space="preserve">  项目用水量一览表</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04"/>
              <w:gridCol w:w="1284"/>
              <w:gridCol w:w="1203"/>
              <w:gridCol w:w="1013"/>
              <w:gridCol w:w="1058"/>
              <w:gridCol w:w="965"/>
              <w:gridCol w:w="1000"/>
            </w:tblGrid>
            <w:tr w14:paraId="0163FA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98" w:hRule="exact"/>
                <w:jc w:val="center"/>
              </w:trPr>
              <w:tc>
                <w:tcPr>
                  <w:tcW w:w="987" w:type="pct"/>
                  <w:vMerge w:val="restart"/>
                  <w:vAlign w:val="center"/>
                </w:tcPr>
                <w:p w14:paraId="56F6040B">
                  <w:pPr>
                    <w:adjustRightInd w:val="0"/>
                    <w:snapToGrid w:val="0"/>
                    <w:jc w:val="center"/>
                    <w:rPr>
                      <w:szCs w:val="21"/>
                    </w:rPr>
                  </w:pPr>
                  <w:r>
                    <w:rPr>
                      <w:bCs/>
                      <w:szCs w:val="21"/>
                    </w:rPr>
                    <w:t>用水项目</w:t>
                  </w:r>
                </w:p>
              </w:tc>
              <w:tc>
                <w:tcPr>
                  <w:tcW w:w="790" w:type="pct"/>
                  <w:vMerge w:val="restart"/>
                  <w:vAlign w:val="center"/>
                </w:tcPr>
                <w:p w14:paraId="413A6A3B">
                  <w:pPr>
                    <w:adjustRightInd w:val="0"/>
                    <w:snapToGrid w:val="0"/>
                    <w:jc w:val="center"/>
                    <w:rPr>
                      <w:szCs w:val="21"/>
                    </w:rPr>
                  </w:pPr>
                  <w:r>
                    <w:rPr>
                      <w:bCs/>
                      <w:szCs w:val="21"/>
                    </w:rPr>
                    <w:t>用水标准</w:t>
                  </w:r>
                </w:p>
              </w:tc>
              <w:tc>
                <w:tcPr>
                  <w:tcW w:w="739" w:type="pct"/>
                  <w:vMerge w:val="restart"/>
                  <w:vAlign w:val="center"/>
                </w:tcPr>
                <w:p w14:paraId="1B63E41B">
                  <w:pPr>
                    <w:adjustRightInd w:val="0"/>
                    <w:snapToGrid w:val="0"/>
                    <w:jc w:val="center"/>
                    <w:rPr>
                      <w:szCs w:val="21"/>
                    </w:rPr>
                  </w:pPr>
                  <w:r>
                    <w:rPr>
                      <w:szCs w:val="21"/>
                    </w:rPr>
                    <w:t>规模</w:t>
                  </w:r>
                </w:p>
              </w:tc>
              <w:tc>
                <w:tcPr>
                  <w:tcW w:w="1274" w:type="pct"/>
                  <w:gridSpan w:val="2"/>
                  <w:vAlign w:val="center"/>
                </w:tcPr>
                <w:p w14:paraId="6A9E7C42">
                  <w:pPr>
                    <w:adjustRightInd w:val="0"/>
                    <w:snapToGrid w:val="0"/>
                    <w:jc w:val="center"/>
                    <w:rPr>
                      <w:szCs w:val="21"/>
                    </w:rPr>
                  </w:pPr>
                  <w:r>
                    <w:rPr>
                      <w:szCs w:val="21"/>
                    </w:rPr>
                    <w:t>最大用水量</w:t>
                  </w:r>
                </w:p>
              </w:tc>
              <w:tc>
                <w:tcPr>
                  <w:tcW w:w="1207" w:type="pct"/>
                  <w:gridSpan w:val="2"/>
                  <w:vAlign w:val="center"/>
                </w:tcPr>
                <w:p w14:paraId="0EB3E7C1">
                  <w:pPr>
                    <w:adjustRightInd w:val="0"/>
                    <w:snapToGrid w:val="0"/>
                    <w:jc w:val="center"/>
                    <w:rPr>
                      <w:szCs w:val="21"/>
                    </w:rPr>
                  </w:pPr>
                  <w:r>
                    <w:rPr>
                      <w:szCs w:val="21"/>
                    </w:rPr>
                    <w:t>最大废水量</w:t>
                  </w:r>
                </w:p>
              </w:tc>
            </w:tr>
            <w:tr w14:paraId="103E80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865" w:hRule="exact"/>
                <w:jc w:val="center"/>
              </w:trPr>
              <w:tc>
                <w:tcPr>
                  <w:tcW w:w="987" w:type="pct"/>
                  <w:vMerge w:val="continue"/>
                  <w:vAlign w:val="center"/>
                </w:tcPr>
                <w:p w14:paraId="47B92AEB">
                  <w:pPr>
                    <w:adjustRightInd w:val="0"/>
                    <w:snapToGrid w:val="0"/>
                    <w:jc w:val="center"/>
                    <w:rPr>
                      <w:bCs/>
                      <w:szCs w:val="21"/>
                    </w:rPr>
                  </w:pPr>
                </w:p>
              </w:tc>
              <w:tc>
                <w:tcPr>
                  <w:tcW w:w="790" w:type="pct"/>
                  <w:vMerge w:val="continue"/>
                  <w:vAlign w:val="center"/>
                </w:tcPr>
                <w:p w14:paraId="623C9A2C">
                  <w:pPr>
                    <w:adjustRightInd w:val="0"/>
                    <w:snapToGrid w:val="0"/>
                    <w:jc w:val="center"/>
                    <w:rPr>
                      <w:bCs/>
                      <w:szCs w:val="21"/>
                    </w:rPr>
                  </w:pPr>
                </w:p>
              </w:tc>
              <w:tc>
                <w:tcPr>
                  <w:tcW w:w="739" w:type="pct"/>
                  <w:vMerge w:val="continue"/>
                  <w:vAlign w:val="center"/>
                </w:tcPr>
                <w:p w14:paraId="470A4ED7">
                  <w:pPr>
                    <w:adjustRightInd w:val="0"/>
                    <w:snapToGrid w:val="0"/>
                    <w:jc w:val="center"/>
                    <w:rPr>
                      <w:szCs w:val="21"/>
                    </w:rPr>
                  </w:pPr>
                </w:p>
              </w:tc>
              <w:tc>
                <w:tcPr>
                  <w:tcW w:w="623" w:type="pct"/>
                  <w:vAlign w:val="center"/>
                </w:tcPr>
                <w:p w14:paraId="20C692D6">
                  <w:pPr>
                    <w:adjustRightInd w:val="0"/>
                    <w:snapToGrid w:val="0"/>
                    <w:jc w:val="center"/>
                    <w:rPr>
                      <w:szCs w:val="21"/>
                    </w:rPr>
                  </w:pPr>
                  <w:r>
                    <w:rPr>
                      <w:szCs w:val="21"/>
                    </w:rPr>
                    <w:t>日用水量（m³/d）</w:t>
                  </w:r>
                </w:p>
              </w:tc>
              <w:tc>
                <w:tcPr>
                  <w:tcW w:w="651" w:type="pct"/>
                  <w:vAlign w:val="center"/>
                </w:tcPr>
                <w:p w14:paraId="2333312D">
                  <w:pPr>
                    <w:adjustRightInd w:val="0"/>
                    <w:snapToGrid w:val="0"/>
                    <w:jc w:val="center"/>
                    <w:rPr>
                      <w:szCs w:val="21"/>
                    </w:rPr>
                  </w:pPr>
                  <w:r>
                    <w:rPr>
                      <w:szCs w:val="21"/>
                    </w:rPr>
                    <w:t>年用水量（m³/a）</w:t>
                  </w:r>
                </w:p>
              </w:tc>
              <w:tc>
                <w:tcPr>
                  <w:tcW w:w="594" w:type="pct"/>
                  <w:vAlign w:val="center"/>
                </w:tcPr>
                <w:p w14:paraId="787CF64E">
                  <w:pPr>
                    <w:adjustRightInd w:val="0"/>
                    <w:snapToGrid w:val="0"/>
                    <w:jc w:val="center"/>
                    <w:rPr>
                      <w:szCs w:val="21"/>
                    </w:rPr>
                  </w:pPr>
                  <w:r>
                    <w:rPr>
                      <w:szCs w:val="21"/>
                    </w:rPr>
                    <w:t>日废水量（m³/d）</w:t>
                  </w:r>
                </w:p>
              </w:tc>
              <w:tc>
                <w:tcPr>
                  <w:tcW w:w="613" w:type="pct"/>
                  <w:vAlign w:val="center"/>
                </w:tcPr>
                <w:p w14:paraId="7F14647A">
                  <w:pPr>
                    <w:adjustRightInd w:val="0"/>
                    <w:snapToGrid w:val="0"/>
                    <w:jc w:val="center"/>
                    <w:rPr>
                      <w:szCs w:val="21"/>
                    </w:rPr>
                  </w:pPr>
                  <w:r>
                    <w:rPr>
                      <w:szCs w:val="21"/>
                    </w:rPr>
                    <w:t>年废水量（m³/a）</w:t>
                  </w:r>
                </w:p>
              </w:tc>
            </w:tr>
            <w:tr w14:paraId="57D039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3" w:hRule="exact"/>
                <w:jc w:val="center"/>
              </w:trPr>
              <w:tc>
                <w:tcPr>
                  <w:tcW w:w="987" w:type="pct"/>
                  <w:vAlign w:val="center"/>
                </w:tcPr>
                <w:p w14:paraId="70FB8A38">
                  <w:pPr>
                    <w:adjustRightInd w:val="0"/>
                    <w:snapToGrid w:val="0"/>
                    <w:jc w:val="center"/>
                    <w:rPr>
                      <w:szCs w:val="21"/>
                    </w:rPr>
                  </w:pPr>
                  <w:r>
                    <w:rPr>
                      <w:szCs w:val="21"/>
                    </w:rPr>
                    <w:t>职工生活用水</w:t>
                  </w:r>
                </w:p>
              </w:tc>
              <w:tc>
                <w:tcPr>
                  <w:tcW w:w="790" w:type="pct"/>
                  <w:vAlign w:val="center"/>
                </w:tcPr>
                <w:p w14:paraId="2A0DC195">
                  <w:pPr>
                    <w:adjustRightInd w:val="0"/>
                    <w:snapToGrid w:val="0"/>
                    <w:jc w:val="center"/>
                    <w:rPr>
                      <w:szCs w:val="21"/>
                    </w:rPr>
                  </w:pPr>
                  <w:r>
                    <w:rPr>
                      <w:szCs w:val="21"/>
                    </w:rPr>
                    <w:t>70L/人·d</w:t>
                  </w:r>
                </w:p>
              </w:tc>
              <w:tc>
                <w:tcPr>
                  <w:tcW w:w="739" w:type="pct"/>
                  <w:vAlign w:val="center"/>
                </w:tcPr>
                <w:p w14:paraId="3953E8EF">
                  <w:pPr>
                    <w:adjustRightInd w:val="0"/>
                    <w:snapToGrid w:val="0"/>
                    <w:jc w:val="center"/>
                    <w:rPr>
                      <w:szCs w:val="21"/>
                    </w:rPr>
                  </w:pPr>
                  <w:r>
                    <w:rPr>
                      <w:rFonts w:hint="eastAsia"/>
                      <w:szCs w:val="21"/>
                    </w:rPr>
                    <w:t>8</w:t>
                  </w:r>
                  <w:r>
                    <w:rPr>
                      <w:szCs w:val="21"/>
                    </w:rPr>
                    <w:t>人</w:t>
                  </w:r>
                </w:p>
              </w:tc>
              <w:tc>
                <w:tcPr>
                  <w:tcW w:w="623" w:type="pct"/>
                  <w:vAlign w:val="center"/>
                </w:tcPr>
                <w:p w14:paraId="663DE665">
                  <w:pPr>
                    <w:adjustRightInd w:val="0"/>
                    <w:snapToGrid w:val="0"/>
                    <w:jc w:val="center"/>
                    <w:rPr>
                      <w:szCs w:val="21"/>
                    </w:rPr>
                  </w:pPr>
                  <w:r>
                    <w:rPr>
                      <w:rFonts w:hint="eastAsia"/>
                      <w:szCs w:val="21"/>
                    </w:rPr>
                    <w:t>0.56</w:t>
                  </w:r>
                </w:p>
              </w:tc>
              <w:tc>
                <w:tcPr>
                  <w:tcW w:w="651" w:type="pct"/>
                  <w:vAlign w:val="center"/>
                </w:tcPr>
                <w:p w14:paraId="3BD4ED98">
                  <w:pPr>
                    <w:adjustRightInd w:val="0"/>
                    <w:snapToGrid w:val="0"/>
                    <w:jc w:val="center"/>
                    <w:rPr>
                      <w:szCs w:val="21"/>
                    </w:rPr>
                  </w:pPr>
                  <w:r>
                    <w:rPr>
                      <w:rFonts w:hint="eastAsia"/>
                      <w:szCs w:val="21"/>
                    </w:rPr>
                    <w:t>204.4</w:t>
                  </w:r>
                </w:p>
              </w:tc>
              <w:tc>
                <w:tcPr>
                  <w:tcW w:w="594" w:type="pct"/>
                  <w:vAlign w:val="center"/>
                </w:tcPr>
                <w:p w14:paraId="028B80AE">
                  <w:pPr>
                    <w:adjustRightInd w:val="0"/>
                    <w:snapToGrid w:val="0"/>
                    <w:jc w:val="center"/>
                    <w:rPr>
                      <w:szCs w:val="21"/>
                    </w:rPr>
                  </w:pPr>
                  <w:r>
                    <w:rPr>
                      <w:rFonts w:hint="eastAsia"/>
                      <w:szCs w:val="21"/>
                    </w:rPr>
                    <w:t>0.504</w:t>
                  </w:r>
                </w:p>
              </w:tc>
              <w:tc>
                <w:tcPr>
                  <w:tcW w:w="613" w:type="pct"/>
                  <w:vAlign w:val="center"/>
                </w:tcPr>
                <w:p w14:paraId="779B48CE">
                  <w:pPr>
                    <w:adjustRightInd w:val="0"/>
                    <w:snapToGrid w:val="0"/>
                    <w:jc w:val="center"/>
                    <w:rPr>
                      <w:szCs w:val="21"/>
                    </w:rPr>
                  </w:pPr>
                  <w:r>
                    <w:rPr>
                      <w:rFonts w:hint="eastAsia"/>
                      <w:szCs w:val="21"/>
                    </w:rPr>
                    <w:t>183.96</w:t>
                  </w:r>
                </w:p>
              </w:tc>
            </w:tr>
            <w:tr w14:paraId="754150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3" w:hRule="exact"/>
                <w:jc w:val="center"/>
              </w:trPr>
              <w:tc>
                <w:tcPr>
                  <w:tcW w:w="987" w:type="pct"/>
                  <w:vAlign w:val="center"/>
                </w:tcPr>
                <w:p w14:paraId="1A721AAE">
                  <w:pPr>
                    <w:adjustRightInd w:val="0"/>
                    <w:snapToGrid w:val="0"/>
                    <w:jc w:val="center"/>
                    <w:rPr>
                      <w:szCs w:val="21"/>
                    </w:rPr>
                  </w:pPr>
                  <w:r>
                    <w:rPr>
                      <w:rFonts w:hint="eastAsia"/>
                      <w:szCs w:val="21"/>
                    </w:rPr>
                    <w:t>司</w:t>
                  </w:r>
                  <w:r>
                    <w:rPr>
                      <w:szCs w:val="21"/>
                    </w:rPr>
                    <w:t>乘人员用水</w:t>
                  </w:r>
                </w:p>
              </w:tc>
              <w:tc>
                <w:tcPr>
                  <w:tcW w:w="790" w:type="pct"/>
                  <w:vAlign w:val="center"/>
                </w:tcPr>
                <w:p w14:paraId="78323B36">
                  <w:pPr>
                    <w:adjustRightInd w:val="0"/>
                    <w:snapToGrid w:val="0"/>
                    <w:jc w:val="center"/>
                    <w:rPr>
                      <w:szCs w:val="21"/>
                    </w:rPr>
                  </w:pPr>
                  <w:r>
                    <w:rPr>
                      <w:szCs w:val="21"/>
                    </w:rPr>
                    <w:t>5L/人次·d</w:t>
                  </w:r>
                </w:p>
              </w:tc>
              <w:tc>
                <w:tcPr>
                  <w:tcW w:w="739" w:type="pct"/>
                  <w:vAlign w:val="center"/>
                </w:tcPr>
                <w:p w14:paraId="1C0F5BF9">
                  <w:pPr>
                    <w:adjustRightInd w:val="0"/>
                    <w:snapToGrid w:val="0"/>
                    <w:jc w:val="center"/>
                    <w:rPr>
                      <w:szCs w:val="21"/>
                    </w:rPr>
                  </w:pPr>
                  <w:r>
                    <w:rPr>
                      <w:rFonts w:hint="eastAsia"/>
                      <w:szCs w:val="21"/>
                    </w:rPr>
                    <w:t>400</w:t>
                  </w:r>
                  <w:r>
                    <w:rPr>
                      <w:szCs w:val="21"/>
                    </w:rPr>
                    <w:t>人次/d</w:t>
                  </w:r>
                </w:p>
              </w:tc>
              <w:tc>
                <w:tcPr>
                  <w:tcW w:w="623" w:type="pct"/>
                  <w:vAlign w:val="center"/>
                </w:tcPr>
                <w:p w14:paraId="60D18B18">
                  <w:pPr>
                    <w:adjustRightInd w:val="0"/>
                    <w:snapToGrid w:val="0"/>
                    <w:jc w:val="center"/>
                    <w:rPr>
                      <w:rFonts w:hint="eastAsia"/>
                      <w:szCs w:val="21"/>
                    </w:rPr>
                  </w:pPr>
                  <w:r>
                    <w:rPr>
                      <w:rFonts w:hint="eastAsia"/>
                      <w:szCs w:val="21"/>
                    </w:rPr>
                    <w:t>2</w:t>
                  </w:r>
                </w:p>
              </w:tc>
              <w:tc>
                <w:tcPr>
                  <w:tcW w:w="651" w:type="pct"/>
                  <w:vAlign w:val="center"/>
                </w:tcPr>
                <w:p w14:paraId="37DB8492">
                  <w:pPr>
                    <w:adjustRightInd w:val="0"/>
                    <w:snapToGrid w:val="0"/>
                    <w:jc w:val="center"/>
                    <w:rPr>
                      <w:szCs w:val="21"/>
                    </w:rPr>
                  </w:pPr>
                  <w:r>
                    <w:rPr>
                      <w:rFonts w:hint="eastAsia"/>
                      <w:szCs w:val="21"/>
                    </w:rPr>
                    <w:t>730</w:t>
                  </w:r>
                </w:p>
              </w:tc>
              <w:tc>
                <w:tcPr>
                  <w:tcW w:w="594" w:type="pct"/>
                  <w:vAlign w:val="center"/>
                </w:tcPr>
                <w:p w14:paraId="610BAADE">
                  <w:pPr>
                    <w:adjustRightInd w:val="0"/>
                    <w:snapToGrid w:val="0"/>
                    <w:jc w:val="center"/>
                    <w:rPr>
                      <w:szCs w:val="21"/>
                    </w:rPr>
                  </w:pPr>
                  <w:r>
                    <w:rPr>
                      <w:rFonts w:hint="eastAsia"/>
                      <w:szCs w:val="21"/>
                    </w:rPr>
                    <w:t>1.8</w:t>
                  </w:r>
                </w:p>
              </w:tc>
              <w:tc>
                <w:tcPr>
                  <w:tcW w:w="613" w:type="pct"/>
                  <w:vAlign w:val="center"/>
                </w:tcPr>
                <w:p w14:paraId="502F8762">
                  <w:pPr>
                    <w:adjustRightInd w:val="0"/>
                    <w:snapToGrid w:val="0"/>
                    <w:jc w:val="center"/>
                    <w:rPr>
                      <w:szCs w:val="21"/>
                    </w:rPr>
                  </w:pPr>
                  <w:r>
                    <w:rPr>
                      <w:rFonts w:hint="eastAsia"/>
                      <w:szCs w:val="21"/>
                    </w:rPr>
                    <w:t>657</w:t>
                  </w:r>
                </w:p>
              </w:tc>
            </w:tr>
            <w:tr w14:paraId="0A4F77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3" w:hRule="exact"/>
                <w:jc w:val="center"/>
              </w:trPr>
              <w:tc>
                <w:tcPr>
                  <w:tcW w:w="987" w:type="pct"/>
                  <w:vAlign w:val="center"/>
                </w:tcPr>
                <w:p w14:paraId="7D3CB67D">
                  <w:pPr>
                    <w:adjustRightInd w:val="0"/>
                    <w:snapToGrid w:val="0"/>
                    <w:jc w:val="center"/>
                    <w:rPr>
                      <w:szCs w:val="21"/>
                    </w:rPr>
                  </w:pPr>
                  <w:r>
                    <w:rPr>
                      <w:szCs w:val="21"/>
                    </w:rPr>
                    <w:t>小计</w:t>
                  </w:r>
                </w:p>
              </w:tc>
              <w:tc>
                <w:tcPr>
                  <w:tcW w:w="1530" w:type="pct"/>
                  <w:gridSpan w:val="2"/>
                  <w:vAlign w:val="center"/>
                </w:tcPr>
                <w:p w14:paraId="033D180A">
                  <w:pPr>
                    <w:adjustRightInd w:val="0"/>
                    <w:snapToGrid w:val="0"/>
                    <w:jc w:val="center"/>
                    <w:rPr>
                      <w:szCs w:val="21"/>
                    </w:rPr>
                  </w:pPr>
                  <w:r>
                    <w:rPr>
                      <w:szCs w:val="21"/>
                    </w:rPr>
                    <w:t>/</w:t>
                  </w:r>
                </w:p>
              </w:tc>
              <w:tc>
                <w:tcPr>
                  <w:tcW w:w="623" w:type="pct"/>
                  <w:vAlign w:val="center"/>
                </w:tcPr>
                <w:p w14:paraId="0DE1D81D">
                  <w:pPr>
                    <w:adjustRightInd w:val="0"/>
                    <w:snapToGrid w:val="0"/>
                    <w:jc w:val="center"/>
                    <w:rPr>
                      <w:szCs w:val="21"/>
                    </w:rPr>
                  </w:pPr>
                  <w:r>
                    <w:rPr>
                      <w:rFonts w:hint="eastAsia"/>
                      <w:szCs w:val="21"/>
                    </w:rPr>
                    <w:t>2.56</w:t>
                  </w:r>
                </w:p>
              </w:tc>
              <w:tc>
                <w:tcPr>
                  <w:tcW w:w="651" w:type="pct"/>
                  <w:vAlign w:val="center"/>
                </w:tcPr>
                <w:p w14:paraId="30F2C7CA">
                  <w:pPr>
                    <w:adjustRightInd w:val="0"/>
                    <w:snapToGrid w:val="0"/>
                    <w:jc w:val="center"/>
                    <w:rPr>
                      <w:szCs w:val="21"/>
                    </w:rPr>
                  </w:pPr>
                  <w:r>
                    <w:rPr>
                      <w:rFonts w:hint="eastAsia"/>
                      <w:szCs w:val="21"/>
                    </w:rPr>
                    <w:t>934.4</w:t>
                  </w:r>
                </w:p>
              </w:tc>
              <w:tc>
                <w:tcPr>
                  <w:tcW w:w="594" w:type="pct"/>
                  <w:vAlign w:val="center"/>
                </w:tcPr>
                <w:p w14:paraId="7B2D02B2">
                  <w:pPr>
                    <w:adjustRightInd w:val="0"/>
                    <w:snapToGrid w:val="0"/>
                    <w:jc w:val="center"/>
                    <w:rPr>
                      <w:szCs w:val="21"/>
                    </w:rPr>
                  </w:pPr>
                  <w:r>
                    <w:rPr>
                      <w:rFonts w:hint="eastAsia"/>
                      <w:szCs w:val="21"/>
                    </w:rPr>
                    <w:t>2.304</w:t>
                  </w:r>
                </w:p>
              </w:tc>
              <w:tc>
                <w:tcPr>
                  <w:tcW w:w="613" w:type="pct"/>
                  <w:vAlign w:val="center"/>
                </w:tcPr>
                <w:p w14:paraId="34608E1C">
                  <w:pPr>
                    <w:adjustRightInd w:val="0"/>
                    <w:snapToGrid w:val="0"/>
                    <w:jc w:val="center"/>
                    <w:rPr>
                      <w:szCs w:val="21"/>
                    </w:rPr>
                  </w:pPr>
                  <w:r>
                    <w:rPr>
                      <w:rFonts w:hint="eastAsia"/>
                      <w:szCs w:val="21"/>
                    </w:rPr>
                    <w:t>840.96</w:t>
                  </w:r>
                </w:p>
              </w:tc>
            </w:tr>
            <w:tr w14:paraId="4E4FBA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43" w:hRule="exact"/>
                <w:jc w:val="center"/>
              </w:trPr>
              <w:tc>
                <w:tcPr>
                  <w:tcW w:w="987" w:type="pct"/>
                  <w:vAlign w:val="center"/>
                </w:tcPr>
                <w:p w14:paraId="7642D06F">
                  <w:pPr>
                    <w:adjustRightInd w:val="0"/>
                    <w:snapToGrid w:val="0"/>
                    <w:jc w:val="center"/>
                    <w:rPr>
                      <w:szCs w:val="21"/>
                    </w:rPr>
                  </w:pPr>
                  <w:r>
                    <w:rPr>
                      <w:szCs w:val="21"/>
                    </w:rPr>
                    <w:t>场地冲洗用水</w:t>
                  </w:r>
                </w:p>
              </w:tc>
              <w:tc>
                <w:tcPr>
                  <w:tcW w:w="790" w:type="pct"/>
                  <w:vAlign w:val="center"/>
                </w:tcPr>
                <w:p w14:paraId="3AD0F87D">
                  <w:pPr>
                    <w:adjustRightInd w:val="0"/>
                    <w:snapToGrid w:val="0"/>
                    <w:jc w:val="center"/>
                    <w:rPr>
                      <w:color w:val="000000"/>
                      <w:szCs w:val="21"/>
                    </w:rPr>
                  </w:pPr>
                  <w:r>
                    <w:rPr>
                      <w:color w:val="000000"/>
                      <w:szCs w:val="21"/>
                    </w:rPr>
                    <w:t>2L/m</w:t>
                  </w:r>
                  <w:r>
                    <w:rPr>
                      <w:color w:val="000000"/>
                      <w:szCs w:val="21"/>
                      <w:vertAlign w:val="superscript"/>
                    </w:rPr>
                    <w:t>2</w:t>
                  </w:r>
                  <w:r>
                    <w:rPr>
                      <w:color w:val="000000"/>
                      <w:szCs w:val="21"/>
                    </w:rPr>
                    <w:t>·次</w:t>
                  </w:r>
                </w:p>
              </w:tc>
              <w:tc>
                <w:tcPr>
                  <w:tcW w:w="739" w:type="pct"/>
                  <w:vAlign w:val="center"/>
                </w:tcPr>
                <w:p w14:paraId="6C4AB10F">
                  <w:pPr>
                    <w:adjustRightInd w:val="0"/>
                    <w:snapToGrid w:val="0"/>
                    <w:jc w:val="center"/>
                    <w:rPr>
                      <w:color w:val="000000"/>
                      <w:szCs w:val="21"/>
                    </w:rPr>
                  </w:pPr>
                  <w:r>
                    <w:rPr>
                      <w:rFonts w:hint="eastAsia"/>
                      <w:color w:val="000000"/>
                      <w:szCs w:val="21"/>
                    </w:rPr>
                    <w:t>1068.12</w:t>
                  </w:r>
                  <w:r>
                    <w:rPr>
                      <w:color w:val="000000"/>
                      <w:szCs w:val="21"/>
                    </w:rPr>
                    <w:t xml:space="preserve"> m</w:t>
                  </w:r>
                  <w:r>
                    <w:rPr>
                      <w:color w:val="000000"/>
                      <w:szCs w:val="21"/>
                      <w:vertAlign w:val="superscript"/>
                    </w:rPr>
                    <w:t>2</w:t>
                  </w:r>
                  <w:r>
                    <w:rPr>
                      <w:color w:val="000000"/>
                      <w:szCs w:val="21"/>
                    </w:rPr>
                    <w:t>，50次/a</w:t>
                  </w:r>
                </w:p>
              </w:tc>
              <w:tc>
                <w:tcPr>
                  <w:tcW w:w="623" w:type="pct"/>
                  <w:vAlign w:val="center"/>
                </w:tcPr>
                <w:p w14:paraId="7FE2C5AE">
                  <w:pPr>
                    <w:jc w:val="center"/>
                    <w:rPr>
                      <w:color w:val="000000"/>
                      <w:szCs w:val="21"/>
                    </w:rPr>
                  </w:pPr>
                  <w:r>
                    <w:rPr>
                      <w:rFonts w:hint="eastAsia"/>
                      <w:color w:val="000000"/>
                      <w:szCs w:val="21"/>
                    </w:rPr>
                    <w:t>2.136</w:t>
                  </w:r>
                </w:p>
              </w:tc>
              <w:tc>
                <w:tcPr>
                  <w:tcW w:w="651" w:type="pct"/>
                  <w:vAlign w:val="center"/>
                </w:tcPr>
                <w:p w14:paraId="38688DAF">
                  <w:pPr>
                    <w:jc w:val="center"/>
                    <w:rPr>
                      <w:color w:val="000000"/>
                      <w:szCs w:val="21"/>
                    </w:rPr>
                  </w:pPr>
                  <w:r>
                    <w:rPr>
                      <w:rFonts w:hint="eastAsia"/>
                      <w:color w:val="000000"/>
                      <w:szCs w:val="21"/>
                    </w:rPr>
                    <w:t>106.812</w:t>
                  </w:r>
                </w:p>
              </w:tc>
              <w:tc>
                <w:tcPr>
                  <w:tcW w:w="594" w:type="pct"/>
                  <w:vAlign w:val="center"/>
                </w:tcPr>
                <w:p w14:paraId="6F10C676">
                  <w:pPr>
                    <w:jc w:val="center"/>
                    <w:rPr>
                      <w:color w:val="000000"/>
                      <w:szCs w:val="21"/>
                    </w:rPr>
                  </w:pPr>
                  <w:r>
                    <w:rPr>
                      <w:rFonts w:hint="eastAsia"/>
                      <w:color w:val="000000"/>
                      <w:szCs w:val="21"/>
                    </w:rPr>
                    <w:t>1.922</w:t>
                  </w:r>
                </w:p>
              </w:tc>
              <w:tc>
                <w:tcPr>
                  <w:tcW w:w="613" w:type="pct"/>
                  <w:vAlign w:val="center"/>
                </w:tcPr>
                <w:p w14:paraId="78919FAB">
                  <w:pPr>
                    <w:jc w:val="center"/>
                    <w:rPr>
                      <w:color w:val="000000"/>
                      <w:szCs w:val="21"/>
                    </w:rPr>
                  </w:pPr>
                  <w:r>
                    <w:rPr>
                      <w:rFonts w:hint="eastAsia"/>
                      <w:color w:val="000000"/>
                      <w:szCs w:val="21"/>
                    </w:rPr>
                    <w:t>96.1</w:t>
                  </w:r>
                </w:p>
              </w:tc>
            </w:tr>
            <w:tr w14:paraId="0DB41E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38" w:hRule="exact"/>
                <w:jc w:val="center"/>
              </w:trPr>
              <w:tc>
                <w:tcPr>
                  <w:tcW w:w="987" w:type="pct"/>
                  <w:vAlign w:val="center"/>
                </w:tcPr>
                <w:p w14:paraId="3138C4B9">
                  <w:pPr>
                    <w:adjustRightInd w:val="0"/>
                    <w:snapToGrid w:val="0"/>
                    <w:jc w:val="center"/>
                    <w:rPr>
                      <w:szCs w:val="21"/>
                    </w:rPr>
                  </w:pPr>
                  <w:r>
                    <w:rPr>
                      <w:szCs w:val="21"/>
                    </w:rPr>
                    <w:t>绿化用水</w:t>
                  </w:r>
                </w:p>
              </w:tc>
              <w:tc>
                <w:tcPr>
                  <w:tcW w:w="790" w:type="pct"/>
                  <w:vAlign w:val="center"/>
                </w:tcPr>
                <w:p w14:paraId="09F81A20">
                  <w:pPr>
                    <w:adjustRightInd w:val="0"/>
                    <w:snapToGrid w:val="0"/>
                    <w:jc w:val="center"/>
                    <w:rPr>
                      <w:szCs w:val="21"/>
                    </w:rPr>
                  </w:pPr>
                  <w:r>
                    <w:rPr>
                      <w:szCs w:val="21"/>
                    </w:rPr>
                    <w:t>2L/m</w:t>
                  </w:r>
                  <w:r>
                    <w:rPr>
                      <w:szCs w:val="21"/>
                      <w:vertAlign w:val="superscript"/>
                    </w:rPr>
                    <w:t>2</w:t>
                  </w:r>
                  <w:r>
                    <w:rPr>
                      <w:szCs w:val="21"/>
                    </w:rPr>
                    <w:t>·次</w:t>
                  </w:r>
                </w:p>
              </w:tc>
              <w:tc>
                <w:tcPr>
                  <w:tcW w:w="739" w:type="pct"/>
                  <w:vAlign w:val="center"/>
                </w:tcPr>
                <w:p w14:paraId="38E4E6D4">
                  <w:pPr>
                    <w:adjustRightInd w:val="0"/>
                    <w:snapToGrid w:val="0"/>
                    <w:jc w:val="center"/>
                    <w:rPr>
                      <w:szCs w:val="21"/>
                    </w:rPr>
                  </w:pPr>
                  <w:r>
                    <w:rPr>
                      <w:rFonts w:hint="eastAsia"/>
                      <w:szCs w:val="21"/>
                    </w:rPr>
                    <w:t>370.13</w:t>
                  </w:r>
                  <w:r>
                    <w:rPr>
                      <w:szCs w:val="21"/>
                    </w:rPr>
                    <w:t>㎡，50次/a</w:t>
                  </w:r>
                </w:p>
              </w:tc>
              <w:tc>
                <w:tcPr>
                  <w:tcW w:w="623" w:type="pct"/>
                  <w:vAlign w:val="center"/>
                </w:tcPr>
                <w:p w14:paraId="6C33F3AE">
                  <w:pPr>
                    <w:jc w:val="center"/>
                    <w:rPr>
                      <w:szCs w:val="21"/>
                    </w:rPr>
                  </w:pPr>
                  <w:r>
                    <w:rPr>
                      <w:rFonts w:hint="eastAsia"/>
                      <w:szCs w:val="21"/>
                    </w:rPr>
                    <w:t>0.74</w:t>
                  </w:r>
                </w:p>
              </w:tc>
              <w:tc>
                <w:tcPr>
                  <w:tcW w:w="651" w:type="pct"/>
                  <w:vAlign w:val="center"/>
                </w:tcPr>
                <w:p w14:paraId="70684DE1">
                  <w:pPr>
                    <w:jc w:val="center"/>
                    <w:rPr>
                      <w:szCs w:val="21"/>
                    </w:rPr>
                  </w:pPr>
                  <w:r>
                    <w:rPr>
                      <w:rFonts w:hint="eastAsia"/>
                      <w:szCs w:val="21"/>
                    </w:rPr>
                    <w:t>37</w:t>
                  </w:r>
                </w:p>
              </w:tc>
              <w:tc>
                <w:tcPr>
                  <w:tcW w:w="594" w:type="pct"/>
                  <w:vAlign w:val="center"/>
                </w:tcPr>
                <w:p w14:paraId="3CDB561F">
                  <w:pPr>
                    <w:jc w:val="center"/>
                    <w:rPr>
                      <w:szCs w:val="21"/>
                    </w:rPr>
                  </w:pPr>
                  <w:r>
                    <w:rPr>
                      <w:rFonts w:hint="eastAsia"/>
                      <w:szCs w:val="21"/>
                    </w:rPr>
                    <w:t>/</w:t>
                  </w:r>
                </w:p>
              </w:tc>
              <w:tc>
                <w:tcPr>
                  <w:tcW w:w="613" w:type="pct"/>
                  <w:vAlign w:val="center"/>
                </w:tcPr>
                <w:p w14:paraId="4BAC81D5">
                  <w:pPr>
                    <w:jc w:val="center"/>
                    <w:rPr>
                      <w:szCs w:val="21"/>
                    </w:rPr>
                  </w:pPr>
                  <w:r>
                    <w:rPr>
                      <w:rFonts w:hint="eastAsia"/>
                      <w:szCs w:val="21"/>
                    </w:rPr>
                    <w:t>/</w:t>
                  </w:r>
                </w:p>
              </w:tc>
            </w:tr>
            <w:tr w14:paraId="5267C0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3" w:hRule="exact"/>
                <w:jc w:val="center"/>
              </w:trPr>
              <w:tc>
                <w:tcPr>
                  <w:tcW w:w="987" w:type="pct"/>
                  <w:vAlign w:val="center"/>
                </w:tcPr>
                <w:p w14:paraId="0BDA44A1">
                  <w:pPr>
                    <w:adjustRightInd w:val="0"/>
                    <w:snapToGrid w:val="0"/>
                    <w:jc w:val="center"/>
                    <w:rPr>
                      <w:szCs w:val="21"/>
                    </w:rPr>
                  </w:pPr>
                  <w:r>
                    <w:rPr>
                      <w:szCs w:val="21"/>
                    </w:rPr>
                    <w:t>小计</w:t>
                  </w:r>
                </w:p>
              </w:tc>
              <w:tc>
                <w:tcPr>
                  <w:tcW w:w="1530" w:type="pct"/>
                  <w:gridSpan w:val="2"/>
                  <w:vAlign w:val="center"/>
                </w:tcPr>
                <w:p w14:paraId="19F7E8F3">
                  <w:pPr>
                    <w:adjustRightInd w:val="0"/>
                    <w:snapToGrid w:val="0"/>
                    <w:jc w:val="center"/>
                    <w:rPr>
                      <w:szCs w:val="21"/>
                    </w:rPr>
                  </w:pPr>
                  <w:r>
                    <w:rPr>
                      <w:szCs w:val="21"/>
                    </w:rPr>
                    <w:t>/</w:t>
                  </w:r>
                </w:p>
              </w:tc>
              <w:tc>
                <w:tcPr>
                  <w:tcW w:w="623" w:type="pct"/>
                  <w:vAlign w:val="center"/>
                </w:tcPr>
                <w:p w14:paraId="3EACB901">
                  <w:pPr>
                    <w:jc w:val="center"/>
                    <w:rPr>
                      <w:szCs w:val="21"/>
                    </w:rPr>
                  </w:pPr>
                  <w:r>
                    <w:rPr>
                      <w:rFonts w:hint="eastAsia"/>
                      <w:szCs w:val="21"/>
                    </w:rPr>
                    <w:t>2.876</w:t>
                  </w:r>
                </w:p>
              </w:tc>
              <w:tc>
                <w:tcPr>
                  <w:tcW w:w="651" w:type="pct"/>
                  <w:vAlign w:val="center"/>
                </w:tcPr>
                <w:p w14:paraId="2C603082">
                  <w:pPr>
                    <w:jc w:val="center"/>
                    <w:rPr>
                      <w:szCs w:val="21"/>
                    </w:rPr>
                  </w:pPr>
                  <w:r>
                    <w:rPr>
                      <w:rFonts w:hint="eastAsia"/>
                      <w:szCs w:val="21"/>
                    </w:rPr>
                    <w:t>143.812</w:t>
                  </w:r>
                </w:p>
              </w:tc>
              <w:tc>
                <w:tcPr>
                  <w:tcW w:w="594" w:type="pct"/>
                  <w:vAlign w:val="center"/>
                </w:tcPr>
                <w:p w14:paraId="0804403B">
                  <w:pPr>
                    <w:jc w:val="center"/>
                    <w:rPr>
                      <w:szCs w:val="21"/>
                    </w:rPr>
                  </w:pPr>
                  <w:r>
                    <w:rPr>
                      <w:rFonts w:hint="eastAsia"/>
                      <w:szCs w:val="21"/>
                    </w:rPr>
                    <w:t>1.922</w:t>
                  </w:r>
                </w:p>
              </w:tc>
              <w:tc>
                <w:tcPr>
                  <w:tcW w:w="613" w:type="pct"/>
                  <w:vAlign w:val="center"/>
                </w:tcPr>
                <w:p w14:paraId="4E9BCC6E">
                  <w:pPr>
                    <w:jc w:val="center"/>
                    <w:rPr>
                      <w:szCs w:val="21"/>
                    </w:rPr>
                  </w:pPr>
                  <w:r>
                    <w:rPr>
                      <w:rFonts w:hint="eastAsia"/>
                      <w:szCs w:val="21"/>
                    </w:rPr>
                    <w:t>96.1</w:t>
                  </w:r>
                </w:p>
              </w:tc>
            </w:tr>
            <w:tr w14:paraId="3F3E9D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68" w:hRule="exact"/>
                <w:jc w:val="center"/>
              </w:trPr>
              <w:tc>
                <w:tcPr>
                  <w:tcW w:w="987" w:type="pct"/>
                  <w:vAlign w:val="center"/>
                </w:tcPr>
                <w:p w14:paraId="398A0099">
                  <w:pPr>
                    <w:adjustRightInd w:val="0"/>
                    <w:snapToGrid w:val="0"/>
                    <w:jc w:val="center"/>
                    <w:rPr>
                      <w:szCs w:val="21"/>
                    </w:rPr>
                  </w:pPr>
                  <w:r>
                    <w:rPr>
                      <w:szCs w:val="21"/>
                    </w:rPr>
                    <w:t>合计</w:t>
                  </w:r>
                </w:p>
              </w:tc>
              <w:tc>
                <w:tcPr>
                  <w:tcW w:w="1530" w:type="pct"/>
                  <w:gridSpan w:val="2"/>
                  <w:vAlign w:val="center"/>
                </w:tcPr>
                <w:p w14:paraId="39AA3870">
                  <w:pPr>
                    <w:adjustRightInd w:val="0"/>
                    <w:snapToGrid w:val="0"/>
                    <w:jc w:val="center"/>
                    <w:rPr>
                      <w:szCs w:val="21"/>
                    </w:rPr>
                  </w:pPr>
                  <w:r>
                    <w:rPr>
                      <w:szCs w:val="21"/>
                    </w:rPr>
                    <w:t>/</w:t>
                  </w:r>
                </w:p>
              </w:tc>
              <w:tc>
                <w:tcPr>
                  <w:tcW w:w="623" w:type="pct"/>
                  <w:vAlign w:val="center"/>
                </w:tcPr>
                <w:p w14:paraId="06882B68">
                  <w:pPr>
                    <w:jc w:val="center"/>
                    <w:rPr>
                      <w:szCs w:val="21"/>
                    </w:rPr>
                  </w:pPr>
                  <w:r>
                    <w:rPr>
                      <w:rFonts w:hint="eastAsia"/>
                      <w:szCs w:val="21"/>
                    </w:rPr>
                    <w:t>5.436</w:t>
                  </w:r>
                </w:p>
              </w:tc>
              <w:tc>
                <w:tcPr>
                  <w:tcW w:w="651" w:type="pct"/>
                  <w:vAlign w:val="center"/>
                </w:tcPr>
                <w:p w14:paraId="5D8A20C3">
                  <w:pPr>
                    <w:jc w:val="center"/>
                    <w:rPr>
                      <w:szCs w:val="21"/>
                    </w:rPr>
                  </w:pPr>
                  <w:r>
                    <w:rPr>
                      <w:rFonts w:hint="eastAsia"/>
                      <w:szCs w:val="21"/>
                    </w:rPr>
                    <w:t>1078.212</w:t>
                  </w:r>
                </w:p>
              </w:tc>
              <w:tc>
                <w:tcPr>
                  <w:tcW w:w="594" w:type="pct"/>
                  <w:vAlign w:val="center"/>
                </w:tcPr>
                <w:p w14:paraId="4A1F0DC7">
                  <w:pPr>
                    <w:jc w:val="center"/>
                    <w:rPr>
                      <w:szCs w:val="21"/>
                    </w:rPr>
                  </w:pPr>
                  <w:r>
                    <w:rPr>
                      <w:rFonts w:hint="eastAsia"/>
                      <w:szCs w:val="21"/>
                    </w:rPr>
                    <w:t>4.226</w:t>
                  </w:r>
                </w:p>
              </w:tc>
              <w:tc>
                <w:tcPr>
                  <w:tcW w:w="613" w:type="pct"/>
                  <w:vAlign w:val="center"/>
                </w:tcPr>
                <w:p w14:paraId="520FB6CD">
                  <w:pPr>
                    <w:jc w:val="center"/>
                    <w:rPr>
                      <w:szCs w:val="21"/>
                    </w:rPr>
                  </w:pPr>
                  <w:r>
                    <w:rPr>
                      <w:rFonts w:hint="eastAsia"/>
                      <w:szCs w:val="21"/>
                    </w:rPr>
                    <w:t>937.06</w:t>
                  </w:r>
                </w:p>
              </w:tc>
            </w:tr>
            <w:tr w14:paraId="5991FE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768" w:hRule="exact"/>
                <w:jc w:val="center"/>
              </w:trPr>
              <w:tc>
                <w:tcPr>
                  <w:tcW w:w="5000" w:type="pct"/>
                  <w:gridSpan w:val="7"/>
                  <w:vAlign w:val="center"/>
                </w:tcPr>
                <w:p w14:paraId="721D5469">
                  <w:pPr>
                    <w:jc w:val="center"/>
                    <w:rPr>
                      <w:rFonts w:hint="eastAsia"/>
                      <w:szCs w:val="21"/>
                    </w:rPr>
                  </w:pPr>
                  <w:r>
                    <w:rPr>
                      <w:szCs w:val="21"/>
                    </w:rPr>
                    <w:t>备注：1）场地冲洗和绿化为每周一次，按每年50次计算；2）废水排放量按用水量90%计；3）年工作365天</w:t>
                  </w:r>
                  <w:r>
                    <w:rPr>
                      <w:rFonts w:hint="eastAsia"/>
                      <w:szCs w:val="21"/>
                    </w:rPr>
                    <w:t>；4）场地冲洗废水经隔油处理后排入园区污水管网。</w:t>
                  </w:r>
                </w:p>
              </w:tc>
            </w:tr>
          </w:tbl>
          <w:p w14:paraId="19544174">
            <w:pPr>
              <w:wordWrap w:val="0"/>
              <w:adjustRightInd w:val="0"/>
              <w:snapToGrid w:val="0"/>
              <w:spacing w:line="360" w:lineRule="auto"/>
              <w:ind w:firstLine="480" w:firstLineChars="200"/>
              <w:rPr>
                <w:rFonts w:hint="eastAsia"/>
                <w:bCs/>
                <w:sz w:val="24"/>
              </w:rPr>
            </w:pPr>
            <w:r>
              <w:rPr>
                <w:rFonts w:hint="eastAsia"/>
                <w:bCs/>
                <w:sz w:val="24"/>
              </w:rPr>
              <w:t>根据上表可知，项目最大用水量为5.436m³/d。日最大排水量为4.226m³/d。</w:t>
            </w:r>
          </w:p>
          <w:p w14:paraId="10457806">
            <w:pPr>
              <w:wordWrap w:val="0"/>
              <w:adjustRightInd w:val="0"/>
              <w:snapToGrid w:val="0"/>
              <w:spacing w:line="360" w:lineRule="auto"/>
              <w:ind w:firstLine="480" w:firstLineChars="200"/>
              <w:rPr>
                <w:rFonts w:hint="eastAsia"/>
                <w:bCs/>
                <w:sz w:val="24"/>
              </w:rPr>
            </w:pPr>
            <w:r>
              <w:rPr>
                <w:rFonts w:hint="eastAsia"/>
                <w:bCs/>
                <w:sz w:val="24"/>
              </w:rPr>
              <w:t>（2）初期雨水</w:t>
            </w:r>
          </w:p>
          <w:p w14:paraId="34D238FB">
            <w:pPr>
              <w:wordWrap w:val="0"/>
              <w:adjustRightInd w:val="0"/>
              <w:snapToGrid w:val="0"/>
              <w:spacing w:line="360" w:lineRule="auto"/>
              <w:ind w:firstLine="480" w:firstLineChars="200"/>
              <w:rPr>
                <w:rFonts w:hint="eastAsia"/>
                <w:sz w:val="24"/>
              </w:rPr>
            </w:pPr>
            <w:r>
              <w:rPr>
                <w:rFonts w:hint="eastAsia"/>
                <w:bCs/>
                <w:sz w:val="24"/>
              </w:rPr>
              <w:t>本项目采用雨污分流制，加油棚雨水及站房屋面雨水经雨水管道收集后排入园区雨水管网，罩棚外区域初期雨水排放至隔油池处理。本项目主要考虑对罩棚外区域及卸油区域</w:t>
            </w:r>
            <w:r>
              <w:rPr>
                <w:rFonts w:hint="eastAsia"/>
                <w:bCs/>
                <w:color w:val="000000"/>
                <w:sz w:val="24"/>
              </w:rPr>
              <w:t>（约494.12㎡）初期地面雨水进行</w:t>
            </w:r>
            <w:r>
              <w:rPr>
                <w:rFonts w:hint="eastAsia"/>
                <w:bCs/>
                <w:sz w:val="24"/>
              </w:rPr>
              <w:t>收集处理，根据《关于发布重庆市暴雨强度修订公式及设计暴雨雨型的通知》（渝建[2017]443号）可知，涪陵区暴雨流量计算公式：</w:t>
            </w:r>
          </w:p>
          <w:p w14:paraId="7A916755">
            <w:pPr>
              <w:adjustRightInd w:val="0"/>
              <w:snapToGrid w:val="0"/>
              <w:spacing w:line="360" w:lineRule="auto"/>
              <w:ind w:firstLine="480" w:firstLineChars="200"/>
              <w:jc w:val="center"/>
              <w:rPr>
                <w:rFonts w:hint="eastAsia" w:hAnsi="宋体" w:cs="Dutch801 Rm BT"/>
                <w:sz w:val="24"/>
              </w:rPr>
            </w:pPr>
            <w:r>
              <w:rPr>
                <w:rFonts w:hAnsi="宋体" w:cs="Dutch801 Rm BT"/>
                <w:sz w:val="24"/>
              </w:rPr>
              <w:pict>
                <v:group id="_x0000_s1059" o:spid="_x0000_s1059" o:spt="203" style="height:37.4pt;width:129.1pt;" coordorigin="0,-13" coordsize="2582,748" editas="canvas">
                  <o:lock v:ext="edit"/>
                  <v:shape id="_x0000_s1058" o:spid="_x0000_s1058" o:spt="75" type="#_x0000_t75" style="position:absolute;left:0;top:-13;height:748;width:2582;" filled="f" o:preferrelative="f" stroked="f" coordsize="21600,21600">
                    <v:path/>
                    <v:fill on="f" focussize="0,0"/>
                    <v:stroke on="f" joinstyle="miter"/>
                    <v:imagedata o:title=""/>
                    <o:lock v:ext="edit" rotation="t" text="t" aspectratio="t"/>
                  </v:shape>
                  <v:line id="_x0000_s1060" o:spid="_x0000_s1060" o:spt="20" style="position:absolute;left:448;top:346;height:1;width:2041;" coordsize="21600,21600">
                    <v:path arrowok="t"/>
                    <v:fill focussize="0,0"/>
                    <v:stroke weight="0.55pt"/>
                    <v:imagedata o:title=""/>
                    <o:lock v:ext="edit"/>
                  </v:line>
                  <v:rect id="_x0000_s1061" o:spid="_x0000_s1061" o:spt="1" style="position:absolute;left:1997;top:363;height:184;width:241;mso-wrap-style:none;" filled="f" stroked="f" coordsize="21600,21600">
                    <v:path/>
                    <v:fill on="f" focussize="0,0"/>
                    <v:stroke on="f"/>
                    <v:imagedata o:title=""/>
                    <o:lock v:ext="edit"/>
                    <v:textbox inset="0mm,0mm,0mm,0mm" style="mso-fit-shape-to-text:t;">
                      <w:txbxContent>
                        <w:p w14:paraId="31D21484">
                          <w:r>
                            <w:rPr>
                              <w:color w:val="000000"/>
                              <w:kern w:val="0"/>
                              <w:sz w:val="16"/>
                              <w:szCs w:val="16"/>
                            </w:rPr>
                            <w:t>7</w:t>
                          </w:r>
                          <w:r>
                            <w:rPr>
                              <w:rFonts w:hint="eastAsia"/>
                              <w:color w:val="000000"/>
                              <w:kern w:val="0"/>
                              <w:sz w:val="16"/>
                              <w:szCs w:val="16"/>
                            </w:rPr>
                            <w:t>20</w:t>
                          </w:r>
                        </w:p>
                      </w:txbxContent>
                    </v:textbox>
                  </v:rect>
                  <v:rect id="_x0000_s1062" o:spid="_x0000_s1062" o:spt="1" style="position:absolute;left:1959;top:363;height:184;width:41;mso-wrap-style:none;" filled="f" stroked="f" coordsize="21600,21600">
                    <v:path/>
                    <v:fill on="f" focussize="0,0"/>
                    <v:stroke on="f"/>
                    <v:imagedata o:title=""/>
                    <o:lock v:ext="edit"/>
                    <v:textbox inset="0mm,0mm,0mm,0mm" style="mso-fit-shape-to-text:t;">
                      <w:txbxContent>
                        <w:p w14:paraId="72F7E276">
                          <w:r>
                            <w:rPr>
                              <w:color w:val="000000"/>
                              <w:kern w:val="0"/>
                              <w:sz w:val="16"/>
                              <w:szCs w:val="16"/>
                            </w:rPr>
                            <w:t>.</w:t>
                          </w:r>
                        </w:p>
                      </w:txbxContent>
                    </v:textbox>
                  </v:rect>
                  <v:rect id="_x0000_s1063" o:spid="_x0000_s1063" o:spt="1" style="position:absolute;left:1882;top:363;height:184;width:81;mso-wrap-style:none;" filled="f" stroked="f" coordsize="21600,21600">
                    <v:path/>
                    <v:fill on="f" focussize="0,0"/>
                    <v:stroke on="f"/>
                    <v:imagedata o:title=""/>
                    <o:lock v:ext="edit"/>
                    <v:textbox inset="0mm,0mm,0mm,0mm" style="mso-fit-shape-to-text:t;">
                      <w:txbxContent>
                        <w:p w14:paraId="59BC4E5D">
                          <w:r>
                            <w:rPr>
                              <w:color w:val="000000"/>
                              <w:kern w:val="0"/>
                              <w:sz w:val="16"/>
                              <w:szCs w:val="16"/>
                            </w:rPr>
                            <w:t>0</w:t>
                          </w:r>
                        </w:p>
                      </w:txbxContent>
                    </v:textbox>
                  </v:rect>
                  <v:rect id="_x0000_s1064" o:spid="_x0000_s1064" o:spt="1" style="position:absolute;left:1779;top:384;height:299;width:87;mso-wrap-style:none;" filled="f" stroked="f" coordsize="21600,21600">
                    <v:path/>
                    <v:fill on="f" focussize="0,0"/>
                    <v:stroke on="f"/>
                    <v:imagedata o:title=""/>
                    <o:lock v:ext="edit"/>
                    <v:textbox inset="0mm,0mm,0mm,0mm" style="mso-fit-shape-to-text:t;">
                      <w:txbxContent>
                        <w:p w14:paraId="074A0DCD">
                          <w:r>
                            <w:rPr>
                              <w:color w:val="000000"/>
                              <w:kern w:val="0"/>
                              <w:sz w:val="26"/>
                              <w:szCs w:val="26"/>
                            </w:rPr>
                            <w:t>)</w:t>
                          </w:r>
                        </w:p>
                      </w:txbxContent>
                    </v:textbox>
                  </v:rect>
                  <v:rect id="_x0000_s1065" o:spid="_x0000_s1065" o:spt="1" style="position:absolute;left:1394;top:384;height:299;width:391;mso-wrap-style:none;" filled="f" stroked="f" coordsize="21600,21600">
                    <v:path/>
                    <v:fill on="f" focussize="0,0"/>
                    <v:stroke on="f"/>
                    <v:imagedata o:title=""/>
                    <o:lock v:ext="edit"/>
                    <v:textbox inset="0mm,0mm,0mm,0mm" style="mso-fit-shape-to-text:t;">
                      <w:txbxContent>
                        <w:p w14:paraId="5A63B018">
                          <w:r>
                            <w:rPr>
                              <w:rFonts w:hint="eastAsia"/>
                              <w:color w:val="000000"/>
                              <w:kern w:val="0"/>
                              <w:sz w:val="26"/>
                              <w:szCs w:val="26"/>
                            </w:rPr>
                            <w:t>647</w:t>
                          </w:r>
                        </w:p>
                      </w:txbxContent>
                    </v:textbox>
                  </v:rect>
                  <v:rect id="_x0000_s1066" o:spid="_x0000_s1066" o:spt="1" style="position:absolute;left:1328;top:384;height:299;width:66;mso-wrap-style:none;" filled="f" stroked="f" coordsize="21600,21600">
                    <v:path/>
                    <v:fill on="f" focussize="0,0"/>
                    <v:stroke on="f"/>
                    <v:imagedata o:title=""/>
                    <o:lock v:ext="edit"/>
                    <v:textbox inset="0mm,0mm,0mm,0mm" style="mso-fit-shape-to-text:t;">
                      <w:txbxContent>
                        <w:p w14:paraId="22D78A61">
                          <w:r>
                            <w:rPr>
                              <w:color w:val="000000"/>
                              <w:kern w:val="0"/>
                              <w:sz w:val="26"/>
                              <w:szCs w:val="26"/>
                            </w:rPr>
                            <w:t>.</w:t>
                          </w:r>
                        </w:p>
                      </w:txbxContent>
                    </v:textbox>
                  </v:rect>
                  <v:rect id="_x0000_s1067" o:spid="_x0000_s1067" o:spt="1" style="position:absolute;left:1066;top:384;height:299;width:261;mso-wrap-style:none;" filled="f" stroked="f" coordsize="21600,21600">
                    <v:path/>
                    <v:fill on="f" focussize="0,0"/>
                    <v:stroke on="f"/>
                    <v:imagedata o:title=""/>
                    <o:lock v:ext="edit"/>
                    <v:textbox inset="0mm,0mm,0mm,0mm" style="mso-fit-shape-to-text:t;">
                      <w:txbxContent>
                        <w:p w14:paraId="02FE67B0">
                          <w:r>
                            <w:rPr>
                              <w:rFonts w:hint="eastAsia"/>
                              <w:color w:val="000000"/>
                              <w:kern w:val="0"/>
                              <w:sz w:val="26"/>
                              <w:szCs w:val="26"/>
                            </w:rPr>
                            <w:t>12</w:t>
                          </w:r>
                        </w:p>
                      </w:txbxContent>
                    </v:textbox>
                  </v:rect>
                  <v:rect id="_x0000_s1068" o:spid="_x0000_s1068" o:spt="1" style="position:absolute;left:680;top:384;height:299;width:87;mso-wrap-style:none;" filled="f" stroked="f" coordsize="21600,21600">
                    <v:path/>
                    <v:fill on="f" focussize="0,0"/>
                    <v:stroke on="f"/>
                    <v:imagedata o:title=""/>
                    <o:lock v:ext="edit"/>
                    <v:textbox inset="0mm,0mm,0mm,0mm" style="mso-fit-shape-to-text:t;">
                      <w:txbxContent>
                        <w:p w14:paraId="1947F54B">
                          <w:r>
                            <w:rPr>
                              <w:color w:val="000000"/>
                              <w:kern w:val="0"/>
                              <w:sz w:val="26"/>
                              <w:szCs w:val="26"/>
                            </w:rPr>
                            <w:t>(</w:t>
                          </w:r>
                        </w:p>
                      </w:txbxContent>
                    </v:textbox>
                  </v:rect>
                  <v:rect id="_x0000_s1069" o:spid="_x0000_s1069" o:spt="1" style="position:absolute;left:2389;top:17;height:299;width:87;mso-wrap-style:none;" filled="f" stroked="f" coordsize="21600,21600">
                    <v:path/>
                    <v:fill on="f" focussize="0,0"/>
                    <v:stroke on="f"/>
                    <v:imagedata o:title=""/>
                    <o:lock v:ext="edit"/>
                    <v:textbox inset="0mm,0mm,0mm,0mm" style="mso-fit-shape-to-text:t;">
                      <w:txbxContent>
                        <w:p w14:paraId="786354AA">
                          <w:r>
                            <w:rPr>
                              <w:color w:val="000000"/>
                              <w:kern w:val="0"/>
                              <w:sz w:val="26"/>
                              <w:szCs w:val="26"/>
                            </w:rPr>
                            <w:t>)</w:t>
                          </w:r>
                        </w:p>
                      </w:txbxContent>
                    </v:textbox>
                  </v:rect>
                  <v:rect id="_x0000_s1070" o:spid="_x0000_s1070" o:spt="1" style="position:absolute;left:1569;top:17;height:299;width:521;mso-wrap-style:none;" filled="f" stroked="f" coordsize="21600,21600">
                    <v:path/>
                    <v:fill on="f" focussize="0,0"/>
                    <v:stroke on="f"/>
                    <v:imagedata o:title=""/>
                    <o:lock v:ext="edit"/>
                    <v:textbox inset="0mm,0mm,0mm,0mm" style="mso-fit-shape-to-text:t;">
                      <w:txbxContent>
                        <w:p w14:paraId="73A4D2F5">
                          <w:r>
                            <w:rPr>
                              <w:rFonts w:hint="eastAsia"/>
                              <w:color w:val="000000"/>
                              <w:kern w:val="0"/>
                              <w:sz w:val="26"/>
                              <w:szCs w:val="26"/>
                            </w:rPr>
                            <w:t>633</w:t>
                          </w:r>
                          <w:r>
                            <w:rPr>
                              <w:color w:val="000000"/>
                              <w:kern w:val="0"/>
                              <w:sz w:val="26"/>
                              <w:szCs w:val="26"/>
                            </w:rPr>
                            <w:t>1</w:t>
                          </w:r>
                        </w:p>
                      </w:txbxContent>
                    </v:textbox>
                  </v:rect>
                  <v:rect id="_x0000_s1071" o:spid="_x0000_s1071" o:spt="1" style="position:absolute;left:1504;top:17;height:299;width:66;mso-wrap-style:none;" filled="f" stroked="f" coordsize="21600,21600">
                    <v:path/>
                    <v:fill on="f" focussize="0,0"/>
                    <v:stroke on="f"/>
                    <v:imagedata o:title=""/>
                    <o:lock v:ext="edit"/>
                    <v:textbox inset="0mm,0mm,0mm,0mm" style="mso-fit-shape-to-text:t;">
                      <w:txbxContent>
                        <w:p w14:paraId="014606E4">
                          <w:r>
                            <w:rPr>
                              <w:color w:val="000000"/>
                              <w:kern w:val="0"/>
                              <w:sz w:val="26"/>
                              <w:szCs w:val="26"/>
                            </w:rPr>
                            <w:t>.</w:t>
                          </w:r>
                        </w:p>
                      </w:txbxContent>
                    </v:textbox>
                  </v:rect>
                  <v:rect id="_x0000_s1072" o:spid="_x0000_s1072" o:spt="1" style="position:absolute;left:1373;top:17;height:299;width:131;mso-wrap-style:none;" filled="f" stroked="f" coordsize="21600,21600">
                    <v:path/>
                    <v:fill on="f" focussize="0,0"/>
                    <v:stroke on="f"/>
                    <v:imagedata o:title=""/>
                    <o:lock v:ext="edit"/>
                    <v:textbox inset="0mm,0mm,0mm,0mm" style="mso-fit-shape-to-text:t;">
                      <w:txbxContent>
                        <w:p w14:paraId="374F0132">
                          <w:r>
                            <w:rPr>
                              <w:color w:val="000000"/>
                              <w:kern w:val="0"/>
                              <w:sz w:val="26"/>
                              <w:szCs w:val="26"/>
                            </w:rPr>
                            <w:t>0</w:t>
                          </w:r>
                        </w:p>
                      </w:txbxContent>
                    </v:textbox>
                  </v:rect>
                  <v:rect id="_x0000_s1073" o:spid="_x0000_s1073" o:spt="1" style="position:absolute;left:1027;top:17;height:299;width:131;mso-wrap-style:none;" filled="f" stroked="f" coordsize="21600,21600">
                    <v:path/>
                    <v:fill on="f" focussize="0,0"/>
                    <v:stroke on="f"/>
                    <v:imagedata o:title=""/>
                    <o:lock v:ext="edit"/>
                    <v:textbox inset="0mm,0mm,0mm,0mm" style="mso-fit-shape-to-text:t;">
                      <w:txbxContent>
                        <w:p w14:paraId="16C7EC34">
                          <w:r>
                            <w:rPr>
                              <w:color w:val="000000"/>
                              <w:kern w:val="0"/>
                              <w:sz w:val="26"/>
                              <w:szCs w:val="26"/>
                            </w:rPr>
                            <w:t>1</w:t>
                          </w:r>
                        </w:p>
                      </w:txbxContent>
                    </v:textbox>
                  </v:rect>
                  <v:rect id="_x0000_s1074" o:spid="_x0000_s1074" o:spt="1" style="position:absolute;left:962;top:17;height:299;width:87;mso-wrap-style:none;" filled="f" stroked="f" coordsize="21600,21600">
                    <v:path/>
                    <v:fill on="f" focussize="0,0"/>
                    <v:stroke on="f"/>
                    <v:imagedata o:title=""/>
                    <o:lock v:ext="edit"/>
                    <v:textbox inset="0mm,0mm,0mm,0mm" style="mso-fit-shape-to-text:t;">
                      <w:txbxContent>
                        <w:p w14:paraId="64DEFF88">
                          <w:r>
                            <w:rPr>
                              <w:color w:val="000000"/>
                              <w:kern w:val="0"/>
                              <w:sz w:val="26"/>
                              <w:szCs w:val="26"/>
                            </w:rPr>
                            <w:t>(</w:t>
                          </w:r>
                        </w:p>
                      </w:txbxContent>
                    </v:textbox>
                  </v:rect>
                  <v:rect id="_x0000_s1075" o:spid="_x0000_s1075" o:spt="1" style="position:absolute;left:437;top:17;height:299;width:521;mso-wrap-style:none;" filled="f" stroked="f" coordsize="21600,21600">
                    <v:path/>
                    <v:fill on="f" focussize="0,0"/>
                    <v:stroke on="f"/>
                    <v:imagedata o:title=""/>
                    <o:lock v:ext="edit"/>
                    <v:textbox inset="0mm,0mm,0mm,0mm" style="mso-fit-shape-to-text:t;">
                      <w:txbxContent>
                        <w:p w14:paraId="5B99CAD0">
                          <w:r>
                            <w:rPr>
                              <w:color w:val="000000"/>
                              <w:kern w:val="0"/>
                              <w:sz w:val="26"/>
                              <w:szCs w:val="26"/>
                            </w:rPr>
                            <w:t>1</w:t>
                          </w:r>
                          <w:r>
                            <w:rPr>
                              <w:rFonts w:hint="eastAsia"/>
                              <w:color w:val="000000"/>
                              <w:kern w:val="0"/>
                              <w:sz w:val="26"/>
                              <w:szCs w:val="26"/>
                            </w:rPr>
                            <w:t>975</w:t>
                          </w:r>
                        </w:p>
                      </w:txbxContent>
                    </v:textbox>
                  </v:rect>
                  <v:rect id="_x0000_s1076" o:spid="_x0000_s1076" o:spt="1" style="position:absolute;left:899;top:354;height:319;width:143;mso-wrap-style:none;" filled="f" stroked="f" coordsize="21600,21600">
                    <v:path/>
                    <v:fill on="f" focussize="0,0"/>
                    <v:stroke on="f"/>
                    <v:imagedata o:title=""/>
                    <o:lock v:ext="edit"/>
                    <v:textbox inset="0mm,0mm,0mm,0mm" style="mso-fit-shape-to-text:t;">
                      <w:txbxContent>
                        <w:p w14:paraId="22C6797C">
                          <w:r>
                            <w:rPr>
                              <w:rFonts w:ascii="Symbol" w:hAnsi="Symbol" w:cs="Symbol"/>
                              <w:color w:val="000000"/>
                              <w:kern w:val="0"/>
                              <w:sz w:val="26"/>
                              <w:szCs w:val="26"/>
                            </w:rPr>
                            <w:t></w:t>
                          </w:r>
                        </w:p>
                      </w:txbxContent>
                    </v:textbox>
                  </v:rect>
                  <v:rect id="_x0000_s1077" o:spid="_x0000_s1077" o:spt="1" style="position:absolute;left:1181;top:-13;height:319;width:143;mso-wrap-style:none;" filled="f" stroked="f" coordsize="21600,21600">
                    <v:path/>
                    <v:fill on="f" focussize="0,0"/>
                    <v:stroke on="f"/>
                    <v:imagedata o:title=""/>
                    <o:lock v:ext="edit"/>
                    <v:textbox inset="0mm,0mm,0mm,0mm" style="mso-fit-shape-to-text:t;">
                      <w:txbxContent>
                        <w:p w14:paraId="4C665D11">
                          <w:r>
                            <w:rPr>
                              <w:rFonts w:ascii="Symbol" w:hAnsi="Symbol" w:cs="Symbol"/>
                              <w:color w:val="000000"/>
                              <w:kern w:val="0"/>
                              <w:sz w:val="26"/>
                              <w:szCs w:val="26"/>
                            </w:rPr>
                            <w:t></w:t>
                          </w:r>
                        </w:p>
                      </w:txbxContent>
                    </v:textbox>
                  </v:rect>
                  <v:rect id="_x0000_s1078" o:spid="_x0000_s1078" o:spt="1" style="position:absolute;left:238;top:150;height:319;width:143;mso-wrap-style:none;" filled="f" stroked="f" coordsize="21600,21600">
                    <v:path/>
                    <v:fill on="f" focussize="0,0"/>
                    <v:stroke on="f"/>
                    <v:imagedata o:title=""/>
                    <o:lock v:ext="edit"/>
                    <v:textbox inset="0mm,0mm,0mm,0mm" style="mso-fit-shape-to-text:t;">
                      <w:txbxContent>
                        <w:p w14:paraId="7E7BCD2E">
                          <w:r>
                            <w:rPr>
                              <w:rFonts w:ascii="Symbol" w:hAnsi="Symbol" w:cs="Symbol"/>
                              <w:color w:val="000000"/>
                              <w:kern w:val="0"/>
                              <w:sz w:val="26"/>
                              <w:szCs w:val="26"/>
                            </w:rPr>
                            <w:t></w:t>
                          </w:r>
                        </w:p>
                      </w:txbxContent>
                    </v:textbox>
                  </v:rect>
                  <v:rect id="_x0000_s1079" o:spid="_x0000_s1079" o:spt="1" style="position:absolute;left:766;top:384;height:299;width:78;mso-wrap-style:none;" filled="f" stroked="f" coordsize="21600,21600">
                    <v:path/>
                    <v:fill on="f" focussize="0,0"/>
                    <v:stroke on="f"/>
                    <v:imagedata o:title=""/>
                    <o:lock v:ext="edit"/>
                    <v:textbox inset="0mm,0mm,0mm,0mm" style="mso-fit-shape-to-text:t;">
                      <w:txbxContent>
                        <w:p w14:paraId="2438F8B7">
                          <w:r>
                            <w:rPr>
                              <w:i/>
                              <w:iCs/>
                              <w:color w:val="000000"/>
                              <w:kern w:val="0"/>
                              <w:sz w:val="26"/>
                              <w:szCs w:val="26"/>
                            </w:rPr>
                            <w:t>t</w:t>
                          </w:r>
                        </w:p>
                      </w:txbxContent>
                    </v:textbox>
                  </v:rect>
                  <v:rect id="_x0000_s1080" o:spid="_x0000_s1080" o:spt="1" style="position:absolute;left:2090;top:17;height:299;width:292;mso-wrap-style:none;" filled="f" stroked="f" coordsize="21600,21600">
                    <v:path/>
                    <v:fill on="f" focussize="0,0"/>
                    <v:stroke on="f"/>
                    <v:imagedata o:title=""/>
                    <o:lock v:ext="edit"/>
                    <v:textbox inset="0mm,0mm,0mm,0mm" style="mso-fit-shape-to-text:t;">
                      <w:txbxContent>
                        <w:p w14:paraId="0FBB1E9B">
                          <w:r>
                            <w:rPr>
                              <w:i/>
                              <w:iCs/>
                              <w:color w:val="000000"/>
                              <w:kern w:val="0"/>
                              <w:sz w:val="26"/>
                              <w:szCs w:val="26"/>
                            </w:rPr>
                            <w:t>gP</w:t>
                          </w:r>
                        </w:p>
                      </w:txbxContent>
                    </v:textbox>
                  </v:rect>
                  <v:rect id="_x0000_s1081" o:spid="_x0000_s1081" o:spt="1" style="position:absolute;left:40;top:180;height:299;width:131;mso-wrap-style:none;" filled="f" stroked="f" coordsize="21600,21600">
                    <v:path/>
                    <v:fill on="f" focussize="0,0"/>
                    <v:stroke on="f"/>
                    <v:imagedata o:title=""/>
                    <o:lock v:ext="edit"/>
                    <v:textbox inset="0mm,0mm,0mm,0mm" style="mso-fit-shape-to-text:t;">
                      <w:txbxContent>
                        <w:p w14:paraId="34A46CCD">
                          <w:pPr>
                            <w:jc w:val="center"/>
                          </w:pPr>
                          <w:r>
                            <w:rPr>
                              <w:i/>
                              <w:iCs/>
                              <w:color w:val="000000"/>
                              <w:kern w:val="0"/>
                              <w:sz w:val="26"/>
                              <w:szCs w:val="26"/>
                            </w:rPr>
                            <w:t>q</w:t>
                          </w:r>
                        </w:p>
                      </w:txbxContent>
                    </v:textbox>
                  </v:rect>
                  <w10:wrap type="none"/>
                  <w10:anchorlock/>
                </v:group>
              </w:pict>
            </w:r>
          </w:p>
          <w:p w14:paraId="41D0996A">
            <w:pPr>
              <w:wordWrap w:val="0"/>
              <w:adjustRightInd w:val="0"/>
              <w:snapToGrid w:val="0"/>
              <w:spacing w:line="360" w:lineRule="auto"/>
              <w:ind w:firstLine="480" w:firstLineChars="200"/>
              <w:rPr>
                <w:rFonts w:hint="eastAsia"/>
                <w:iCs/>
                <w:kern w:val="0"/>
                <w:sz w:val="26"/>
                <w:szCs w:val="26"/>
              </w:rPr>
            </w:pPr>
            <w:r>
              <w:rPr>
                <w:rFonts w:hint="eastAsia" w:hAnsi="宋体" w:cs="Dutch801 Rm BT"/>
                <w:sz w:val="24"/>
              </w:rPr>
              <w:t>式中：</w:t>
            </w:r>
            <w:r>
              <w:rPr>
                <w:i/>
                <w:iCs/>
                <w:kern w:val="0"/>
                <w:sz w:val="26"/>
                <w:szCs w:val="26"/>
              </w:rPr>
              <w:t>P</w:t>
            </w:r>
            <w:r>
              <w:rPr>
                <w:rFonts w:hint="eastAsia"/>
                <w:i/>
                <w:iCs/>
                <w:kern w:val="0"/>
                <w:sz w:val="26"/>
                <w:szCs w:val="26"/>
              </w:rPr>
              <w:t>-</w:t>
            </w:r>
            <w:r>
              <w:rPr>
                <w:rFonts w:hint="eastAsia"/>
                <w:iCs/>
                <w:kern w:val="0"/>
                <w:sz w:val="26"/>
                <w:szCs w:val="26"/>
              </w:rPr>
              <w:t>设计降雨重现期2a</w:t>
            </w:r>
          </w:p>
          <w:p w14:paraId="1AB88E4B">
            <w:pPr>
              <w:wordWrap w:val="0"/>
              <w:adjustRightInd w:val="0"/>
              <w:snapToGrid w:val="0"/>
              <w:spacing w:line="360" w:lineRule="auto"/>
              <w:ind w:firstLine="1170" w:firstLineChars="450"/>
              <w:rPr>
                <w:rFonts w:hint="eastAsia"/>
                <w:iCs/>
                <w:kern w:val="0"/>
                <w:sz w:val="26"/>
                <w:szCs w:val="26"/>
              </w:rPr>
            </w:pPr>
            <w:r>
              <w:rPr>
                <w:rFonts w:hint="eastAsia"/>
                <w:iCs/>
                <w:kern w:val="0"/>
                <w:sz w:val="26"/>
                <w:szCs w:val="26"/>
              </w:rPr>
              <w:t>t-降雨历时（本项目初期暴雨历时取15min）</w:t>
            </w:r>
          </w:p>
          <w:p w14:paraId="4EB6D1C3">
            <w:pPr>
              <w:wordWrap w:val="0"/>
              <w:adjustRightInd w:val="0"/>
              <w:snapToGrid w:val="0"/>
              <w:spacing w:line="360" w:lineRule="auto"/>
              <w:ind w:firstLine="1170" w:firstLineChars="450"/>
              <w:rPr>
                <w:rFonts w:hint="eastAsia" w:hAnsi="宋体" w:cs="Dutch801 Rm BT"/>
                <w:sz w:val="24"/>
              </w:rPr>
            </w:pPr>
            <w:r>
              <w:rPr>
                <w:rFonts w:hint="eastAsia"/>
                <w:iCs/>
                <w:kern w:val="0"/>
                <w:sz w:val="26"/>
                <w:szCs w:val="26"/>
              </w:rPr>
              <w:t>q-设计暴雨强度（L/s.hm</w:t>
            </w:r>
            <w:r>
              <w:rPr>
                <w:rFonts w:hint="eastAsia"/>
                <w:iCs/>
                <w:kern w:val="0"/>
                <w:sz w:val="26"/>
                <w:szCs w:val="26"/>
                <w:vertAlign w:val="superscript"/>
              </w:rPr>
              <w:t>2</w:t>
            </w:r>
            <w:r>
              <w:rPr>
                <w:rFonts w:hint="eastAsia"/>
                <w:iCs/>
                <w:kern w:val="0"/>
                <w:sz w:val="26"/>
                <w:szCs w:val="26"/>
              </w:rPr>
              <w:t>）</w:t>
            </w:r>
          </w:p>
          <w:p w14:paraId="06D356F4">
            <w:pPr>
              <w:wordWrap w:val="0"/>
              <w:adjustRightInd w:val="0"/>
              <w:snapToGrid w:val="0"/>
              <w:spacing w:line="360" w:lineRule="auto"/>
              <w:ind w:firstLine="480" w:firstLineChars="200"/>
              <w:rPr>
                <w:rFonts w:hint="eastAsia"/>
                <w:bCs/>
                <w:sz w:val="24"/>
              </w:rPr>
            </w:pPr>
            <w:r>
              <w:rPr>
                <w:rFonts w:hint="eastAsia"/>
                <w:bCs/>
                <w:sz w:val="24"/>
              </w:rPr>
              <w:t>经计算，涪陵区暴雨强度q为215L/s.hm</w:t>
            </w:r>
            <w:r>
              <w:rPr>
                <w:rFonts w:hint="eastAsia"/>
                <w:bCs/>
                <w:sz w:val="24"/>
                <w:vertAlign w:val="superscript"/>
              </w:rPr>
              <w:t>2</w:t>
            </w:r>
            <w:r>
              <w:rPr>
                <w:rFonts w:hint="eastAsia"/>
                <w:bCs/>
                <w:sz w:val="24"/>
              </w:rPr>
              <w:t>，本项目初期雨水量按照如下公式计算：</w:t>
            </w:r>
          </w:p>
          <w:p w14:paraId="6897A1A6">
            <w:pPr>
              <w:adjustRightInd w:val="0"/>
              <w:snapToGrid w:val="0"/>
              <w:spacing w:line="360" w:lineRule="auto"/>
              <w:ind w:firstLine="480" w:firstLineChars="200"/>
              <w:jc w:val="center"/>
              <w:rPr>
                <w:rFonts w:hint="eastAsia"/>
                <w:sz w:val="24"/>
              </w:rPr>
            </w:pPr>
            <w:r>
              <w:rPr>
                <w:rFonts w:hint="eastAsia"/>
                <w:sz w:val="24"/>
              </w:rPr>
              <w:t>Q=qFTΨ</w:t>
            </w:r>
          </w:p>
          <w:p w14:paraId="5120BFC6">
            <w:pPr>
              <w:wordWrap w:val="0"/>
              <w:adjustRightInd w:val="0"/>
              <w:snapToGrid w:val="0"/>
              <w:spacing w:line="360" w:lineRule="auto"/>
              <w:ind w:firstLine="520" w:firstLineChars="200"/>
              <w:rPr>
                <w:rFonts w:hint="eastAsia"/>
                <w:iCs/>
                <w:kern w:val="0"/>
                <w:sz w:val="26"/>
                <w:szCs w:val="26"/>
              </w:rPr>
            </w:pPr>
            <w:r>
              <w:rPr>
                <w:rFonts w:hint="eastAsia"/>
                <w:iCs/>
                <w:kern w:val="0"/>
                <w:sz w:val="26"/>
                <w:szCs w:val="26"/>
              </w:rPr>
              <w:t>式中：Q：初期雨水产生量，L/次；</w:t>
            </w:r>
          </w:p>
          <w:p w14:paraId="1EA24AE1">
            <w:pPr>
              <w:wordWrap w:val="0"/>
              <w:adjustRightInd w:val="0"/>
              <w:snapToGrid w:val="0"/>
              <w:spacing w:line="360" w:lineRule="auto"/>
              <w:ind w:firstLine="1300" w:firstLineChars="500"/>
              <w:rPr>
                <w:rFonts w:hint="eastAsia"/>
                <w:iCs/>
                <w:kern w:val="0"/>
                <w:sz w:val="26"/>
                <w:szCs w:val="26"/>
              </w:rPr>
            </w:pPr>
            <w:r>
              <w:rPr>
                <w:rFonts w:hint="eastAsia"/>
                <w:iCs/>
                <w:kern w:val="0"/>
                <w:sz w:val="26"/>
                <w:szCs w:val="26"/>
              </w:rPr>
              <w:t>q：设计暴雨强度；</w:t>
            </w:r>
          </w:p>
          <w:p w14:paraId="006EBAE0">
            <w:pPr>
              <w:wordWrap w:val="0"/>
              <w:adjustRightInd w:val="0"/>
              <w:snapToGrid w:val="0"/>
              <w:spacing w:line="360" w:lineRule="auto"/>
              <w:ind w:firstLine="1300" w:firstLineChars="500"/>
              <w:rPr>
                <w:rFonts w:hint="eastAsia"/>
                <w:iCs/>
                <w:kern w:val="0"/>
                <w:sz w:val="26"/>
                <w:szCs w:val="26"/>
              </w:rPr>
            </w:pPr>
            <w:r>
              <w:rPr>
                <w:rFonts w:hint="eastAsia"/>
                <w:iCs/>
                <w:kern w:val="0"/>
                <w:sz w:val="26"/>
                <w:szCs w:val="26"/>
              </w:rPr>
              <w:t>F：初期雨水汇水面积，0.049hm</w:t>
            </w:r>
            <w:r>
              <w:rPr>
                <w:rFonts w:hint="eastAsia"/>
                <w:iCs/>
                <w:kern w:val="0"/>
                <w:sz w:val="26"/>
                <w:szCs w:val="26"/>
                <w:vertAlign w:val="superscript"/>
              </w:rPr>
              <w:t>2</w:t>
            </w:r>
            <w:r>
              <w:rPr>
                <w:rFonts w:hint="eastAsia"/>
                <w:iCs/>
                <w:kern w:val="0"/>
                <w:sz w:val="26"/>
                <w:szCs w:val="26"/>
              </w:rPr>
              <w:t>；</w:t>
            </w:r>
          </w:p>
          <w:p w14:paraId="19698C6F">
            <w:pPr>
              <w:wordWrap w:val="0"/>
              <w:adjustRightInd w:val="0"/>
              <w:snapToGrid w:val="0"/>
              <w:spacing w:line="360" w:lineRule="auto"/>
              <w:ind w:firstLine="1300" w:firstLineChars="500"/>
              <w:rPr>
                <w:rFonts w:hint="eastAsia"/>
                <w:iCs/>
                <w:kern w:val="0"/>
                <w:sz w:val="26"/>
                <w:szCs w:val="26"/>
              </w:rPr>
            </w:pPr>
            <w:r>
              <w:rPr>
                <w:rFonts w:hint="eastAsia"/>
                <w:iCs/>
                <w:kern w:val="0"/>
                <w:sz w:val="26"/>
                <w:szCs w:val="26"/>
              </w:rPr>
              <w:t>Ψ：地面径流系数，取0.7；</w:t>
            </w:r>
          </w:p>
          <w:p w14:paraId="7D66D8C1">
            <w:pPr>
              <w:wordWrap w:val="0"/>
              <w:adjustRightInd w:val="0"/>
              <w:snapToGrid w:val="0"/>
              <w:spacing w:line="360" w:lineRule="auto"/>
              <w:ind w:firstLine="1300" w:firstLineChars="500"/>
              <w:rPr>
                <w:rFonts w:hint="eastAsia"/>
                <w:iCs/>
                <w:kern w:val="0"/>
                <w:sz w:val="26"/>
                <w:szCs w:val="26"/>
              </w:rPr>
            </w:pPr>
            <w:r>
              <w:rPr>
                <w:rFonts w:hint="eastAsia"/>
                <w:iCs/>
                <w:kern w:val="0"/>
                <w:sz w:val="26"/>
                <w:szCs w:val="26"/>
              </w:rPr>
              <w:t>T：收水时间，本项目取15min。</w:t>
            </w:r>
          </w:p>
          <w:p w14:paraId="1C1786B4">
            <w:pPr>
              <w:wordWrap w:val="0"/>
              <w:adjustRightInd w:val="0"/>
              <w:snapToGrid w:val="0"/>
              <w:spacing w:line="360" w:lineRule="auto"/>
              <w:ind w:firstLine="480" w:firstLineChars="200"/>
              <w:rPr>
                <w:rFonts w:hint="eastAsia"/>
                <w:bCs/>
                <w:color w:val="000000"/>
                <w:sz w:val="24"/>
              </w:rPr>
            </w:pPr>
            <w:r>
              <w:rPr>
                <w:rFonts w:hint="eastAsia"/>
                <w:bCs/>
                <w:sz w:val="24"/>
              </w:rPr>
              <w:t>经计算，本项目初期雨水产生量约6.637m³/次，主要污染物为SS和石油类，浓度分别约10mg/L、1mg/L</w:t>
            </w:r>
            <w:r>
              <w:rPr>
                <w:rFonts w:hint="eastAsia"/>
                <w:bCs/>
                <w:color w:val="000000"/>
                <w:sz w:val="24"/>
              </w:rPr>
              <w:t>。</w:t>
            </w:r>
            <w:r>
              <w:rPr>
                <w:rFonts w:hint="eastAsia"/>
                <w:bCs/>
                <w:sz w:val="24"/>
              </w:rPr>
              <w:t>根据重庆年均降雨天数约50天计算，本项目初期雨水量约331.85m³/a。罩棚外区域初期雨水及加油岛地面冲洗废水沿地面坡向经截水沟进入三段式隔油</w:t>
            </w:r>
            <w:r>
              <w:rPr>
                <w:rFonts w:hint="eastAsia"/>
                <w:bCs/>
                <w:color w:val="000000"/>
                <w:sz w:val="24"/>
              </w:rPr>
              <w:t>池隔油</w:t>
            </w:r>
            <w:r>
              <w:rPr>
                <w:rFonts w:hint="eastAsia"/>
                <w:bCs/>
                <w:sz w:val="24"/>
              </w:rPr>
              <w:t>沉砂</w:t>
            </w:r>
            <w:r>
              <w:rPr>
                <w:rFonts w:hint="eastAsia"/>
                <w:bCs/>
                <w:color w:val="000000"/>
                <w:sz w:val="24"/>
              </w:rPr>
              <w:t>处理达《污水综合排放标准》（GB8978-1996）三级标准后排入园区污水管网。雨水进入隔油池前端设置切换阀，后期雨水直接进入园区雨水管网。收集初期雨水后关闭截断阀，防止雨水大量汇入隔油池造成漫流。</w:t>
            </w:r>
          </w:p>
          <w:p w14:paraId="61A418FB">
            <w:pPr>
              <w:adjustRightInd w:val="0"/>
              <w:snapToGrid w:val="0"/>
              <w:spacing w:line="360" w:lineRule="auto"/>
              <w:ind w:firstLine="480" w:firstLineChars="200"/>
              <w:rPr>
                <w:rFonts w:hint="eastAsia"/>
                <w:bCs/>
                <w:sz w:val="24"/>
              </w:rPr>
            </w:pPr>
            <w:r>
              <w:rPr>
                <w:rFonts w:hint="eastAsia"/>
                <w:bCs/>
                <w:sz w:val="24"/>
              </w:rPr>
              <w:t>拟建项目水平衡图见图2-1。</w:t>
            </w:r>
          </w:p>
          <w:p w14:paraId="3EE890BE">
            <w:pPr>
              <w:adjustRightInd w:val="0"/>
              <w:snapToGrid w:val="0"/>
              <w:spacing w:line="360" w:lineRule="auto"/>
              <w:jc w:val="center"/>
              <w:rPr>
                <w:rFonts w:hint="eastAsia"/>
                <w:color w:val="000000"/>
              </w:rPr>
            </w:pPr>
            <w:r>
              <w:drawing>
                <wp:inline distT="0" distB="0" distL="0" distR="0">
                  <wp:extent cx="5356860" cy="2829560"/>
                  <wp:effectExtent l="19050" t="0" r="0" b="0"/>
                  <wp:docPr id="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4"/>
                          <pic:cNvPicPr>
                            <a:picLocks noChangeAspect="1" noChangeArrowheads="1"/>
                          </pic:cNvPicPr>
                        </pic:nvPicPr>
                        <pic:blipFill>
                          <a:blip r:embed="rId8"/>
                          <a:srcRect/>
                          <a:stretch>
                            <a:fillRect/>
                          </a:stretch>
                        </pic:blipFill>
                        <pic:spPr>
                          <a:xfrm>
                            <a:off x="0" y="0"/>
                            <a:ext cx="5356860" cy="2829560"/>
                          </a:xfrm>
                          <a:prstGeom prst="rect">
                            <a:avLst/>
                          </a:prstGeom>
                          <a:noFill/>
                          <a:ln w="9525" cmpd="sng">
                            <a:noFill/>
                            <a:miter lim="800000"/>
                            <a:headEnd/>
                            <a:tailEnd/>
                          </a:ln>
                        </pic:spPr>
                      </pic:pic>
                    </a:graphicData>
                  </a:graphic>
                </wp:inline>
              </w:drawing>
            </w:r>
          </w:p>
          <w:p w14:paraId="0CD14E59">
            <w:pPr>
              <w:adjustRightInd w:val="0"/>
              <w:spacing w:line="360" w:lineRule="auto"/>
              <w:ind w:firstLine="482" w:firstLineChars="200"/>
              <w:jc w:val="center"/>
              <w:rPr>
                <w:rFonts w:hint="eastAsia"/>
                <w:b/>
                <w:bCs/>
                <w:kern w:val="24"/>
                <w:sz w:val="24"/>
                <w:szCs w:val="20"/>
              </w:rPr>
            </w:pPr>
            <w:r>
              <w:rPr>
                <w:rFonts w:hint="eastAsia"/>
                <w:b/>
                <w:bCs/>
                <w:kern w:val="24"/>
                <w:sz w:val="24"/>
                <w:szCs w:val="20"/>
              </w:rPr>
              <w:t>图2-1  项目水平衡图（m³/d）</w:t>
            </w:r>
          </w:p>
          <w:p w14:paraId="61CC3D4C">
            <w:pPr>
              <w:adjustRightInd w:val="0"/>
              <w:snapToGrid w:val="0"/>
              <w:spacing w:line="360" w:lineRule="auto"/>
              <w:ind w:firstLine="480" w:firstLineChars="200"/>
              <w:rPr>
                <w:rFonts w:hint="eastAsia"/>
                <w:sz w:val="24"/>
              </w:rPr>
            </w:pPr>
            <w:r>
              <w:rPr>
                <w:rFonts w:hint="eastAsia"/>
                <w:sz w:val="24"/>
              </w:rPr>
              <w:t>（3）排水</w:t>
            </w:r>
          </w:p>
          <w:p w14:paraId="7F9FEB2C">
            <w:pPr>
              <w:adjustRightInd w:val="0"/>
              <w:snapToGrid w:val="0"/>
              <w:spacing w:line="360" w:lineRule="auto"/>
              <w:ind w:firstLine="480" w:firstLineChars="200"/>
              <w:rPr>
                <w:rFonts w:hAnsi="宋体"/>
                <w:color w:val="000000"/>
                <w:sz w:val="24"/>
              </w:rPr>
            </w:pPr>
            <w:r>
              <w:rPr>
                <w:rFonts w:hAnsi="宋体"/>
                <w:color w:val="000000"/>
                <w:sz w:val="24"/>
              </w:rPr>
              <w:t>拟建项目采取雨污分流制。加油棚雨水及站房屋面雨水经雨水管道收集后排入</w:t>
            </w:r>
            <w:r>
              <w:rPr>
                <w:rFonts w:hint="eastAsia" w:hAnsi="宋体"/>
                <w:color w:val="000000"/>
                <w:sz w:val="24"/>
              </w:rPr>
              <w:t>园区</w:t>
            </w:r>
            <w:r>
              <w:rPr>
                <w:rFonts w:hAnsi="宋体"/>
                <w:color w:val="000000"/>
                <w:sz w:val="24"/>
              </w:rPr>
              <w:t>雨水管网。罩棚外区域初期雨水及加油岛地面冲洗废水沿地面坡向经截流沟排至隔油池（</w:t>
            </w:r>
            <w:r>
              <w:rPr>
                <w:rFonts w:hint="eastAsia" w:hAnsi="宋体"/>
                <w:color w:val="000000"/>
                <w:sz w:val="24"/>
              </w:rPr>
              <w:t>容积</w:t>
            </w:r>
            <w:r>
              <w:rPr>
                <w:color w:val="000000"/>
                <w:sz w:val="24"/>
              </w:rPr>
              <w:t>1</w:t>
            </w:r>
            <w:r>
              <w:rPr>
                <w:rFonts w:hint="eastAsia"/>
                <w:color w:val="000000"/>
                <w:sz w:val="24"/>
              </w:rPr>
              <w:t>5</w:t>
            </w:r>
            <w:r>
              <w:rPr>
                <w:color w:val="000000"/>
                <w:sz w:val="24"/>
              </w:rPr>
              <w:t>m³</w:t>
            </w:r>
            <w:r>
              <w:rPr>
                <w:rFonts w:hAnsi="宋体"/>
                <w:color w:val="000000"/>
                <w:sz w:val="24"/>
              </w:rPr>
              <w:t>）隔油</w:t>
            </w:r>
            <w:r>
              <w:rPr>
                <w:rFonts w:hint="eastAsia"/>
                <w:bCs/>
                <w:sz w:val="24"/>
              </w:rPr>
              <w:t>沉砂</w:t>
            </w:r>
            <w:r>
              <w:rPr>
                <w:rFonts w:hAnsi="宋体"/>
                <w:color w:val="000000"/>
                <w:sz w:val="24"/>
              </w:rPr>
              <w:t>处理达《污水综合排放标准》（</w:t>
            </w:r>
            <w:r>
              <w:rPr>
                <w:color w:val="000000"/>
                <w:sz w:val="24"/>
              </w:rPr>
              <w:t>GB8978-1996</w:t>
            </w:r>
            <w:r>
              <w:rPr>
                <w:rFonts w:hAnsi="宋体"/>
                <w:color w:val="000000"/>
                <w:sz w:val="24"/>
              </w:rPr>
              <w:t>）三级标准后排入</w:t>
            </w:r>
            <w:r>
              <w:rPr>
                <w:rFonts w:hint="eastAsia" w:hAnsi="宋体"/>
                <w:color w:val="000000"/>
                <w:sz w:val="24"/>
              </w:rPr>
              <w:t>园区污水管网</w:t>
            </w:r>
            <w:r>
              <w:rPr>
                <w:rFonts w:hAnsi="宋体"/>
                <w:color w:val="000000"/>
                <w:sz w:val="24"/>
              </w:rPr>
              <w:t>；</w:t>
            </w:r>
            <w:r>
              <w:rPr>
                <w:rFonts w:hint="eastAsia" w:hAnsi="宋体"/>
                <w:color w:val="000000"/>
                <w:sz w:val="24"/>
              </w:rPr>
              <w:t>雨水进入隔油池前端设置切换阀，后期雨水直接进入园区雨水管网。</w:t>
            </w:r>
            <w:r>
              <w:rPr>
                <w:rFonts w:hAnsi="宋体"/>
                <w:color w:val="000000"/>
                <w:sz w:val="24"/>
              </w:rPr>
              <w:t>生活污水经生化池（</w:t>
            </w:r>
            <w:r>
              <w:rPr>
                <w:rFonts w:hint="eastAsia" w:hAnsi="宋体"/>
                <w:color w:val="000000"/>
                <w:sz w:val="24"/>
              </w:rPr>
              <w:t>容积</w:t>
            </w:r>
            <w:r>
              <w:rPr>
                <w:rFonts w:hint="eastAsia"/>
                <w:color w:val="000000"/>
                <w:sz w:val="24"/>
              </w:rPr>
              <w:t>5</w:t>
            </w:r>
            <w:r>
              <w:rPr>
                <w:color w:val="000000"/>
                <w:sz w:val="24"/>
              </w:rPr>
              <w:t>m³</w:t>
            </w:r>
            <w:r>
              <w:rPr>
                <w:rFonts w:hAnsi="宋体"/>
                <w:color w:val="000000"/>
                <w:sz w:val="24"/>
              </w:rPr>
              <w:t>）处理达《污水综合排放标准》（GB8978-1996）三级标准后</w:t>
            </w:r>
            <w:r>
              <w:rPr>
                <w:rFonts w:hint="eastAsia" w:hAnsi="宋体"/>
                <w:color w:val="000000"/>
                <w:sz w:val="24"/>
              </w:rPr>
              <w:t>一同</w:t>
            </w:r>
            <w:r>
              <w:rPr>
                <w:rFonts w:hAnsi="宋体"/>
                <w:color w:val="000000"/>
                <w:sz w:val="24"/>
              </w:rPr>
              <w:t>进入</w:t>
            </w:r>
            <w:r>
              <w:rPr>
                <w:rFonts w:hint="eastAsia" w:hAnsi="宋体"/>
                <w:color w:val="000000"/>
                <w:sz w:val="24"/>
              </w:rPr>
              <w:t>园区</w:t>
            </w:r>
            <w:r>
              <w:rPr>
                <w:rFonts w:hAnsi="宋体"/>
                <w:color w:val="000000"/>
                <w:sz w:val="24"/>
              </w:rPr>
              <w:t>污水管网，</w:t>
            </w:r>
            <w:r>
              <w:rPr>
                <w:rFonts w:hint="eastAsia" w:hAnsi="宋体"/>
                <w:color w:val="000000"/>
                <w:sz w:val="24"/>
              </w:rPr>
              <w:t>最终</w:t>
            </w:r>
            <w:r>
              <w:rPr>
                <w:rFonts w:hAnsi="宋体"/>
                <w:color w:val="000000"/>
                <w:sz w:val="24"/>
              </w:rPr>
              <w:t>排入</w:t>
            </w:r>
            <w:r>
              <w:rPr>
                <w:rFonts w:hint="eastAsia" w:hAnsi="宋体"/>
                <w:color w:val="000000"/>
                <w:sz w:val="24"/>
              </w:rPr>
              <w:t>大耍坝污水处理</w:t>
            </w:r>
            <w:r>
              <w:rPr>
                <w:rFonts w:hint="eastAsia"/>
                <w:color w:val="000000"/>
                <w:sz w:val="24"/>
              </w:rPr>
              <w:t>厂</w:t>
            </w:r>
            <w:r>
              <w:rPr>
                <w:rFonts w:hAnsi="宋体"/>
                <w:color w:val="000000"/>
                <w:sz w:val="24"/>
              </w:rPr>
              <w:t>进一步处理，达《城镇污水处理厂污染物排放标准》（GB18918-2002）一级B标后排入长江。</w:t>
            </w:r>
          </w:p>
          <w:p w14:paraId="20F4E50E">
            <w:pPr>
              <w:adjustRightInd w:val="0"/>
              <w:snapToGrid w:val="0"/>
              <w:spacing w:line="360" w:lineRule="auto"/>
              <w:ind w:firstLine="480" w:firstLineChars="200"/>
              <w:rPr>
                <w:rFonts w:hint="eastAsia"/>
                <w:sz w:val="24"/>
              </w:rPr>
            </w:pPr>
            <w:r>
              <w:rPr>
                <w:rFonts w:hint="eastAsia"/>
                <w:sz w:val="24"/>
              </w:rPr>
              <w:t>（4）供电</w:t>
            </w:r>
          </w:p>
          <w:p w14:paraId="57C2B719">
            <w:pPr>
              <w:adjustRightInd w:val="0"/>
              <w:snapToGrid w:val="0"/>
              <w:spacing w:line="360" w:lineRule="auto"/>
              <w:ind w:firstLine="480" w:firstLineChars="200"/>
              <w:rPr>
                <w:rFonts w:hint="eastAsia"/>
                <w:color w:val="000000"/>
                <w:sz w:val="24"/>
              </w:rPr>
            </w:pPr>
            <w:r>
              <w:rPr>
                <w:rFonts w:hint="eastAsia"/>
                <w:color w:val="000000"/>
                <w:sz w:val="24"/>
              </w:rPr>
              <w:t>项目电源由园区电网统一提供，同时</w:t>
            </w:r>
            <w:r>
              <w:rPr>
                <w:color w:val="000000"/>
                <w:sz w:val="24"/>
              </w:rPr>
              <w:t>站内配备一台柴油发电机。</w:t>
            </w:r>
            <w:r>
              <w:rPr>
                <w:rFonts w:hint="eastAsia"/>
                <w:color w:val="000000"/>
                <w:sz w:val="24"/>
              </w:rPr>
              <w:t>用于站区内</w:t>
            </w:r>
            <w:r>
              <w:rPr>
                <w:color w:val="000000"/>
                <w:sz w:val="24"/>
              </w:rPr>
              <w:t>重要场所设置事故应急照明。</w:t>
            </w:r>
          </w:p>
          <w:p w14:paraId="58571072">
            <w:pPr>
              <w:adjustRightInd w:val="0"/>
              <w:snapToGrid w:val="0"/>
              <w:spacing w:line="360" w:lineRule="auto"/>
              <w:ind w:firstLine="480" w:firstLineChars="200"/>
              <w:rPr>
                <w:sz w:val="24"/>
              </w:rPr>
            </w:pPr>
            <w:r>
              <w:rPr>
                <w:rFonts w:hint="eastAsia"/>
                <w:sz w:val="24"/>
              </w:rPr>
              <w:t>（5）消防</w:t>
            </w:r>
          </w:p>
          <w:p w14:paraId="3A5126B2">
            <w:pPr>
              <w:adjustRightInd w:val="0"/>
              <w:snapToGrid w:val="0"/>
              <w:spacing w:line="360" w:lineRule="auto"/>
              <w:ind w:firstLine="480" w:firstLineChars="200"/>
              <w:rPr>
                <w:sz w:val="24"/>
              </w:rPr>
            </w:pPr>
            <w:r>
              <w:rPr>
                <w:sz w:val="24"/>
              </w:rPr>
              <w:t>拟建项目按照</w:t>
            </w:r>
            <w:r>
              <w:rPr>
                <w:rFonts w:hint="eastAsia"/>
                <w:sz w:val="24"/>
              </w:rPr>
              <w:t>《汽车加油加气加氢站技术标准》（GB50156-2021）</w:t>
            </w:r>
            <w:r>
              <w:rPr>
                <w:sz w:val="24"/>
              </w:rPr>
              <w:t>相关规定配置消防器材和灭火设施。具体见表</w:t>
            </w:r>
            <w:r>
              <w:rPr>
                <w:rFonts w:hint="eastAsia"/>
                <w:sz w:val="24"/>
              </w:rPr>
              <w:t>2</w:t>
            </w:r>
            <w:r>
              <w:rPr>
                <w:sz w:val="24"/>
              </w:rPr>
              <w:t>-</w:t>
            </w:r>
            <w:r>
              <w:rPr>
                <w:rFonts w:hint="eastAsia"/>
                <w:sz w:val="24"/>
              </w:rPr>
              <w:t>7</w:t>
            </w:r>
            <w:r>
              <w:rPr>
                <w:sz w:val="24"/>
              </w:rPr>
              <w:t>。</w:t>
            </w:r>
          </w:p>
          <w:p w14:paraId="1886B936">
            <w:pPr>
              <w:pStyle w:val="68"/>
              <w:spacing w:line="240" w:lineRule="auto"/>
              <w:rPr>
                <w:rFonts w:hint="eastAsia" w:ascii="黑体" w:hAnsi="黑体" w:eastAsia="黑体" w:cs="黑体"/>
                <w:b w:val="0"/>
                <w:bCs w:val="0"/>
              </w:rPr>
            </w:pPr>
            <w:r>
              <w:rPr>
                <w:rFonts w:ascii="黑体" w:hAnsi="黑体" w:eastAsia="黑体" w:cs="黑体"/>
                <w:b w:val="0"/>
                <w:bCs w:val="0"/>
              </w:rPr>
              <w:t>表</w:t>
            </w:r>
            <w:r>
              <w:rPr>
                <w:rFonts w:hint="eastAsia" w:ascii="黑体" w:hAnsi="黑体" w:eastAsia="黑体" w:cs="黑体"/>
                <w:b w:val="0"/>
                <w:bCs w:val="0"/>
              </w:rPr>
              <w:t>2</w:t>
            </w:r>
            <w:r>
              <w:rPr>
                <w:rFonts w:ascii="黑体" w:hAnsi="黑体" w:eastAsia="黑体" w:cs="黑体"/>
                <w:b w:val="0"/>
                <w:bCs w:val="0"/>
              </w:rPr>
              <w:t>-</w:t>
            </w:r>
            <w:r>
              <w:rPr>
                <w:rFonts w:hint="eastAsia" w:ascii="黑体" w:hAnsi="黑体" w:eastAsia="黑体" w:cs="黑体"/>
                <w:b w:val="0"/>
                <w:bCs w:val="0"/>
              </w:rPr>
              <w:t>7</w:t>
            </w:r>
            <w:r>
              <w:rPr>
                <w:rFonts w:ascii="黑体" w:hAnsi="黑体" w:eastAsia="黑体" w:cs="黑体"/>
                <w:b w:val="0"/>
                <w:bCs w:val="0"/>
              </w:rPr>
              <w:t xml:space="preserve">  拟建项目消防设施一览表</w:t>
            </w:r>
          </w:p>
          <w:tbl>
            <w:tblPr>
              <w:tblStyle w:val="23"/>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shd w:val="clear" w:color="auto" w:fill="FFFFFF"/>
              <w:tblLayout w:type="fixed"/>
              <w:tblCellMar>
                <w:top w:w="0" w:type="dxa"/>
                <w:left w:w="108" w:type="dxa"/>
                <w:bottom w:w="0" w:type="dxa"/>
                <w:right w:w="108" w:type="dxa"/>
              </w:tblCellMar>
            </w:tblPr>
            <w:tblGrid>
              <w:gridCol w:w="1005"/>
              <w:gridCol w:w="1782"/>
              <w:gridCol w:w="1782"/>
              <w:gridCol w:w="917"/>
              <w:gridCol w:w="985"/>
              <w:gridCol w:w="1656"/>
            </w:tblGrid>
            <w:tr w14:paraId="6302B8F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397" w:hRule="atLeast"/>
              </w:trPr>
              <w:tc>
                <w:tcPr>
                  <w:tcW w:w="618" w:type="pct"/>
                  <w:shd w:val="clear" w:color="auto" w:fill="FFFFFF"/>
                  <w:vAlign w:val="center"/>
                </w:tcPr>
                <w:p w14:paraId="2BD48CEA">
                  <w:pPr>
                    <w:adjustRightInd w:val="0"/>
                    <w:snapToGrid w:val="0"/>
                    <w:jc w:val="center"/>
                    <w:rPr>
                      <w:bCs/>
                      <w:szCs w:val="21"/>
                    </w:rPr>
                  </w:pPr>
                  <w:r>
                    <w:rPr>
                      <w:rFonts w:hint="eastAsia"/>
                      <w:bCs/>
                      <w:szCs w:val="21"/>
                    </w:rPr>
                    <w:t>序号</w:t>
                  </w:r>
                </w:p>
              </w:tc>
              <w:tc>
                <w:tcPr>
                  <w:tcW w:w="1095" w:type="pct"/>
                  <w:shd w:val="clear" w:color="auto" w:fill="FFFFFF"/>
                  <w:vAlign w:val="center"/>
                </w:tcPr>
                <w:p w14:paraId="17DD59EE">
                  <w:pPr>
                    <w:adjustRightInd w:val="0"/>
                    <w:snapToGrid w:val="0"/>
                    <w:jc w:val="center"/>
                    <w:rPr>
                      <w:bCs/>
                      <w:szCs w:val="21"/>
                    </w:rPr>
                  </w:pPr>
                  <w:r>
                    <w:rPr>
                      <w:rFonts w:hint="eastAsia"/>
                      <w:bCs/>
                      <w:szCs w:val="21"/>
                    </w:rPr>
                    <w:t>安全防护设施</w:t>
                  </w:r>
                </w:p>
              </w:tc>
              <w:tc>
                <w:tcPr>
                  <w:tcW w:w="1095" w:type="pct"/>
                  <w:shd w:val="clear" w:color="auto" w:fill="FFFFFF"/>
                  <w:vAlign w:val="center"/>
                </w:tcPr>
                <w:p w14:paraId="5D991F89">
                  <w:pPr>
                    <w:adjustRightInd w:val="0"/>
                    <w:snapToGrid w:val="0"/>
                    <w:jc w:val="center"/>
                    <w:rPr>
                      <w:bCs/>
                      <w:szCs w:val="21"/>
                    </w:rPr>
                  </w:pPr>
                  <w:r>
                    <w:rPr>
                      <w:rFonts w:hint="eastAsia"/>
                      <w:bCs/>
                      <w:szCs w:val="21"/>
                    </w:rPr>
                    <w:t>规格型号</w:t>
                  </w:r>
                </w:p>
              </w:tc>
              <w:tc>
                <w:tcPr>
                  <w:tcW w:w="564" w:type="pct"/>
                  <w:shd w:val="clear" w:color="auto" w:fill="FFFFFF"/>
                  <w:vAlign w:val="center"/>
                </w:tcPr>
                <w:p w14:paraId="47E9D30E">
                  <w:pPr>
                    <w:adjustRightInd w:val="0"/>
                    <w:snapToGrid w:val="0"/>
                    <w:jc w:val="center"/>
                    <w:rPr>
                      <w:bCs/>
                      <w:szCs w:val="21"/>
                    </w:rPr>
                  </w:pPr>
                  <w:r>
                    <w:rPr>
                      <w:rFonts w:hint="eastAsia"/>
                      <w:bCs/>
                      <w:szCs w:val="21"/>
                    </w:rPr>
                    <w:t>单位</w:t>
                  </w:r>
                </w:p>
              </w:tc>
              <w:tc>
                <w:tcPr>
                  <w:tcW w:w="606" w:type="pct"/>
                  <w:shd w:val="clear" w:color="auto" w:fill="FFFFFF"/>
                  <w:vAlign w:val="center"/>
                </w:tcPr>
                <w:p w14:paraId="59890DB6">
                  <w:pPr>
                    <w:adjustRightInd w:val="0"/>
                    <w:snapToGrid w:val="0"/>
                    <w:jc w:val="center"/>
                    <w:rPr>
                      <w:bCs/>
                      <w:szCs w:val="21"/>
                    </w:rPr>
                  </w:pPr>
                  <w:r>
                    <w:rPr>
                      <w:rFonts w:hint="eastAsia"/>
                      <w:bCs/>
                      <w:szCs w:val="21"/>
                    </w:rPr>
                    <w:t>数量</w:t>
                  </w:r>
                </w:p>
              </w:tc>
              <w:tc>
                <w:tcPr>
                  <w:tcW w:w="1018" w:type="pct"/>
                  <w:shd w:val="clear" w:color="auto" w:fill="FFFFFF"/>
                  <w:vAlign w:val="center"/>
                </w:tcPr>
                <w:p w14:paraId="1B1D57DE">
                  <w:pPr>
                    <w:adjustRightInd w:val="0"/>
                    <w:snapToGrid w:val="0"/>
                    <w:jc w:val="center"/>
                    <w:rPr>
                      <w:bCs/>
                      <w:szCs w:val="21"/>
                    </w:rPr>
                  </w:pPr>
                  <w:r>
                    <w:rPr>
                      <w:rFonts w:hint="eastAsia"/>
                      <w:bCs/>
                      <w:szCs w:val="21"/>
                    </w:rPr>
                    <w:t>位置</w:t>
                  </w:r>
                </w:p>
              </w:tc>
            </w:tr>
            <w:tr w14:paraId="5F1C4A9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18" w:type="pct"/>
                  <w:shd w:val="clear" w:color="auto" w:fill="FFFFFF"/>
                  <w:vAlign w:val="center"/>
                </w:tcPr>
                <w:p w14:paraId="4BB3FBB1">
                  <w:pPr>
                    <w:adjustRightInd w:val="0"/>
                    <w:snapToGrid w:val="0"/>
                    <w:jc w:val="center"/>
                    <w:rPr>
                      <w:szCs w:val="21"/>
                    </w:rPr>
                  </w:pPr>
                  <w:r>
                    <w:rPr>
                      <w:szCs w:val="21"/>
                    </w:rPr>
                    <w:t>1</w:t>
                  </w:r>
                </w:p>
              </w:tc>
              <w:tc>
                <w:tcPr>
                  <w:tcW w:w="1095" w:type="pct"/>
                  <w:shd w:val="clear" w:color="auto" w:fill="FFFFFF"/>
                  <w:vAlign w:val="center"/>
                </w:tcPr>
                <w:p w14:paraId="49F3D58C">
                  <w:pPr>
                    <w:pStyle w:val="72"/>
                    <w:snapToGrid w:val="0"/>
                    <w:spacing w:before="0" w:after="0"/>
                    <w:rPr>
                      <w:szCs w:val="21"/>
                    </w:rPr>
                  </w:pPr>
                  <w:r>
                    <w:rPr>
                      <w:rFonts w:hint="eastAsia"/>
                    </w:rPr>
                    <w:t>推车式干粉灭火器</w:t>
                  </w:r>
                </w:p>
              </w:tc>
              <w:tc>
                <w:tcPr>
                  <w:tcW w:w="1095" w:type="pct"/>
                  <w:shd w:val="clear" w:color="auto" w:fill="FFFFFF"/>
                  <w:vAlign w:val="center"/>
                </w:tcPr>
                <w:p w14:paraId="62DFED5B">
                  <w:pPr>
                    <w:adjustRightInd w:val="0"/>
                    <w:snapToGrid w:val="0"/>
                    <w:jc w:val="center"/>
                    <w:rPr>
                      <w:rFonts w:hint="eastAsia"/>
                    </w:rPr>
                  </w:pPr>
                  <w:r>
                    <w:rPr>
                      <w:rFonts w:hint="eastAsia" w:ascii="宋体" w:hAnsi="宋体"/>
                      <w:szCs w:val="21"/>
                    </w:rPr>
                    <w:t>MFT/ABC35</w:t>
                  </w:r>
                </w:p>
              </w:tc>
              <w:tc>
                <w:tcPr>
                  <w:tcW w:w="564" w:type="pct"/>
                  <w:shd w:val="clear" w:color="auto" w:fill="FFFFFF"/>
                  <w:vAlign w:val="center"/>
                </w:tcPr>
                <w:p w14:paraId="4B329092">
                  <w:pPr>
                    <w:adjustRightInd w:val="0"/>
                    <w:snapToGrid w:val="0"/>
                    <w:jc w:val="center"/>
                    <w:rPr>
                      <w:rFonts w:hint="eastAsia"/>
                      <w:szCs w:val="21"/>
                    </w:rPr>
                  </w:pPr>
                  <w:r>
                    <w:rPr>
                      <w:rFonts w:hint="eastAsia"/>
                      <w:szCs w:val="21"/>
                    </w:rPr>
                    <w:t>具</w:t>
                  </w:r>
                </w:p>
              </w:tc>
              <w:tc>
                <w:tcPr>
                  <w:tcW w:w="606" w:type="pct"/>
                  <w:shd w:val="clear" w:color="auto" w:fill="FFFFFF"/>
                  <w:vAlign w:val="center"/>
                </w:tcPr>
                <w:p w14:paraId="4542085A">
                  <w:pPr>
                    <w:adjustRightInd w:val="0"/>
                    <w:snapToGrid w:val="0"/>
                    <w:jc w:val="center"/>
                    <w:rPr>
                      <w:rFonts w:hint="eastAsia"/>
                      <w:szCs w:val="21"/>
                    </w:rPr>
                  </w:pPr>
                  <w:r>
                    <w:rPr>
                      <w:rFonts w:hint="eastAsia"/>
                      <w:szCs w:val="21"/>
                    </w:rPr>
                    <w:t>1</w:t>
                  </w:r>
                </w:p>
              </w:tc>
              <w:tc>
                <w:tcPr>
                  <w:tcW w:w="1018" w:type="pct"/>
                  <w:shd w:val="clear" w:color="auto" w:fill="FFFFFF"/>
                  <w:vAlign w:val="center"/>
                </w:tcPr>
                <w:p w14:paraId="3CF4E525">
                  <w:pPr>
                    <w:adjustRightInd w:val="0"/>
                    <w:snapToGrid w:val="0"/>
                    <w:jc w:val="center"/>
                    <w:rPr>
                      <w:szCs w:val="21"/>
                    </w:rPr>
                  </w:pPr>
                  <w:r>
                    <w:rPr>
                      <w:rFonts w:hint="eastAsia" w:ascii="宋体" w:hAnsi="宋体"/>
                      <w:szCs w:val="21"/>
                    </w:rPr>
                    <w:t>消防器材室</w:t>
                  </w:r>
                </w:p>
              </w:tc>
            </w:tr>
            <w:tr w14:paraId="3D02519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18" w:type="pct"/>
                  <w:shd w:val="clear" w:color="auto" w:fill="FFFFFF"/>
                  <w:vAlign w:val="center"/>
                </w:tcPr>
                <w:p w14:paraId="4885FA14">
                  <w:pPr>
                    <w:adjustRightInd w:val="0"/>
                    <w:snapToGrid w:val="0"/>
                    <w:jc w:val="center"/>
                    <w:rPr>
                      <w:szCs w:val="21"/>
                    </w:rPr>
                  </w:pPr>
                  <w:r>
                    <w:rPr>
                      <w:szCs w:val="21"/>
                    </w:rPr>
                    <w:t>2</w:t>
                  </w:r>
                </w:p>
              </w:tc>
              <w:tc>
                <w:tcPr>
                  <w:tcW w:w="1095" w:type="pct"/>
                  <w:shd w:val="clear" w:color="auto" w:fill="FFFFFF"/>
                  <w:vAlign w:val="center"/>
                </w:tcPr>
                <w:p w14:paraId="764D328C">
                  <w:pPr>
                    <w:pStyle w:val="72"/>
                    <w:snapToGrid w:val="0"/>
                    <w:spacing w:before="0" w:after="0"/>
                    <w:rPr>
                      <w:szCs w:val="21"/>
                    </w:rPr>
                  </w:pPr>
                  <w:r>
                    <w:rPr>
                      <w:rFonts w:hint="eastAsia"/>
                    </w:rPr>
                    <w:t>手提式干粉灭火器</w:t>
                  </w:r>
                </w:p>
              </w:tc>
              <w:tc>
                <w:tcPr>
                  <w:tcW w:w="1095" w:type="pct"/>
                  <w:shd w:val="clear" w:color="auto" w:fill="FFFFFF"/>
                  <w:vAlign w:val="center"/>
                </w:tcPr>
                <w:p w14:paraId="21157E23">
                  <w:pPr>
                    <w:adjustRightInd w:val="0"/>
                    <w:snapToGrid w:val="0"/>
                    <w:jc w:val="center"/>
                    <w:rPr>
                      <w:rFonts w:hint="eastAsia"/>
                    </w:rPr>
                  </w:pPr>
                  <w:r>
                    <w:rPr>
                      <w:rFonts w:hint="eastAsia" w:ascii="宋体" w:hAnsi="宋体"/>
                      <w:szCs w:val="21"/>
                    </w:rPr>
                    <w:t>MFZ/ABC5</w:t>
                  </w:r>
                </w:p>
              </w:tc>
              <w:tc>
                <w:tcPr>
                  <w:tcW w:w="564" w:type="pct"/>
                  <w:shd w:val="clear" w:color="auto" w:fill="FFFFFF"/>
                  <w:vAlign w:val="center"/>
                </w:tcPr>
                <w:p w14:paraId="55E5A7AE">
                  <w:pPr>
                    <w:adjustRightInd w:val="0"/>
                    <w:snapToGrid w:val="0"/>
                    <w:jc w:val="center"/>
                    <w:rPr>
                      <w:szCs w:val="21"/>
                    </w:rPr>
                  </w:pPr>
                  <w:r>
                    <w:rPr>
                      <w:rFonts w:hint="eastAsia"/>
                      <w:szCs w:val="21"/>
                    </w:rPr>
                    <w:t>具</w:t>
                  </w:r>
                </w:p>
              </w:tc>
              <w:tc>
                <w:tcPr>
                  <w:tcW w:w="606" w:type="pct"/>
                  <w:shd w:val="clear" w:color="auto" w:fill="FFFFFF"/>
                  <w:vAlign w:val="center"/>
                </w:tcPr>
                <w:p w14:paraId="5211C899">
                  <w:pPr>
                    <w:adjustRightInd w:val="0"/>
                    <w:snapToGrid w:val="0"/>
                    <w:jc w:val="center"/>
                    <w:rPr>
                      <w:rFonts w:hint="eastAsia"/>
                      <w:szCs w:val="21"/>
                    </w:rPr>
                  </w:pPr>
                  <w:r>
                    <w:rPr>
                      <w:szCs w:val="21"/>
                    </w:rPr>
                    <w:t>1</w:t>
                  </w:r>
                  <w:r>
                    <w:rPr>
                      <w:rFonts w:hint="eastAsia"/>
                      <w:szCs w:val="21"/>
                    </w:rPr>
                    <w:t>2</w:t>
                  </w:r>
                </w:p>
              </w:tc>
              <w:tc>
                <w:tcPr>
                  <w:tcW w:w="1018" w:type="pct"/>
                  <w:shd w:val="clear" w:color="auto" w:fill="FFFFFF"/>
                  <w:vAlign w:val="center"/>
                </w:tcPr>
                <w:p w14:paraId="3863C251">
                  <w:pPr>
                    <w:adjustRightInd w:val="0"/>
                    <w:snapToGrid w:val="0"/>
                    <w:jc w:val="center"/>
                    <w:rPr>
                      <w:szCs w:val="21"/>
                    </w:rPr>
                  </w:pPr>
                  <w:r>
                    <w:rPr>
                      <w:rFonts w:hint="eastAsia" w:ascii="宋体" w:hAnsi="宋体"/>
                      <w:szCs w:val="21"/>
                    </w:rPr>
                    <w:t>站房</w:t>
                  </w:r>
                </w:p>
              </w:tc>
            </w:tr>
            <w:tr w14:paraId="124D7C7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618" w:type="pct"/>
                  <w:shd w:val="clear" w:color="auto" w:fill="FFFFFF"/>
                  <w:vAlign w:val="center"/>
                </w:tcPr>
                <w:p w14:paraId="439F209E">
                  <w:pPr>
                    <w:adjustRightInd w:val="0"/>
                    <w:snapToGrid w:val="0"/>
                    <w:jc w:val="center"/>
                    <w:rPr>
                      <w:szCs w:val="21"/>
                    </w:rPr>
                  </w:pPr>
                  <w:r>
                    <w:rPr>
                      <w:szCs w:val="21"/>
                    </w:rPr>
                    <w:t>3</w:t>
                  </w:r>
                </w:p>
              </w:tc>
              <w:tc>
                <w:tcPr>
                  <w:tcW w:w="1095" w:type="pct"/>
                  <w:shd w:val="clear" w:color="auto" w:fill="FFFFFF"/>
                  <w:vAlign w:val="center"/>
                </w:tcPr>
                <w:p w14:paraId="335590BB">
                  <w:pPr>
                    <w:pStyle w:val="72"/>
                    <w:snapToGrid w:val="0"/>
                    <w:spacing w:before="0" w:after="0"/>
                    <w:rPr>
                      <w:szCs w:val="21"/>
                    </w:rPr>
                  </w:pPr>
                  <w:r>
                    <w:rPr>
                      <w:rFonts w:hint="eastAsia"/>
                    </w:rPr>
                    <w:t>手提式干粉灭火器</w:t>
                  </w:r>
                </w:p>
              </w:tc>
              <w:tc>
                <w:tcPr>
                  <w:tcW w:w="1095" w:type="pct"/>
                  <w:shd w:val="clear" w:color="auto" w:fill="FFFFFF"/>
                  <w:vAlign w:val="center"/>
                </w:tcPr>
                <w:p w14:paraId="7C69969F">
                  <w:pPr>
                    <w:adjustRightInd w:val="0"/>
                    <w:snapToGrid w:val="0"/>
                    <w:jc w:val="center"/>
                    <w:rPr>
                      <w:rFonts w:hint="eastAsia"/>
                    </w:rPr>
                  </w:pPr>
                  <w:r>
                    <w:rPr>
                      <w:rFonts w:hint="eastAsia" w:ascii="宋体" w:hAnsi="宋体"/>
                      <w:szCs w:val="21"/>
                    </w:rPr>
                    <w:t>MFZ/ABC5</w:t>
                  </w:r>
                </w:p>
              </w:tc>
              <w:tc>
                <w:tcPr>
                  <w:tcW w:w="564" w:type="pct"/>
                  <w:shd w:val="clear" w:color="auto" w:fill="FFFFFF"/>
                  <w:vAlign w:val="center"/>
                </w:tcPr>
                <w:p w14:paraId="568C20B4">
                  <w:pPr>
                    <w:adjustRightInd w:val="0"/>
                    <w:snapToGrid w:val="0"/>
                    <w:jc w:val="center"/>
                    <w:rPr>
                      <w:szCs w:val="21"/>
                    </w:rPr>
                  </w:pPr>
                  <w:r>
                    <w:rPr>
                      <w:rFonts w:hint="eastAsia"/>
                      <w:szCs w:val="21"/>
                    </w:rPr>
                    <w:t>具</w:t>
                  </w:r>
                </w:p>
              </w:tc>
              <w:tc>
                <w:tcPr>
                  <w:tcW w:w="606" w:type="pct"/>
                  <w:shd w:val="clear" w:color="auto" w:fill="FFFFFF"/>
                  <w:vAlign w:val="center"/>
                </w:tcPr>
                <w:p w14:paraId="163DA28D">
                  <w:pPr>
                    <w:adjustRightInd w:val="0"/>
                    <w:snapToGrid w:val="0"/>
                    <w:jc w:val="center"/>
                    <w:rPr>
                      <w:szCs w:val="21"/>
                    </w:rPr>
                  </w:pPr>
                  <w:r>
                    <w:rPr>
                      <w:szCs w:val="21"/>
                    </w:rPr>
                    <w:t>4</w:t>
                  </w:r>
                </w:p>
              </w:tc>
              <w:tc>
                <w:tcPr>
                  <w:tcW w:w="1018" w:type="pct"/>
                  <w:shd w:val="clear" w:color="auto" w:fill="FFFFFF"/>
                  <w:vAlign w:val="center"/>
                </w:tcPr>
                <w:p w14:paraId="0BFB7E31">
                  <w:pPr>
                    <w:adjustRightInd w:val="0"/>
                    <w:snapToGrid w:val="0"/>
                    <w:jc w:val="center"/>
                    <w:rPr>
                      <w:szCs w:val="21"/>
                    </w:rPr>
                  </w:pPr>
                  <w:r>
                    <w:rPr>
                      <w:rFonts w:hint="eastAsia" w:ascii="宋体" w:hAnsi="宋体"/>
                      <w:szCs w:val="21"/>
                    </w:rPr>
                    <w:t>加油岛</w:t>
                  </w:r>
                </w:p>
              </w:tc>
            </w:tr>
            <w:tr w14:paraId="5B57571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18" w:type="pct"/>
                  <w:shd w:val="clear" w:color="auto" w:fill="FFFFFF"/>
                  <w:vAlign w:val="center"/>
                </w:tcPr>
                <w:p w14:paraId="4389607A">
                  <w:pPr>
                    <w:adjustRightInd w:val="0"/>
                    <w:snapToGrid w:val="0"/>
                    <w:jc w:val="center"/>
                    <w:rPr>
                      <w:szCs w:val="21"/>
                    </w:rPr>
                  </w:pPr>
                  <w:r>
                    <w:rPr>
                      <w:szCs w:val="21"/>
                    </w:rPr>
                    <w:t>4</w:t>
                  </w:r>
                </w:p>
              </w:tc>
              <w:tc>
                <w:tcPr>
                  <w:tcW w:w="1095" w:type="pct"/>
                  <w:shd w:val="clear" w:color="auto" w:fill="FFFFFF"/>
                  <w:vAlign w:val="center"/>
                </w:tcPr>
                <w:p w14:paraId="36FDB4AB">
                  <w:pPr>
                    <w:adjustRightInd w:val="0"/>
                    <w:snapToGrid w:val="0"/>
                    <w:jc w:val="center"/>
                    <w:rPr>
                      <w:szCs w:val="21"/>
                    </w:rPr>
                  </w:pPr>
                  <w:r>
                    <w:rPr>
                      <w:rFonts w:hint="eastAsia" w:ascii="宋体" w:hAnsi="宋体"/>
                      <w:szCs w:val="21"/>
                    </w:rPr>
                    <w:t>灭火毯</w:t>
                  </w:r>
                </w:p>
              </w:tc>
              <w:tc>
                <w:tcPr>
                  <w:tcW w:w="1095" w:type="pct"/>
                  <w:shd w:val="clear" w:color="auto" w:fill="FFFFFF"/>
                  <w:vAlign w:val="center"/>
                </w:tcPr>
                <w:p w14:paraId="0B285C7E">
                  <w:pPr>
                    <w:adjustRightInd w:val="0"/>
                    <w:snapToGrid w:val="0"/>
                    <w:jc w:val="center"/>
                    <w:rPr>
                      <w:rFonts w:hint="eastAsia" w:ascii="宋体" w:hAnsi="宋体"/>
                      <w:szCs w:val="21"/>
                    </w:rPr>
                  </w:pPr>
                  <w:r>
                    <w:rPr>
                      <w:rFonts w:hint="eastAsia" w:ascii="宋体" w:hAnsi="宋体"/>
                      <w:szCs w:val="21"/>
                    </w:rPr>
                    <w:t>石棉</w:t>
                  </w:r>
                </w:p>
              </w:tc>
              <w:tc>
                <w:tcPr>
                  <w:tcW w:w="564" w:type="pct"/>
                  <w:shd w:val="clear" w:color="auto" w:fill="FFFFFF"/>
                  <w:vAlign w:val="center"/>
                </w:tcPr>
                <w:p w14:paraId="096C91B8">
                  <w:pPr>
                    <w:adjustRightInd w:val="0"/>
                    <w:snapToGrid w:val="0"/>
                    <w:jc w:val="center"/>
                    <w:rPr>
                      <w:rFonts w:hint="eastAsia"/>
                      <w:szCs w:val="21"/>
                    </w:rPr>
                  </w:pPr>
                  <w:r>
                    <w:rPr>
                      <w:rFonts w:hint="eastAsia"/>
                      <w:szCs w:val="21"/>
                    </w:rPr>
                    <w:t>块</w:t>
                  </w:r>
                </w:p>
              </w:tc>
              <w:tc>
                <w:tcPr>
                  <w:tcW w:w="606" w:type="pct"/>
                  <w:shd w:val="clear" w:color="auto" w:fill="FFFFFF"/>
                  <w:vAlign w:val="center"/>
                </w:tcPr>
                <w:p w14:paraId="4A597B19">
                  <w:pPr>
                    <w:adjustRightInd w:val="0"/>
                    <w:snapToGrid w:val="0"/>
                    <w:jc w:val="center"/>
                    <w:rPr>
                      <w:rFonts w:hint="eastAsia"/>
                      <w:szCs w:val="21"/>
                    </w:rPr>
                  </w:pPr>
                  <w:r>
                    <w:rPr>
                      <w:rFonts w:hint="eastAsia"/>
                      <w:szCs w:val="21"/>
                    </w:rPr>
                    <w:t>2</w:t>
                  </w:r>
                </w:p>
              </w:tc>
              <w:tc>
                <w:tcPr>
                  <w:tcW w:w="1018" w:type="pct"/>
                  <w:shd w:val="clear" w:color="auto" w:fill="FFFFFF"/>
                  <w:vAlign w:val="center"/>
                </w:tcPr>
                <w:p w14:paraId="5238CF57">
                  <w:pPr>
                    <w:adjustRightInd w:val="0"/>
                    <w:snapToGrid w:val="0"/>
                    <w:jc w:val="center"/>
                    <w:rPr>
                      <w:szCs w:val="21"/>
                    </w:rPr>
                  </w:pPr>
                  <w:r>
                    <w:rPr>
                      <w:rFonts w:hint="eastAsia" w:ascii="宋体" w:hAnsi="宋体"/>
                      <w:szCs w:val="21"/>
                    </w:rPr>
                    <w:t>消防器材室</w:t>
                  </w:r>
                </w:p>
              </w:tc>
            </w:tr>
            <w:tr w14:paraId="04991D2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18" w:type="pct"/>
                  <w:shd w:val="clear" w:color="auto" w:fill="FFFFFF"/>
                  <w:vAlign w:val="center"/>
                </w:tcPr>
                <w:p w14:paraId="36E000B5">
                  <w:pPr>
                    <w:adjustRightInd w:val="0"/>
                    <w:snapToGrid w:val="0"/>
                    <w:jc w:val="center"/>
                    <w:rPr>
                      <w:szCs w:val="21"/>
                    </w:rPr>
                  </w:pPr>
                  <w:r>
                    <w:rPr>
                      <w:szCs w:val="21"/>
                    </w:rPr>
                    <w:t>5</w:t>
                  </w:r>
                </w:p>
              </w:tc>
              <w:tc>
                <w:tcPr>
                  <w:tcW w:w="1095" w:type="pct"/>
                  <w:shd w:val="clear" w:color="auto" w:fill="FFFFFF"/>
                  <w:vAlign w:val="center"/>
                </w:tcPr>
                <w:p w14:paraId="522D62B2">
                  <w:pPr>
                    <w:adjustRightInd w:val="0"/>
                    <w:snapToGrid w:val="0"/>
                    <w:jc w:val="center"/>
                    <w:rPr>
                      <w:szCs w:val="21"/>
                    </w:rPr>
                  </w:pPr>
                  <w:r>
                    <w:rPr>
                      <w:rFonts w:hint="eastAsia" w:ascii="宋体" w:hAnsi="宋体"/>
                      <w:szCs w:val="21"/>
                    </w:rPr>
                    <w:t>消防沙</w:t>
                  </w:r>
                </w:p>
              </w:tc>
              <w:tc>
                <w:tcPr>
                  <w:tcW w:w="1095" w:type="pct"/>
                  <w:shd w:val="clear" w:color="auto" w:fill="FFFFFF"/>
                  <w:vAlign w:val="center"/>
                </w:tcPr>
                <w:p w14:paraId="5FA0196D">
                  <w:pPr>
                    <w:adjustRightInd w:val="0"/>
                    <w:snapToGrid w:val="0"/>
                    <w:jc w:val="center"/>
                    <w:rPr>
                      <w:rFonts w:hint="eastAsia" w:ascii="宋体" w:hAnsi="宋体"/>
                      <w:szCs w:val="21"/>
                    </w:rPr>
                  </w:pPr>
                  <w:r>
                    <w:rPr>
                      <w:rFonts w:hint="eastAsia" w:ascii="宋体" w:hAnsi="宋体"/>
                      <w:szCs w:val="21"/>
                    </w:rPr>
                    <w:t>2m</w:t>
                  </w:r>
                  <w:r>
                    <w:rPr>
                      <w:rFonts w:hint="eastAsia" w:ascii="宋体" w:hAnsi="宋体"/>
                      <w:szCs w:val="21"/>
                      <w:vertAlign w:val="superscript"/>
                    </w:rPr>
                    <w:t>3</w:t>
                  </w:r>
                </w:p>
              </w:tc>
              <w:tc>
                <w:tcPr>
                  <w:tcW w:w="564" w:type="pct"/>
                  <w:shd w:val="clear" w:color="auto" w:fill="FFFFFF"/>
                  <w:vAlign w:val="center"/>
                </w:tcPr>
                <w:p w14:paraId="5A7731FB">
                  <w:pPr>
                    <w:adjustRightInd w:val="0"/>
                    <w:snapToGrid w:val="0"/>
                    <w:jc w:val="center"/>
                    <w:rPr>
                      <w:rFonts w:hint="eastAsia"/>
                      <w:szCs w:val="21"/>
                    </w:rPr>
                  </w:pPr>
                  <w:r>
                    <w:rPr>
                      <w:rFonts w:hint="eastAsia"/>
                      <w:szCs w:val="21"/>
                    </w:rPr>
                    <w:t>个</w:t>
                  </w:r>
                </w:p>
              </w:tc>
              <w:tc>
                <w:tcPr>
                  <w:tcW w:w="606" w:type="pct"/>
                  <w:shd w:val="clear" w:color="auto" w:fill="FFFFFF"/>
                  <w:vAlign w:val="center"/>
                </w:tcPr>
                <w:p w14:paraId="0D669AF1">
                  <w:pPr>
                    <w:adjustRightInd w:val="0"/>
                    <w:snapToGrid w:val="0"/>
                    <w:jc w:val="center"/>
                    <w:rPr>
                      <w:rFonts w:hint="eastAsia"/>
                      <w:szCs w:val="21"/>
                    </w:rPr>
                  </w:pPr>
                  <w:r>
                    <w:rPr>
                      <w:rFonts w:hint="eastAsia"/>
                      <w:szCs w:val="21"/>
                    </w:rPr>
                    <w:t>1</w:t>
                  </w:r>
                </w:p>
              </w:tc>
              <w:tc>
                <w:tcPr>
                  <w:tcW w:w="1018" w:type="pct"/>
                  <w:shd w:val="clear" w:color="auto" w:fill="FFFFFF"/>
                  <w:vAlign w:val="center"/>
                </w:tcPr>
                <w:p w14:paraId="61805A2D">
                  <w:pPr>
                    <w:adjustRightInd w:val="0"/>
                    <w:snapToGrid w:val="0"/>
                    <w:jc w:val="center"/>
                    <w:rPr>
                      <w:szCs w:val="21"/>
                    </w:rPr>
                  </w:pPr>
                  <w:r>
                    <w:rPr>
                      <w:rFonts w:hint="eastAsia" w:ascii="宋体" w:hAnsi="宋体"/>
                      <w:szCs w:val="21"/>
                    </w:rPr>
                    <w:t>消防器材室</w:t>
                  </w:r>
                </w:p>
              </w:tc>
            </w:tr>
            <w:tr w14:paraId="66404D3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18" w:type="pct"/>
                  <w:shd w:val="clear" w:color="auto" w:fill="FFFFFF"/>
                  <w:vAlign w:val="center"/>
                </w:tcPr>
                <w:p w14:paraId="1E88D70B">
                  <w:pPr>
                    <w:adjustRightInd w:val="0"/>
                    <w:snapToGrid w:val="0"/>
                    <w:jc w:val="center"/>
                    <w:rPr>
                      <w:szCs w:val="21"/>
                    </w:rPr>
                  </w:pPr>
                  <w:r>
                    <w:rPr>
                      <w:szCs w:val="21"/>
                    </w:rPr>
                    <w:t>6</w:t>
                  </w:r>
                </w:p>
              </w:tc>
              <w:tc>
                <w:tcPr>
                  <w:tcW w:w="1095" w:type="pct"/>
                  <w:shd w:val="clear" w:color="auto" w:fill="FFFFFF"/>
                  <w:vAlign w:val="center"/>
                </w:tcPr>
                <w:p w14:paraId="6554BF0D">
                  <w:pPr>
                    <w:adjustRightInd w:val="0"/>
                    <w:snapToGrid w:val="0"/>
                    <w:jc w:val="center"/>
                    <w:rPr>
                      <w:szCs w:val="21"/>
                    </w:rPr>
                  </w:pPr>
                  <w:r>
                    <w:rPr>
                      <w:rFonts w:hint="eastAsia" w:ascii="宋体" w:hAnsi="宋体"/>
                      <w:szCs w:val="21"/>
                    </w:rPr>
                    <w:t>消防铲</w:t>
                  </w:r>
                </w:p>
              </w:tc>
              <w:tc>
                <w:tcPr>
                  <w:tcW w:w="1095" w:type="pct"/>
                  <w:shd w:val="clear" w:color="auto" w:fill="FFFFFF"/>
                  <w:vAlign w:val="center"/>
                </w:tcPr>
                <w:p w14:paraId="7A4EBCF0">
                  <w:pPr>
                    <w:adjustRightInd w:val="0"/>
                    <w:snapToGrid w:val="0"/>
                    <w:jc w:val="center"/>
                    <w:rPr>
                      <w:rFonts w:hint="eastAsia" w:ascii="宋体" w:hAnsi="宋体"/>
                      <w:szCs w:val="21"/>
                    </w:rPr>
                  </w:pPr>
                  <w:r>
                    <w:rPr>
                      <w:rFonts w:hint="eastAsia" w:ascii="宋体" w:hAnsi="宋体"/>
                      <w:szCs w:val="21"/>
                    </w:rPr>
                    <w:t>——</w:t>
                  </w:r>
                </w:p>
              </w:tc>
              <w:tc>
                <w:tcPr>
                  <w:tcW w:w="564" w:type="pct"/>
                  <w:shd w:val="clear" w:color="auto" w:fill="FFFFFF"/>
                  <w:vAlign w:val="center"/>
                </w:tcPr>
                <w:p w14:paraId="27AC5661">
                  <w:pPr>
                    <w:adjustRightInd w:val="0"/>
                    <w:snapToGrid w:val="0"/>
                    <w:jc w:val="center"/>
                    <w:rPr>
                      <w:rFonts w:hint="eastAsia"/>
                      <w:szCs w:val="21"/>
                    </w:rPr>
                  </w:pPr>
                  <w:r>
                    <w:rPr>
                      <w:rFonts w:hint="eastAsia"/>
                      <w:szCs w:val="21"/>
                    </w:rPr>
                    <w:t>把</w:t>
                  </w:r>
                </w:p>
              </w:tc>
              <w:tc>
                <w:tcPr>
                  <w:tcW w:w="606" w:type="pct"/>
                  <w:shd w:val="clear" w:color="auto" w:fill="FFFFFF"/>
                  <w:vAlign w:val="center"/>
                </w:tcPr>
                <w:p w14:paraId="07FA5FA3">
                  <w:pPr>
                    <w:adjustRightInd w:val="0"/>
                    <w:snapToGrid w:val="0"/>
                    <w:jc w:val="center"/>
                    <w:rPr>
                      <w:szCs w:val="21"/>
                    </w:rPr>
                  </w:pPr>
                  <w:r>
                    <w:rPr>
                      <w:szCs w:val="21"/>
                    </w:rPr>
                    <w:t>2</w:t>
                  </w:r>
                </w:p>
              </w:tc>
              <w:tc>
                <w:tcPr>
                  <w:tcW w:w="1018" w:type="pct"/>
                  <w:shd w:val="clear" w:color="auto" w:fill="FFFFFF"/>
                  <w:vAlign w:val="center"/>
                </w:tcPr>
                <w:p w14:paraId="341E7798">
                  <w:pPr>
                    <w:adjustRightInd w:val="0"/>
                    <w:snapToGrid w:val="0"/>
                    <w:jc w:val="center"/>
                    <w:rPr>
                      <w:szCs w:val="21"/>
                    </w:rPr>
                  </w:pPr>
                  <w:r>
                    <w:rPr>
                      <w:rFonts w:hint="eastAsia" w:ascii="宋体" w:hAnsi="宋体"/>
                      <w:szCs w:val="21"/>
                    </w:rPr>
                    <w:t>消防器材室</w:t>
                  </w:r>
                </w:p>
              </w:tc>
            </w:tr>
            <w:tr w14:paraId="030D1B6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18" w:type="pct"/>
                  <w:shd w:val="clear" w:color="auto" w:fill="FFFFFF"/>
                  <w:vAlign w:val="center"/>
                </w:tcPr>
                <w:p w14:paraId="3B00D470">
                  <w:pPr>
                    <w:adjustRightInd w:val="0"/>
                    <w:snapToGrid w:val="0"/>
                    <w:jc w:val="center"/>
                    <w:rPr>
                      <w:rFonts w:hint="eastAsia"/>
                      <w:szCs w:val="21"/>
                    </w:rPr>
                  </w:pPr>
                  <w:r>
                    <w:rPr>
                      <w:rFonts w:hint="eastAsia"/>
                      <w:szCs w:val="21"/>
                    </w:rPr>
                    <w:t>7</w:t>
                  </w:r>
                </w:p>
              </w:tc>
              <w:tc>
                <w:tcPr>
                  <w:tcW w:w="1095" w:type="pct"/>
                  <w:shd w:val="clear" w:color="auto" w:fill="FFFFFF"/>
                  <w:vAlign w:val="center"/>
                </w:tcPr>
                <w:p w14:paraId="28E2FA1A">
                  <w:pPr>
                    <w:adjustRightInd w:val="0"/>
                    <w:snapToGrid w:val="0"/>
                    <w:jc w:val="center"/>
                    <w:rPr>
                      <w:rFonts w:hint="eastAsia" w:ascii="宋体" w:hAnsi="宋体"/>
                      <w:szCs w:val="21"/>
                    </w:rPr>
                  </w:pPr>
                  <w:r>
                    <w:rPr>
                      <w:rFonts w:hint="eastAsia" w:ascii="宋体" w:hAnsi="宋体"/>
                      <w:szCs w:val="21"/>
                    </w:rPr>
                    <w:t>消防桶</w:t>
                  </w:r>
                </w:p>
              </w:tc>
              <w:tc>
                <w:tcPr>
                  <w:tcW w:w="1095" w:type="pct"/>
                  <w:shd w:val="clear" w:color="auto" w:fill="FFFFFF"/>
                  <w:vAlign w:val="center"/>
                </w:tcPr>
                <w:p w14:paraId="3ECC3468">
                  <w:pPr>
                    <w:adjustRightInd w:val="0"/>
                    <w:snapToGrid w:val="0"/>
                    <w:jc w:val="center"/>
                    <w:rPr>
                      <w:rFonts w:hint="eastAsia" w:ascii="宋体" w:hAnsi="宋体"/>
                      <w:szCs w:val="21"/>
                    </w:rPr>
                  </w:pPr>
                  <w:r>
                    <w:rPr>
                      <w:rFonts w:hint="eastAsia" w:ascii="宋体" w:hAnsi="宋体"/>
                      <w:szCs w:val="21"/>
                    </w:rPr>
                    <w:t>——</w:t>
                  </w:r>
                </w:p>
              </w:tc>
              <w:tc>
                <w:tcPr>
                  <w:tcW w:w="564" w:type="pct"/>
                  <w:shd w:val="clear" w:color="auto" w:fill="FFFFFF"/>
                  <w:vAlign w:val="center"/>
                </w:tcPr>
                <w:p w14:paraId="0AED2ACA">
                  <w:pPr>
                    <w:adjustRightInd w:val="0"/>
                    <w:snapToGrid w:val="0"/>
                    <w:jc w:val="center"/>
                    <w:rPr>
                      <w:rFonts w:hint="eastAsia"/>
                      <w:szCs w:val="21"/>
                    </w:rPr>
                  </w:pPr>
                  <w:r>
                    <w:rPr>
                      <w:rFonts w:hint="eastAsia"/>
                      <w:szCs w:val="21"/>
                    </w:rPr>
                    <w:t>个</w:t>
                  </w:r>
                </w:p>
              </w:tc>
              <w:tc>
                <w:tcPr>
                  <w:tcW w:w="606" w:type="pct"/>
                  <w:shd w:val="clear" w:color="auto" w:fill="FFFFFF"/>
                  <w:vAlign w:val="center"/>
                </w:tcPr>
                <w:p w14:paraId="4D4A0C58">
                  <w:pPr>
                    <w:adjustRightInd w:val="0"/>
                    <w:snapToGrid w:val="0"/>
                    <w:jc w:val="center"/>
                    <w:rPr>
                      <w:rFonts w:hint="eastAsia"/>
                      <w:szCs w:val="21"/>
                    </w:rPr>
                  </w:pPr>
                  <w:r>
                    <w:rPr>
                      <w:rFonts w:hint="eastAsia"/>
                      <w:szCs w:val="21"/>
                    </w:rPr>
                    <w:t>2</w:t>
                  </w:r>
                </w:p>
              </w:tc>
              <w:tc>
                <w:tcPr>
                  <w:tcW w:w="1018" w:type="pct"/>
                  <w:shd w:val="clear" w:color="auto" w:fill="FFFFFF"/>
                  <w:vAlign w:val="center"/>
                </w:tcPr>
                <w:p w14:paraId="28ADD0D4">
                  <w:pPr>
                    <w:adjustRightInd w:val="0"/>
                    <w:snapToGrid w:val="0"/>
                    <w:jc w:val="center"/>
                    <w:rPr>
                      <w:rFonts w:hint="eastAsia"/>
                      <w:szCs w:val="21"/>
                    </w:rPr>
                  </w:pPr>
                  <w:r>
                    <w:rPr>
                      <w:rFonts w:hint="eastAsia" w:ascii="宋体" w:hAnsi="宋体"/>
                      <w:szCs w:val="21"/>
                    </w:rPr>
                    <w:t>消防器材室</w:t>
                  </w:r>
                </w:p>
              </w:tc>
            </w:tr>
          </w:tbl>
          <w:p w14:paraId="6D798C8B">
            <w:pPr>
              <w:adjustRightInd w:val="0"/>
              <w:snapToGrid w:val="0"/>
              <w:spacing w:line="360" w:lineRule="auto"/>
              <w:rPr>
                <w:b/>
                <w:bCs/>
                <w:sz w:val="24"/>
              </w:rPr>
            </w:pPr>
            <w:r>
              <w:rPr>
                <w:rFonts w:hint="eastAsia"/>
                <w:b/>
                <w:bCs/>
                <w:sz w:val="24"/>
              </w:rPr>
              <w:t>2.5主要生产设备</w:t>
            </w:r>
          </w:p>
          <w:p w14:paraId="0D0B93C1">
            <w:pPr>
              <w:pStyle w:val="19"/>
              <w:adjustRightInd w:val="0"/>
              <w:snapToGrid w:val="0"/>
              <w:spacing w:after="0" w:line="360" w:lineRule="auto"/>
              <w:ind w:firstLine="480" w:firstLineChars="200"/>
              <w:rPr>
                <w:sz w:val="24"/>
              </w:rPr>
            </w:pPr>
            <w:r>
              <w:rPr>
                <w:sz w:val="24"/>
              </w:rPr>
              <w:t>拟建项目主要生产设备见表</w:t>
            </w:r>
            <w:r>
              <w:rPr>
                <w:rFonts w:hint="eastAsia"/>
                <w:sz w:val="24"/>
              </w:rPr>
              <w:t>2</w:t>
            </w:r>
            <w:r>
              <w:rPr>
                <w:sz w:val="24"/>
              </w:rPr>
              <w:t>-</w:t>
            </w:r>
            <w:r>
              <w:rPr>
                <w:rFonts w:hint="eastAsia"/>
                <w:sz w:val="24"/>
              </w:rPr>
              <w:t>8</w:t>
            </w:r>
            <w:r>
              <w:rPr>
                <w:sz w:val="24"/>
              </w:rPr>
              <w:t>。</w:t>
            </w:r>
          </w:p>
          <w:p w14:paraId="5FB1007B">
            <w:pPr>
              <w:pStyle w:val="68"/>
              <w:spacing w:line="240" w:lineRule="auto"/>
              <w:rPr>
                <w:rFonts w:ascii="黑体" w:hAnsi="黑体" w:eastAsia="黑体" w:cs="黑体"/>
                <w:b w:val="0"/>
                <w:bCs w:val="0"/>
              </w:rPr>
            </w:pPr>
            <w:r>
              <w:rPr>
                <w:rFonts w:ascii="黑体" w:hAnsi="黑体" w:eastAsia="黑体" w:cs="黑体"/>
                <w:b w:val="0"/>
                <w:bCs w:val="0"/>
              </w:rPr>
              <w:t>表</w:t>
            </w:r>
            <w:r>
              <w:rPr>
                <w:rFonts w:hint="eastAsia" w:ascii="黑体" w:hAnsi="黑体" w:eastAsia="黑体" w:cs="黑体"/>
                <w:b w:val="0"/>
                <w:bCs w:val="0"/>
              </w:rPr>
              <w:t>2</w:t>
            </w:r>
            <w:r>
              <w:rPr>
                <w:rFonts w:ascii="黑体" w:hAnsi="黑体" w:eastAsia="黑体" w:cs="黑体"/>
                <w:b w:val="0"/>
                <w:bCs w:val="0"/>
              </w:rPr>
              <w:t>-</w:t>
            </w:r>
            <w:r>
              <w:rPr>
                <w:rFonts w:hint="eastAsia" w:ascii="黑体" w:hAnsi="黑体" w:eastAsia="黑体" w:cs="黑体"/>
                <w:b w:val="0"/>
                <w:bCs w:val="0"/>
              </w:rPr>
              <w:t>8</w:t>
            </w:r>
            <w:r>
              <w:rPr>
                <w:rFonts w:ascii="黑体" w:hAnsi="黑体" w:eastAsia="黑体" w:cs="黑体"/>
                <w:b w:val="0"/>
                <w:bCs w:val="0"/>
              </w:rPr>
              <w:t xml:space="preserve">  主要设备一览表</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8"/>
              <w:gridCol w:w="1594"/>
              <w:gridCol w:w="3794"/>
              <w:gridCol w:w="692"/>
              <w:gridCol w:w="692"/>
              <w:gridCol w:w="697"/>
            </w:tblGrid>
            <w:tr w14:paraId="761F02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404" w:type="pct"/>
                  <w:vAlign w:val="center"/>
                </w:tcPr>
                <w:p w14:paraId="56E09021">
                  <w:pPr>
                    <w:adjustRightInd w:val="0"/>
                    <w:snapToGrid w:val="0"/>
                    <w:jc w:val="center"/>
                    <w:rPr>
                      <w:szCs w:val="21"/>
                    </w:rPr>
                  </w:pPr>
                  <w:r>
                    <w:rPr>
                      <w:szCs w:val="21"/>
                    </w:rPr>
                    <w:t>序号</w:t>
                  </w:r>
                </w:p>
              </w:tc>
              <w:tc>
                <w:tcPr>
                  <w:tcW w:w="980" w:type="pct"/>
                  <w:vAlign w:val="center"/>
                </w:tcPr>
                <w:p w14:paraId="02DA839F">
                  <w:pPr>
                    <w:adjustRightInd w:val="0"/>
                    <w:snapToGrid w:val="0"/>
                    <w:jc w:val="center"/>
                    <w:rPr>
                      <w:szCs w:val="21"/>
                    </w:rPr>
                  </w:pPr>
                  <w:r>
                    <w:rPr>
                      <w:szCs w:val="21"/>
                    </w:rPr>
                    <w:t>名称</w:t>
                  </w:r>
                </w:p>
              </w:tc>
              <w:tc>
                <w:tcPr>
                  <w:tcW w:w="2334" w:type="pct"/>
                  <w:vAlign w:val="center"/>
                </w:tcPr>
                <w:p w14:paraId="485012B5">
                  <w:pPr>
                    <w:adjustRightInd w:val="0"/>
                    <w:snapToGrid w:val="0"/>
                    <w:jc w:val="center"/>
                    <w:rPr>
                      <w:szCs w:val="21"/>
                    </w:rPr>
                  </w:pPr>
                  <w:r>
                    <w:rPr>
                      <w:szCs w:val="21"/>
                    </w:rPr>
                    <w:t>规格型号</w:t>
                  </w:r>
                </w:p>
              </w:tc>
              <w:tc>
                <w:tcPr>
                  <w:tcW w:w="426" w:type="pct"/>
                  <w:vAlign w:val="center"/>
                </w:tcPr>
                <w:p w14:paraId="128BEF13">
                  <w:pPr>
                    <w:adjustRightInd w:val="0"/>
                    <w:snapToGrid w:val="0"/>
                    <w:jc w:val="center"/>
                    <w:rPr>
                      <w:szCs w:val="21"/>
                    </w:rPr>
                  </w:pPr>
                  <w:r>
                    <w:rPr>
                      <w:szCs w:val="21"/>
                    </w:rPr>
                    <w:t>单位</w:t>
                  </w:r>
                </w:p>
              </w:tc>
              <w:tc>
                <w:tcPr>
                  <w:tcW w:w="426" w:type="pct"/>
                  <w:vAlign w:val="center"/>
                </w:tcPr>
                <w:p w14:paraId="7DE20EFF">
                  <w:pPr>
                    <w:adjustRightInd w:val="0"/>
                    <w:snapToGrid w:val="0"/>
                    <w:jc w:val="center"/>
                    <w:rPr>
                      <w:szCs w:val="21"/>
                    </w:rPr>
                  </w:pPr>
                  <w:r>
                    <w:rPr>
                      <w:szCs w:val="21"/>
                    </w:rPr>
                    <w:t>数量</w:t>
                  </w:r>
                </w:p>
              </w:tc>
              <w:tc>
                <w:tcPr>
                  <w:tcW w:w="428" w:type="pct"/>
                  <w:vAlign w:val="center"/>
                </w:tcPr>
                <w:p w14:paraId="47C0950B">
                  <w:pPr>
                    <w:adjustRightInd w:val="0"/>
                    <w:snapToGrid w:val="0"/>
                    <w:jc w:val="center"/>
                    <w:rPr>
                      <w:szCs w:val="21"/>
                    </w:rPr>
                  </w:pPr>
                  <w:r>
                    <w:rPr>
                      <w:szCs w:val="21"/>
                    </w:rPr>
                    <w:t>备注</w:t>
                  </w:r>
                </w:p>
              </w:tc>
            </w:tr>
            <w:tr w14:paraId="4E0A93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404" w:type="pct"/>
                  <w:vAlign w:val="center"/>
                </w:tcPr>
                <w:p w14:paraId="2E6E89EA">
                  <w:pPr>
                    <w:adjustRightInd w:val="0"/>
                    <w:snapToGrid w:val="0"/>
                    <w:jc w:val="center"/>
                    <w:rPr>
                      <w:szCs w:val="21"/>
                    </w:rPr>
                  </w:pPr>
                  <w:r>
                    <w:rPr>
                      <w:szCs w:val="21"/>
                    </w:rPr>
                    <w:t>一</w:t>
                  </w:r>
                </w:p>
              </w:tc>
              <w:tc>
                <w:tcPr>
                  <w:tcW w:w="4595" w:type="pct"/>
                  <w:gridSpan w:val="5"/>
                  <w:vAlign w:val="center"/>
                </w:tcPr>
                <w:p w14:paraId="7C9CA6BA">
                  <w:pPr>
                    <w:adjustRightInd w:val="0"/>
                    <w:snapToGrid w:val="0"/>
                    <w:jc w:val="center"/>
                    <w:rPr>
                      <w:szCs w:val="21"/>
                    </w:rPr>
                  </w:pPr>
                  <w:r>
                    <w:rPr>
                      <w:szCs w:val="21"/>
                    </w:rPr>
                    <w:t>油品储存设备</w:t>
                  </w:r>
                </w:p>
              </w:tc>
            </w:tr>
            <w:tr w14:paraId="509A67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404" w:type="pct"/>
                  <w:vAlign w:val="center"/>
                </w:tcPr>
                <w:p w14:paraId="65A8C8AC">
                  <w:pPr>
                    <w:adjustRightInd w:val="0"/>
                    <w:snapToGrid w:val="0"/>
                    <w:jc w:val="center"/>
                    <w:rPr>
                      <w:szCs w:val="21"/>
                    </w:rPr>
                  </w:pPr>
                  <w:r>
                    <w:rPr>
                      <w:szCs w:val="21"/>
                    </w:rPr>
                    <w:t>1</w:t>
                  </w:r>
                </w:p>
              </w:tc>
              <w:tc>
                <w:tcPr>
                  <w:tcW w:w="980" w:type="pct"/>
                  <w:vAlign w:val="center"/>
                </w:tcPr>
                <w:p w14:paraId="78D13BB3">
                  <w:pPr>
                    <w:adjustRightInd w:val="0"/>
                    <w:snapToGrid w:val="0"/>
                    <w:jc w:val="center"/>
                    <w:rPr>
                      <w:szCs w:val="21"/>
                    </w:rPr>
                  </w:pPr>
                  <w:r>
                    <w:rPr>
                      <w:szCs w:val="21"/>
                    </w:rPr>
                    <w:t>0#柴油储油罐</w:t>
                  </w:r>
                </w:p>
              </w:tc>
              <w:tc>
                <w:tcPr>
                  <w:tcW w:w="2334" w:type="pct"/>
                  <w:vAlign w:val="center"/>
                </w:tcPr>
                <w:p w14:paraId="3D7CB969">
                  <w:pPr>
                    <w:adjustRightInd w:val="0"/>
                    <w:snapToGrid w:val="0"/>
                    <w:jc w:val="center"/>
                    <w:rPr>
                      <w:szCs w:val="21"/>
                    </w:rPr>
                  </w:pPr>
                  <w:r>
                    <w:rPr>
                      <w:rFonts w:ascii="宋体" w:hAnsi="宋体"/>
                      <w:szCs w:val="21"/>
                    </w:rPr>
                    <w:t>卧式</w:t>
                  </w:r>
                  <w:r>
                    <w:rPr>
                      <w:rFonts w:hint="eastAsia" w:ascii="宋体" w:hAnsi="宋体"/>
                      <w:szCs w:val="21"/>
                    </w:rPr>
                    <w:t>埋地单层罐</w:t>
                  </w:r>
                  <w:r>
                    <w:rPr>
                      <w:szCs w:val="21"/>
                    </w:rPr>
                    <w:t>，容积</w:t>
                  </w:r>
                  <w:r>
                    <w:rPr>
                      <w:rFonts w:hint="eastAsia"/>
                      <w:szCs w:val="21"/>
                    </w:rPr>
                    <w:t>30</w:t>
                  </w:r>
                  <w:r>
                    <w:rPr>
                      <w:szCs w:val="21"/>
                    </w:rPr>
                    <w:t>m³</w:t>
                  </w:r>
                </w:p>
              </w:tc>
              <w:tc>
                <w:tcPr>
                  <w:tcW w:w="426" w:type="pct"/>
                  <w:vAlign w:val="center"/>
                </w:tcPr>
                <w:p w14:paraId="4FA1CF95">
                  <w:pPr>
                    <w:adjustRightInd w:val="0"/>
                    <w:snapToGrid w:val="0"/>
                    <w:jc w:val="center"/>
                    <w:rPr>
                      <w:szCs w:val="21"/>
                    </w:rPr>
                  </w:pPr>
                  <w:r>
                    <w:rPr>
                      <w:szCs w:val="21"/>
                    </w:rPr>
                    <w:t>个</w:t>
                  </w:r>
                </w:p>
              </w:tc>
              <w:tc>
                <w:tcPr>
                  <w:tcW w:w="426" w:type="pct"/>
                  <w:vAlign w:val="center"/>
                </w:tcPr>
                <w:p w14:paraId="2DE8D0A2">
                  <w:pPr>
                    <w:adjustRightInd w:val="0"/>
                    <w:snapToGrid w:val="0"/>
                    <w:jc w:val="center"/>
                    <w:rPr>
                      <w:rFonts w:hint="eastAsia"/>
                      <w:szCs w:val="21"/>
                    </w:rPr>
                  </w:pPr>
                  <w:r>
                    <w:rPr>
                      <w:rFonts w:hint="eastAsia"/>
                      <w:szCs w:val="21"/>
                    </w:rPr>
                    <w:t>1</w:t>
                  </w:r>
                </w:p>
              </w:tc>
              <w:tc>
                <w:tcPr>
                  <w:tcW w:w="428" w:type="pct"/>
                  <w:vAlign w:val="center"/>
                </w:tcPr>
                <w:p w14:paraId="2C879E9A">
                  <w:pPr>
                    <w:adjustRightInd w:val="0"/>
                    <w:snapToGrid w:val="0"/>
                    <w:jc w:val="center"/>
                    <w:rPr>
                      <w:szCs w:val="21"/>
                    </w:rPr>
                  </w:pPr>
                  <w:r>
                    <w:rPr>
                      <w:szCs w:val="21"/>
                    </w:rPr>
                    <w:t>/</w:t>
                  </w:r>
                </w:p>
              </w:tc>
            </w:tr>
            <w:tr w14:paraId="756D78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404" w:type="pct"/>
                  <w:vAlign w:val="center"/>
                </w:tcPr>
                <w:p w14:paraId="72E2CECB">
                  <w:pPr>
                    <w:adjustRightInd w:val="0"/>
                    <w:snapToGrid w:val="0"/>
                    <w:jc w:val="center"/>
                    <w:rPr>
                      <w:szCs w:val="21"/>
                    </w:rPr>
                  </w:pPr>
                  <w:r>
                    <w:rPr>
                      <w:szCs w:val="21"/>
                    </w:rPr>
                    <w:t>2</w:t>
                  </w:r>
                </w:p>
              </w:tc>
              <w:tc>
                <w:tcPr>
                  <w:tcW w:w="980" w:type="pct"/>
                  <w:vAlign w:val="center"/>
                </w:tcPr>
                <w:p w14:paraId="30DF8D25">
                  <w:pPr>
                    <w:adjustRightInd w:val="0"/>
                    <w:snapToGrid w:val="0"/>
                    <w:jc w:val="center"/>
                    <w:rPr>
                      <w:szCs w:val="21"/>
                    </w:rPr>
                  </w:pPr>
                  <w:r>
                    <w:rPr>
                      <w:szCs w:val="21"/>
                    </w:rPr>
                    <w:t>92#汽油储油罐</w:t>
                  </w:r>
                </w:p>
              </w:tc>
              <w:tc>
                <w:tcPr>
                  <w:tcW w:w="2334" w:type="pct"/>
                  <w:vAlign w:val="center"/>
                </w:tcPr>
                <w:p w14:paraId="4C618553">
                  <w:pPr>
                    <w:adjustRightInd w:val="0"/>
                    <w:snapToGrid w:val="0"/>
                    <w:jc w:val="center"/>
                    <w:rPr>
                      <w:szCs w:val="21"/>
                    </w:rPr>
                  </w:pPr>
                  <w:r>
                    <w:rPr>
                      <w:rFonts w:ascii="宋体" w:hAnsi="宋体"/>
                      <w:szCs w:val="21"/>
                    </w:rPr>
                    <w:t>卧式</w:t>
                  </w:r>
                  <w:r>
                    <w:rPr>
                      <w:rFonts w:hint="eastAsia" w:ascii="宋体" w:hAnsi="宋体"/>
                      <w:szCs w:val="21"/>
                    </w:rPr>
                    <w:t>埋地单层罐</w:t>
                  </w:r>
                  <w:r>
                    <w:rPr>
                      <w:szCs w:val="21"/>
                    </w:rPr>
                    <w:t>，容积</w:t>
                  </w:r>
                  <w:r>
                    <w:rPr>
                      <w:rFonts w:hint="eastAsia"/>
                      <w:szCs w:val="21"/>
                    </w:rPr>
                    <w:t>25</w:t>
                  </w:r>
                  <w:r>
                    <w:rPr>
                      <w:szCs w:val="21"/>
                    </w:rPr>
                    <w:t>m³</w:t>
                  </w:r>
                </w:p>
              </w:tc>
              <w:tc>
                <w:tcPr>
                  <w:tcW w:w="426" w:type="pct"/>
                  <w:vAlign w:val="center"/>
                </w:tcPr>
                <w:p w14:paraId="12375789">
                  <w:pPr>
                    <w:adjustRightInd w:val="0"/>
                    <w:snapToGrid w:val="0"/>
                    <w:jc w:val="center"/>
                    <w:rPr>
                      <w:szCs w:val="21"/>
                    </w:rPr>
                  </w:pPr>
                  <w:r>
                    <w:rPr>
                      <w:szCs w:val="21"/>
                    </w:rPr>
                    <w:t>个</w:t>
                  </w:r>
                </w:p>
              </w:tc>
              <w:tc>
                <w:tcPr>
                  <w:tcW w:w="426" w:type="pct"/>
                  <w:vAlign w:val="center"/>
                </w:tcPr>
                <w:p w14:paraId="6D15FD2F">
                  <w:pPr>
                    <w:adjustRightInd w:val="0"/>
                    <w:snapToGrid w:val="0"/>
                    <w:jc w:val="center"/>
                    <w:rPr>
                      <w:szCs w:val="21"/>
                    </w:rPr>
                  </w:pPr>
                  <w:r>
                    <w:rPr>
                      <w:szCs w:val="21"/>
                    </w:rPr>
                    <w:t>1</w:t>
                  </w:r>
                </w:p>
              </w:tc>
              <w:tc>
                <w:tcPr>
                  <w:tcW w:w="428" w:type="pct"/>
                  <w:vAlign w:val="center"/>
                </w:tcPr>
                <w:p w14:paraId="32FD42A1">
                  <w:pPr>
                    <w:adjustRightInd w:val="0"/>
                    <w:snapToGrid w:val="0"/>
                    <w:jc w:val="center"/>
                    <w:rPr>
                      <w:szCs w:val="21"/>
                    </w:rPr>
                  </w:pPr>
                  <w:r>
                    <w:rPr>
                      <w:szCs w:val="21"/>
                    </w:rPr>
                    <w:t>/</w:t>
                  </w:r>
                </w:p>
              </w:tc>
            </w:tr>
            <w:tr w14:paraId="26DBE8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404" w:type="pct"/>
                  <w:vAlign w:val="center"/>
                </w:tcPr>
                <w:p w14:paraId="2F5A33F0">
                  <w:pPr>
                    <w:adjustRightInd w:val="0"/>
                    <w:snapToGrid w:val="0"/>
                    <w:jc w:val="center"/>
                    <w:rPr>
                      <w:szCs w:val="21"/>
                    </w:rPr>
                  </w:pPr>
                  <w:r>
                    <w:rPr>
                      <w:szCs w:val="21"/>
                    </w:rPr>
                    <w:t>3</w:t>
                  </w:r>
                </w:p>
              </w:tc>
              <w:tc>
                <w:tcPr>
                  <w:tcW w:w="980" w:type="pct"/>
                  <w:vAlign w:val="center"/>
                </w:tcPr>
                <w:p w14:paraId="6BE3DB20">
                  <w:pPr>
                    <w:adjustRightInd w:val="0"/>
                    <w:snapToGrid w:val="0"/>
                    <w:jc w:val="center"/>
                    <w:rPr>
                      <w:szCs w:val="21"/>
                    </w:rPr>
                  </w:pPr>
                  <w:r>
                    <w:rPr>
                      <w:szCs w:val="21"/>
                    </w:rPr>
                    <w:t>95#汽油储油罐</w:t>
                  </w:r>
                </w:p>
              </w:tc>
              <w:tc>
                <w:tcPr>
                  <w:tcW w:w="2334" w:type="pct"/>
                  <w:vAlign w:val="center"/>
                </w:tcPr>
                <w:p w14:paraId="6218D8C4">
                  <w:pPr>
                    <w:adjustRightInd w:val="0"/>
                    <w:snapToGrid w:val="0"/>
                    <w:jc w:val="center"/>
                    <w:rPr>
                      <w:szCs w:val="21"/>
                    </w:rPr>
                  </w:pPr>
                  <w:r>
                    <w:rPr>
                      <w:rFonts w:ascii="宋体" w:hAnsi="宋体"/>
                      <w:szCs w:val="21"/>
                    </w:rPr>
                    <w:t>卧式</w:t>
                  </w:r>
                  <w:r>
                    <w:rPr>
                      <w:rFonts w:hint="eastAsia" w:ascii="宋体" w:hAnsi="宋体"/>
                      <w:szCs w:val="21"/>
                    </w:rPr>
                    <w:t>埋地单层罐</w:t>
                  </w:r>
                  <w:r>
                    <w:rPr>
                      <w:szCs w:val="21"/>
                    </w:rPr>
                    <w:t>，容积</w:t>
                  </w:r>
                  <w:r>
                    <w:rPr>
                      <w:rFonts w:hint="eastAsia"/>
                      <w:szCs w:val="21"/>
                    </w:rPr>
                    <w:t>25</w:t>
                  </w:r>
                  <w:r>
                    <w:rPr>
                      <w:szCs w:val="21"/>
                    </w:rPr>
                    <w:t>m³</w:t>
                  </w:r>
                </w:p>
              </w:tc>
              <w:tc>
                <w:tcPr>
                  <w:tcW w:w="426" w:type="pct"/>
                  <w:vAlign w:val="center"/>
                </w:tcPr>
                <w:p w14:paraId="31540C44">
                  <w:pPr>
                    <w:adjustRightInd w:val="0"/>
                    <w:snapToGrid w:val="0"/>
                    <w:jc w:val="center"/>
                    <w:rPr>
                      <w:szCs w:val="21"/>
                    </w:rPr>
                  </w:pPr>
                  <w:r>
                    <w:rPr>
                      <w:szCs w:val="21"/>
                    </w:rPr>
                    <w:t>个</w:t>
                  </w:r>
                </w:p>
              </w:tc>
              <w:tc>
                <w:tcPr>
                  <w:tcW w:w="426" w:type="pct"/>
                  <w:vAlign w:val="center"/>
                </w:tcPr>
                <w:p w14:paraId="34AED729">
                  <w:pPr>
                    <w:adjustRightInd w:val="0"/>
                    <w:snapToGrid w:val="0"/>
                    <w:jc w:val="center"/>
                    <w:rPr>
                      <w:szCs w:val="21"/>
                    </w:rPr>
                  </w:pPr>
                  <w:r>
                    <w:rPr>
                      <w:szCs w:val="21"/>
                    </w:rPr>
                    <w:t>1</w:t>
                  </w:r>
                </w:p>
              </w:tc>
              <w:tc>
                <w:tcPr>
                  <w:tcW w:w="428" w:type="pct"/>
                  <w:vAlign w:val="center"/>
                </w:tcPr>
                <w:p w14:paraId="3F3C7706">
                  <w:pPr>
                    <w:adjustRightInd w:val="0"/>
                    <w:snapToGrid w:val="0"/>
                    <w:jc w:val="center"/>
                    <w:rPr>
                      <w:rFonts w:hint="eastAsia"/>
                      <w:szCs w:val="21"/>
                    </w:rPr>
                  </w:pPr>
                  <w:r>
                    <w:rPr>
                      <w:rFonts w:hint="eastAsia"/>
                      <w:szCs w:val="21"/>
                    </w:rPr>
                    <w:t>/</w:t>
                  </w:r>
                </w:p>
              </w:tc>
            </w:tr>
            <w:tr w14:paraId="0A358C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404" w:type="pct"/>
                  <w:vAlign w:val="center"/>
                </w:tcPr>
                <w:p w14:paraId="5264C32B">
                  <w:pPr>
                    <w:adjustRightInd w:val="0"/>
                    <w:snapToGrid w:val="0"/>
                    <w:jc w:val="center"/>
                    <w:rPr>
                      <w:szCs w:val="21"/>
                    </w:rPr>
                  </w:pPr>
                  <w:r>
                    <w:rPr>
                      <w:rFonts w:hint="eastAsia"/>
                      <w:szCs w:val="21"/>
                    </w:rPr>
                    <w:t>4</w:t>
                  </w:r>
                </w:p>
              </w:tc>
              <w:tc>
                <w:tcPr>
                  <w:tcW w:w="980" w:type="pct"/>
                  <w:vAlign w:val="center"/>
                </w:tcPr>
                <w:p w14:paraId="23B2A656">
                  <w:pPr>
                    <w:adjustRightInd w:val="0"/>
                    <w:snapToGrid w:val="0"/>
                    <w:jc w:val="center"/>
                    <w:rPr>
                      <w:szCs w:val="21"/>
                    </w:rPr>
                  </w:pPr>
                  <w:r>
                    <w:rPr>
                      <w:szCs w:val="21"/>
                    </w:rPr>
                    <w:t>9</w:t>
                  </w:r>
                  <w:r>
                    <w:rPr>
                      <w:rFonts w:hint="eastAsia"/>
                      <w:szCs w:val="21"/>
                    </w:rPr>
                    <w:t>5</w:t>
                  </w:r>
                  <w:r>
                    <w:rPr>
                      <w:szCs w:val="21"/>
                    </w:rPr>
                    <w:t>#汽油储油罐</w:t>
                  </w:r>
                </w:p>
              </w:tc>
              <w:tc>
                <w:tcPr>
                  <w:tcW w:w="2334" w:type="pct"/>
                  <w:vAlign w:val="center"/>
                </w:tcPr>
                <w:p w14:paraId="52F93EFF">
                  <w:pPr>
                    <w:adjustRightInd w:val="0"/>
                    <w:snapToGrid w:val="0"/>
                    <w:jc w:val="center"/>
                    <w:rPr>
                      <w:szCs w:val="21"/>
                    </w:rPr>
                  </w:pPr>
                  <w:r>
                    <w:rPr>
                      <w:rFonts w:ascii="宋体" w:hAnsi="宋体"/>
                      <w:szCs w:val="21"/>
                    </w:rPr>
                    <w:t>卧式</w:t>
                  </w:r>
                  <w:r>
                    <w:rPr>
                      <w:rFonts w:hint="eastAsia" w:ascii="宋体" w:hAnsi="宋体"/>
                      <w:szCs w:val="21"/>
                    </w:rPr>
                    <w:t>埋地单层罐</w:t>
                  </w:r>
                  <w:r>
                    <w:rPr>
                      <w:szCs w:val="21"/>
                    </w:rPr>
                    <w:t>，容积</w:t>
                  </w:r>
                  <w:r>
                    <w:rPr>
                      <w:rFonts w:hint="eastAsia"/>
                      <w:szCs w:val="21"/>
                    </w:rPr>
                    <w:t>20</w:t>
                  </w:r>
                  <w:r>
                    <w:rPr>
                      <w:szCs w:val="21"/>
                    </w:rPr>
                    <w:t>m³</w:t>
                  </w:r>
                </w:p>
              </w:tc>
              <w:tc>
                <w:tcPr>
                  <w:tcW w:w="426" w:type="pct"/>
                  <w:vAlign w:val="center"/>
                </w:tcPr>
                <w:p w14:paraId="7492D7A1">
                  <w:pPr>
                    <w:adjustRightInd w:val="0"/>
                    <w:snapToGrid w:val="0"/>
                    <w:jc w:val="center"/>
                    <w:rPr>
                      <w:szCs w:val="21"/>
                    </w:rPr>
                  </w:pPr>
                  <w:r>
                    <w:rPr>
                      <w:rFonts w:hint="eastAsia"/>
                      <w:szCs w:val="21"/>
                    </w:rPr>
                    <w:t>个</w:t>
                  </w:r>
                </w:p>
              </w:tc>
              <w:tc>
                <w:tcPr>
                  <w:tcW w:w="426" w:type="pct"/>
                  <w:vAlign w:val="center"/>
                </w:tcPr>
                <w:p w14:paraId="34238DC9">
                  <w:pPr>
                    <w:adjustRightInd w:val="0"/>
                    <w:snapToGrid w:val="0"/>
                    <w:jc w:val="center"/>
                    <w:rPr>
                      <w:rFonts w:hint="eastAsia"/>
                      <w:szCs w:val="21"/>
                    </w:rPr>
                  </w:pPr>
                  <w:r>
                    <w:rPr>
                      <w:rFonts w:hint="eastAsia"/>
                      <w:szCs w:val="21"/>
                    </w:rPr>
                    <w:t>1</w:t>
                  </w:r>
                </w:p>
              </w:tc>
              <w:tc>
                <w:tcPr>
                  <w:tcW w:w="428" w:type="pct"/>
                  <w:vAlign w:val="center"/>
                </w:tcPr>
                <w:p w14:paraId="2118097B">
                  <w:pPr>
                    <w:adjustRightInd w:val="0"/>
                    <w:snapToGrid w:val="0"/>
                    <w:jc w:val="center"/>
                    <w:rPr>
                      <w:rFonts w:hint="eastAsia"/>
                      <w:szCs w:val="21"/>
                    </w:rPr>
                  </w:pPr>
                  <w:r>
                    <w:rPr>
                      <w:rFonts w:hint="eastAsia"/>
                      <w:szCs w:val="21"/>
                    </w:rPr>
                    <w:t>/</w:t>
                  </w:r>
                </w:p>
              </w:tc>
            </w:tr>
            <w:tr w14:paraId="13AC75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404" w:type="pct"/>
                  <w:vAlign w:val="center"/>
                </w:tcPr>
                <w:p w14:paraId="4FBFA2BC">
                  <w:pPr>
                    <w:adjustRightInd w:val="0"/>
                    <w:snapToGrid w:val="0"/>
                    <w:jc w:val="center"/>
                    <w:rPr>
                      <w:szCs w:val="21"/>
                    </w:rPr>
                  </w:pPr>
                  <w:r>
                    <w:rPr>
                      <w:szCs w:val="21"/>
                    </w:rPr>
                    <w:t>二</w:t>
                  </w:r>
                </w:p>
              </w:tc>
              <w:tc>
                <w:tcPr>
                  <w:tcW w:w="4595" w:type="pct"/>
                  <w:gridSpan w:val="5"/>
                  <w:vAlign w:val="center"/>
                </w:tcPr>
                <w:p w14:paraId="3BD34762">
                  <w:pPr>
                    <w:adjustRightInd w:val="0"/>
                    <w:snapToGrid w:val="0"/>
                    <w:jc w:val="center"/>
                    <w:rPr>
                      <w:szCs w:val="21"/>
                    </w:rPr>
                  </w:pPr>
                  <w:r>
                    <w:rPr>
                      <w:szCs w:val="21"/>
                    </w:rPr>
                    <w:t>油品销售设备</w:t>
                  </w:r>
                </w:p>
              </w:tc>
            </w:tr>
            <w:tr w14:paraId="409251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404" w:type="pct"/>
                  <w:vAlign w:val="center"/>
                </w:tcPr>
                <w:p w14:paraId="3917275D">
                  <w:pPr>
                    <w:adjustRightInd w:val="0"/>
                    <w:snapToGrid w:val="0"/>
                    <w:jc w:val="center"/>
                    <w:rPr>
                      <w:rFonts w:hint="eastAsia"/>
                      <w:szCs w:val="21"/>
                    </w:rPr>
                  </w:pPr>
                  <w:r>
                    <w:rPr>
                      <w:rFonts w:hint="eastAsia"/>
                      <w:szCs w:val="21"/>
                    </w:rPr>
                    <w:t>5</w:t>
                  </w:r>
                </w:p>
              </w:tc>
              <w:tc>
                <w:tcPr>
                  <w:tcW w:w="980" w:type="pct"/>
                  <w:vAlign w:val="center"/>
                </w:tcPr>
                <w:p w14:paraId="4A9FADD6">
                  <w:pPr>
                    <w:adjustRightInd w:val="0"/>
                    <w:snapToGrid w:val="0"/>
                    <w:jc w:val="center"/>
                    <w:rPr>
                      <w:szCs w:val="21"/>
                    </w:rPr>
                  </w:pPr>
                  <w:r>
                    <w:rPr>
                      <w:szCs w:val="21"/>
                    </w:rPr>
                    <w:t>加油机</w:t>
                  </w:r>
                </w:p>
              </w:tc>
              <w:tc>
                <w:tcPr>
                  <w:tcW w:w="2334" w:type="pct"/>
                  <w:vAlign w:val="center"/>
                </w:tcPr>
                <w:p w14:paraId="45F93E51">
                  <w:pPr>
                    <w:adjustRightInd w:val="0"/>
                    <w:snapToGrid w:val="0"/>
                    <w:jc w:val="center"/>
                    <w:rPr>
                      <w:rFonts w:hint="eastAsia"/>
                      <w:szCs w:val="21"/>
                    </w:rPr>
                  </w:pPr>
                  <w:r>
                    <w:rPr>
                      <w:rFonts w:hint="eastAsia"/>
                      <w:szCs w:val="21"/>
                    </w:rPr>
                    <w:t>四枪加油机</w:t>
                  </w:r>
                </w:p>
              </w:tc>
              <w:tc>
                <w:tcPr>
                  <w:tcW w:w="426" w:type="pct"/>
                  <w:vAlign w:val="center"/>
                </w:tcPr>
                <w:p w14:paraId="4541179E">
                  <w:pPr>
                    <w:adjustRightInd w:val="0"/>
                    <w:snapToGrid w:val="0"/>
                    <w:jc w:val="center"/>
                    <w:rPr>
                      <w:szCs w:val="21"/>
                    </w:rPr>
                  </w:pPr>
                  <w:r>
                    <w:rPr>
                      <w:szCs w:val="21"/>
                    </w:rPr>
                    <w:t>台</w:t>
                  </w:r>
                </w:p>
              </w:tc>
              <w:tc>
                <w:tcPr>
                  <w:tcW w:w="426" w:type="pct"/>
                  <w:vAlign w:val="center"/>
                </w:tcPr>
                <w:p w14:paraId="68857F11">
                  <w:pPr>
                    <w:adjustRightInd w:val="0"/>
                    <w:snapToGrid w:val="0"/>
                    <w:jc w:val="center"/>
                    <w:rPr>
                      <w:szCs w:val="21"/>
                    </w:rPr>
                  </w:pPr>
                  <w:r>
                    <w:rPr>
                      <w:rFonts w:hint="eastAsia"/>
                      <w:szCs w:val="21"/>
                    </w:rPr>
                    <w:t>4</w:t>
                  </w:r>
                </w:p>
              </w:tc>
              <w:tc>
                <w:tcPr>
                  <w:tcW w:w="428" w:type="pct"/>
                  <w:vAlign w:val="center"/>
                </w:tcPr>
                <w:p w14:paraId="5A0CED9E">
                  <w:pPr>
                    <w:adjustRightInd w:val="0"/>
                    <w:snapToGrid w:val="0"/>
                    <w:jc w:val="center"/>
                    <w:rPr>
                      <w:rFonts w:hint="eastAsia"/>
                      <w:szCs w:val="21"/>
                    </w:rPr>
                  </w:pPr>
                  <w:r>
                    <w:rPr>
                      <w:rFonts w:hint="eastAsia"/>
                      <w:szCs w:val="21"/>
                    </w:rPr>
                    <w:t>/</w:t>
                  </w:r>
                </w:p>
              </w:tc>
            </w:tr>
            <w:tr w14:paraId="5A7B33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404" w:type="pct"/>
                  <w:vAlign w:val="center"/>
                </w:tcPr>
                <w:p w14:paraId="28F06FC5">
                  <w:pPr>
                    <w:adjustRightInd w:val="0"/>
                    <w:snapToGrid w:val="0"/>
                    <w:jc w:val="center"/>
                    <w:rPr>
                      <w:szCs w:val="21"/>
                    </w:rPr>
                  </w:pPr>
                  <w:r>
                    <w:rPr>
                      <w:szCs w:val="21"/>
                    </w:rPr>
                    <w:t>三</w:t>
                  </w:r>
                </w:p>
              </w:tc>
              <w:tc>
                <w:tcPr>
                  <w:tcW w:w="4595" w:type="pct"/>
                  <w:gridSpan w:val="5"/>
                  <w:vAlign w:val="center"/>
                </w:tcPr>
                <w:p w14:paraId="07E9D048">
                  <w:pPr>
                    <w:adjustRightInd w:val="0"/>
                    <w:snapToGrid w:val="0"/>
                    <w:jc w:val="center"/>
                    <w:rPr>
                      <w:szCs w:val="21"/>
                    </w:rPr>
                  </w:pPr>
                  <w:r>
                    <w:rPr>
                      <w:szCs w:val="21"/>
                    </w:rPr>
                    <w:t>其他设备</w:t>
                  </w:r>
                </w:p>
              </w:tc>
            </w:tr>
            <w:tr w14:paraId="061276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404" w:type="pct"/>
                  <w:vAlign w:val="center"/>
                </w:tcPr>
                <w:p w14:paraId="497B7337">
                  <w:pPr>
                    <w:adjustRightInd w:val="0"/>
                    <w:snapToGrid w:val="0"/>
                    <w:jc w:val="center"/>
                    <w:rPr>
                      <w:rFonts w:hint="eastAsia"/>
                      <w:szCs w:val="21"/>
                    </w:rPr>
                  </w:pPr>
                  <w:r>
                    <w:rPr>
                      <w:rFonts w:hint="eastAsia"/>
                      <w:szCs w:val="21"/>
                    </w:rPr>
                    <w:t>6</w:t>
                  </w:r>
                </w:p>
              </w:tc>
              <w:tc>
                <w:tcPr>
                  <w:tcW w:w="980" w:type="pct"/>
                  <w:vAlign w:val="center"/>
                </w:tcPr>
                <w:p w14:paraId="4F4F6FDA">
                  <w:pPr>
                    <w:adjustRightInd w:val="0"/>
                    <w:snapToGrid w:val="0"/>
                    <w:jc w:val="center"/>
                    <w:rPr>
                      <w:szCs w:val="21"/>
                    </w:rPr>
                  </w:pPr>
                  <w:r>
                    <w:rPr>
                      <w:szCs w:val="21"/>
                    </w:rPr>
                    <w:t>潜油泵</w:t>
                  </w:r>
                </w:p>
              </w:tc>
              <w:tc>
                <w:tcPr>
                  <w:tcW w:w="2334" w:type="pct"/>
                  <w:vAlign w:val="center"/>
                </w:tcPr>
                <w:p w14:paraId="6A9B4BFE">
                  <w:pPr>
                    <w:adjustRightInd w:val="0"/>
                    <w:snapToGrid w:val="0"/>
                    <w:jc w:val="center"/>
                    <w:rPr>
                      <w:rFonts w:hint="eastAsia"/>
                      <w:kern w:val="0"/>
                      <w:szCs w:val="21"/>
                    </w:rPr>
                  </w:pPr>
                  <w:r>
                    <w:rPr>
                      <w:rFonts w:hint="eastAsia"/>
                      <w:szCs w:val="21"/>
                    </w:rPr>
                    <w:t>-</w:t>
                  </w:r>
                </w:p>
              </w:tc>
              <w:tc>
                <w:tcPr>
                  <w:tcW w:w="426" w:type="pct"/>
                  <w:vAlign w:val="center"/>
                </w:tcPr>
                <w:p w14:paraId="588BDB90">
                  <w:pPr>
                    <w:adjustRightInd w:val="0"/>
                    <w:snapToGrid w:val="0"/>
                    <w:jc w:val="center"/>
                    <w:rPr>
                      <w:rFonts w:hint="eastAsia"/>
                      <w:szCs w:val="21"/>
                    </w:rPr>
                  </w:pPr>
                  <w:r>
                    <w:rPr>
                      <w:rFonts w:hint="eastAsia"/>
                      <w:szCs w:val="21"/>
                    </w:rPr>
                    <w:t>台</w:t>
                  </w:r>
                </w:p>
              </w:tc>
              <w:tc>
                <w:tcPr>
                  <w:tcW w:w="426" w:type="pct"/>
                  <w:vAlign w:val="center"/>
                </w:tcPr>
                <w:p w14:paraId="1A90424D">
                  <w:pPr>
                    <w:adjustRightInd w:val="0"/>
                    <w:snapToGrid w:val="0"/>
                    <w:jc w:val="center"/>
                    <w:rPr>
                      <w:rFonts w:hint="eastAsia"/>
                      <w:szCs w:val="21"/>
                    </w:rPr>
                  </w:pPr>
                  <w:r>
                    <w:rPr>
                      <w:rFonts w:hint="eastAsia"/>
                      <w:szCs w:val="21"/>
                    </w:rPr>
                    <w:t>4</w:t>
                  </w:r>
                </w:p>
              </w:tc>
              <w:tc>
                <w:tcPr>
                  <w:tcW w:w="428" w:type="pct"/>
                  <w:vAlign w:val="center"/>
                </w:tcPr>
                <w:p w14:paraId="041A0E10">
                  <w:pPr>
                    <w:adjustRightInd w:val="0"/>
                    <w:snapToGrid w:val="0"/>
                    <w:jc w:val="center"/>
                    <w:rPr>
                      <w:szCs w:val="21"/>
                    </w:rPr>
                  </w:pPr>
                  <w:r>
                    <w:rPr>
                      <w:szCs w:val="21"/>
                    </w:rPr>
                    <w:t>/</w:t>
                  </w:r>
                </w:p>
              </w:tc>
            </w:tr>
            <w:tr w14:paraId="13D963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404" w:type="pct"/>
                  <w:vAlign w:val="center"/>
                </w:tcPr>
                <w:p w14:paraId="24BF95A6">
                  <w:pPr>
                    <w:adjustRightInd w:val="0"/>
                    <w:snapToGrid w:val="0"/>
                    <w:jc w:val="center"/>
                    <w:rPr>
                      <w:rFonts w:hint="eastAsia"/>
                      <w:szCs w:val="21"/>
                    </w:rPr>
                  </w:pPr>
                  <w:r>
                    <w:rPr>
                      <w:rFonts w:hint="eastAsia"/>
                      <w:szCs w:val="21"/>
                    </w:rPr>
                    <w:t>7</w:t>
                  </w:r>
                </w:p>
              </w:tc>
              <w:tc>
                <w:tcPr>
                  <w:tcW w:w="980" w:type="pct"/>
                  <w:vAlign w:val="center"/>
                </w:tcPr>
                <w:p w14:paraId="4BDB028A">
                  <w:pPr>
                    <w:adjustRightInd w:val="0"/>
                    <w:snapToGrid w:val="0"/>
                    <w:jc w:val="center"/>
                    <w:rPr>
                      <w:szCs w:val="21"/>
                    </w:rPr>
                  </w:pPr>
                  <w:r>
                    <w:rPr>
                      <w:rFonts w:ascii="宋体" w:hAnsi="宋体"/>
                      <w:szCs w:val="21"/>
                    </w:rPr>
                    <w:t>密闭泄油</w:t>
                  </w:r>
                  <w:r>
                    <w:rPr>
                      <w:rFonts w:hint="eastAsia" w:ascii="宋体" w:hAnsi="宋体"/>
                      <w:szCs w:val="21"/>
                    </w:rPr>
                    <w:t>口</w:t>
                  </w:r>
                </w:p>
              </w:tc>
              <w:tc>
                <w:tcPr>
                  <w:tcW w:w="2334" w:type="pct"/>
                  <w:vAlign w:val="center"/>
                </w:tcPr>
                <w:p w14:paraId="5960A222">
                  <w:pPr>
                    <w:adjustRightInd w:val="0"/>
                    <w:snapToGrid w:val="0"/>
                    <w:jc w:val="center"/>
                    <w:rPr>
                      <w:szCs w:val="21"/>
                    </w:rPr>
                  </w:pPr>
                  <w:r>
                    <w:rPr>
                      <w:rFonts w:hint="eastAsia"/>
                      <w:szCs w:val="21"/>
                    </w:rPr>
                    <w:t>-</w:t>
                  </w:r>
                </w:p>
              </w:tc>
              <w:tc>
                <w:tcPr>
                  <w:tcW w:w="426" w:type="pct"/>
                  <w:vAlign w:val="center"/>
                </w:tcPr>
                <w:p w14:paraId="443C13D4">
                  <w:pPr>
                    <w:adjustRightInd w:val="0"/>
                    <w:snapToGrid w:val="0"/>
                    <w:jc w:val="center"/>
                    <w:rPr>
                      <w:szCs w:val="21"/>
                    </w:rPr>
                  </w:pPr>
                  <w:r>
                    <w:rPr>
                      <w:rFonts w:hint="eastAsia"/>
                      <w:szCs w:val="21"/>
                    </w:rPr>
                    <w:t>个</w:t>
                  </w:r>
                </w:p>
              </w:tc>
              <w:tc>
                <w:tcPr>
                  <w:tcW w:w="426" w:type="pct"/>
                  <w:vAlign w:val="center"/>
                </w:tcPr>
                <w:p w14:paraId="6CCB2D2A">
                  <w:pPr>
                    <w:adjustRightInd w:val="0"/>
                    <w:snapToGrid w:val="0"/>
                    <w:jc w:val="center"/>
                    <w:rPr>
                      <w:rFonts w:hint="eastAsia"/>
                      <w:szCs w:val="21"/>
                    </w:rPr>
                  </w:pPr>
                  <w:r>
                    <w:rPr>
                      <w:rFonts w:hint="eastAsia"/>
                      <w:szCs w:val="21"/>
                    </w:rPr>
                    <w:t>4</w:t>
                  </w:r>
                </w:p>
              </w:tc>
              <w:tc>
                <w:tcPr>
                  <w:tcW w:w="428" w:type="pct"/>
                  <w:vAlign w:val="center"/>
                </w:tcPr>
                <w:p w14:paraId="3EF3EC8E">
                  <w:pPr>
                    <w:adjustRightInd w:val="0"/>
                    <w:snapToGrid w:val="0"/>
                    <w:jc w:val="center"/>
                    <w:rPr>
                      <w:rFonts w:hint="eastAsia"/>
                      <w:szCs w:val="21"/>
                    </w:rPr>
                  </w:pPr>
                  <w:r>
                    <w:rPr>
                      <w:rFonts w:hint="eastAsia"/>
                      <w:szCs w:val="21"/>
                    </w:rPr>
                    <w:t>/</w:t>
                  </w:r>
                </w:p>
              </w:tc>
            </w:tr>
            <w:tr w14:paraId="015856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404" w:type="pct"/>
                  <w:vAlign w:val="center"/>
                </w:tcPr>
                <w:p w14:paraId="1EF9FE86">
                  <w:pPr>
                    <w:adjustRightInd w:val="0"/>
                    <w:snapToGrid w:val="0"/>
                    <w:jc w:val="center"/>
                    <w:rPr>
                      <w:szCs w:val="21"/>
                    </w:rPr>
                  </w:pPr>
                  <w:r>
                    <w:rPr>
                      <w:rFonts w:hint="eastAsia"/>
                      <w:szCs w:val="21"/>
                    </w:rPr>
                    <w:t>8</w:t>
                  </w:r>
                </w:p>
              </w:tc>
              <w:tc>
                <w:tcPr>
                  <w:tcW w:w="980" w:type="pct"/>
                  <w:vAlign w:val="center"/>
                </w:tcPr>
                <w:p w14:paraId="2C76A5C3">
                  <w:pPr>
                    <w:adjustRightInd w:val="0"/>
                    <w:snapToGrid w:val="0"/>
                    <w:jc w:val="center"/>
                    <w:rPr>
                      <w:rFonts w:hint="eastAsia" w:ascii="宋体" w:hAnsi="宋体"/>
                      <w:szCs w:val="21"/>
                    </w:rPr>
                  </w:pPr>
                  <w:r>
                    <w:rPr>
                      <w:rFonts w:hint="eastAsia" w:ascii="宋体" w:hAnsi="宋体"/>
                      <w:szCs w:val="21"/>
                    </w:rPr>
                    <w:t>阻火器</w:t>
                  </w:r>
                </w:p>
              </w:tc>
              <w:tc>
                <w:tcPr>
                  <w:tcW w:w="2334" w:type="pct"/>
                  <w:vAlign w:val="center"/>
                </w:tcPr>
                <w:p w14:paraId="2233302E">
                  <w:pPr>
                    <w:adjustRightInd w:val="0"/>
                    <w:snapToGrid w:val="0"/>
                    <w:jc w:val="center"/>
                    <w:rPr>
                      <w:szCs w:val="21"/>
                    </w:rPr>
                  </w:pPr>
                  <w:r>
                    <w:rPr>
                      <w:rFonts w:hint="eastAsia"/>
                      <w:szCs w:val="21"/>
                    </w:rPr>
                    <w:t>-</w:t>
                  </w:r>
                </w:p>
              </w:tc>
              <w:tc>
                <w:tcPr>
                  <w:tcW w:w="426" w:type="pct"/>
                  <w:vAlign w:val="center"/>
                </w:tcPr>
                <w:p w14:paraId="1D1D8DB2">
                  <w:pPr>
                    <w:adjustRightInd w:val="0"/>
                    <w:snapToGrid w:val="0"/>
                    <w:jc w:val="center"/>
                    <w:rPr>
                      <w:rFonts w:hint="eastAsia"/>
                      <w:szCs w:val="21"/>
                    </w:rPr>
                  </w:pPr>
                  <w:r>
                    <w:rPr>
                      <w:rFonts w:hint="eastAsia"/>
                      <w:szCs w:val="21"/>
                    </w:rPr>
                    <w:t>个</w:t>
                  </w:r>
                </w:p>
              </w:tc>
              <w:tc>
                <w:tcPr>
                  <w:tcW w:w="426" w:type="pct"/>
                  <w:vAlign w:val="center"/>
                </w:tcPr>
                <w:p w14:paraId="30EB0C7C">
                  <w:pPr>
                    <w:adjustRightInd w:val="0"/>
                    <w:snapToGrid w:val="0"/>
                    <w:jc w:val="center"/>
                    <w:rPr>
                      <w:szCs w:val="21"/>
                    </w:rPr>
                  </w:pPr>
                  <w:r>
                    <w:rPr>
                      <w:rFonts w:hint="eastAsia"/>
                      <w:szCs w:val="21"/>
                    </w:rPr>
                    <w:t>4</w:t>
                  </w:r>
                </w:p>
              </w:tc>
              <w:tc>
                <w:tcPr>
                  <w:tcW w:w="428" w:type="pct"/>
                  <w:vAlign w:val="center"/>
                </w:tcPr>
                <w:p w14:paraId="135F6CAD">
                  <w:pPr>
                    <w:adjustRightInd w:val="0"/>
                    <w:snapToGrid w:val="0"/>
                    <w:jc w:val="center"/>
                    <w:rPr>
                      <w:rFonts w:hint="eastAsia"/>
                      <w:szCs w:val="21"/>
                    </w:rPr>
                  </w:pPr>
                  <w:r>
                    <w:rPr>
                      <w:rFonts w:hint="eastAsia"/>
                      <w:szCs w:val="21"/>
                    </w:rPr>
                    <w:t>/</w:t>
                  </w:r>
                </w:p>
              </w:tc>
            </w:tr>
            <w:tr w14:paraId="2FCF7D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404" w:type="pct"/>
                  <w:vAlign w:val="center"/>
                </w:tcPr>
                <w:p w14:paraId="01F0991E">
                  <w:pPr>
                    <w:adjustRightInd w:val="0"/>
                    <w:snapToGrid w:val="0"/>
                    <w:jc w:val="center"/>
                    <w:rPr>
                      <w:szCs w:val="21"/>
                    </w:rPr>
                  </w:pPr>
                  <w:r>
                    <w:rPr>
                      <w:rFonts w:hint="eastAsia"/>
                      <w:szCs w:val="21"/>
                    </w:rPr>
                    <w:t>9</w:t>
                  </w:r>
                </w:p>
              </w:tc>
              <w:tc>
                <w:tcPr>
                  <w:tcW w:w="1643" w:type="dxa"/>
                  <w:vAlign w:val="center"/>
                </w:tcPr>
                <w:p w14:paraId="4B43118A">
                  <w:pPr>
                    <w:adjustRightInd w:val="0"/>
                    <w:snapToGrid w:val="0"/>
                    <w:jc w:val="center"/>
                    <w:rPr>
                      <w:rFonts w:hint="eastAsia" w:ascii="宋体" w:hAnsi="宋体"/>
                      <w:szCs w:val="21"/>
                    </w:rPr>
                  </w:pPr>
                  <w:r>
                    <w:rPr>
                      <w:rFonts w:hint="eastAsia" w:ascii="宋体" w:hAnsi="宋体"/>
                      <w:szCs w:val="21"/>
                    </w:rPr>
                    <w:t>呼吸阀</w:t>
                  </w:r>
                </w:p>
              </w:tc>
              <w:tc>
                <w:tcPr>
                  <w:tcW w:w="3916" w:type="dxa"/>
                  <w:vAlign w:val="center"/>
                </w:tcPr>
                <w:p w14:paraId="20FCCC42">
                  <w:pPr>
                    <w:adjustRightInd w:val="0"/>
                    <w:snapToGrid w:val="0"/>
                    <w:jc w:val="center"/>
                    <w:rPr>
                      <w:rFonts w:hint="eastAsia"/>
                      <w:szCs w:val="21"/>
                    </w:rPr>
                  </w:pPr>
                  <w:r>
                    <w:rPr>
                      <w:rFonts w:ascii="宋体" w:hAnsi="宋体"/>
                      <w:szCs w:val="21"/>
                    </w:rPr>
                    <w:t>DN50</w:t>
                  </w:r>
                </w:p>
              </w:tc>
              <w:tc>
                <w:tcPr>
                  <w:tcW w:w="715" w:type="dxa"/>
                  <w:vAlign w:val="center"/>
                </w:tcPr>
                <w:p w14:paraId="44EE71E5">
                  <w:pPr>
                    <w:adjustRightInd w:val="0"/>
                    <w:snapToGrid w:val="0"/>
                    <w:jc w:val="center"/>
                    <w:rPr>
                      <w:rFonts w:hint="eastAsia"/>
                      <w:szCs w:val="21"/>
                    </w:rPr>
                  </w:pPr>
                  <w:r>
                    <w:rPr>
                      <w:rFonts w:ascii="宋体" w:hAnsi="宋体"/>
                      <w:szCs w:val="21"/>
                    </w:rPr>
                    <w:t>个</w:t>
                  </w:r>
                </w:p>
              </w:tc>
              <w:tc>
                <w:tcPr>
                  <w:tcW w:w="426" w:type="pct"/>
                  <w:vAlign w:val="center"/>
                </w:tcPr>
                <w:p w14:paraId="3637BF4F">
                  <w:pPr>
                    <w:adjustRightInd w:val="0"/>
                    <w:snapToGrid w:val="0"/>
                    <w:jc w:val="center"/>
                    <w:rPr>
                      <w:szCs w:val="21"/>
                    </w:rPr>
                  </w:pPr>
                  <w:r>
                    <w:rPr>
                      <w:rFonts w:hint="eastAsia"/>
                      <w:szCs w:val="21"/>
                    </w:rPr>
                    <w:t>1</w:t>
                  </w:r>
                </w:p>
              </w:tc>
              <w:tc>
                <w:tcPr>
                  <w:tcW w:w="428" w:type="pct"/>
                  <w:vAlign w:val="center"/>
                </w:tcPr>
                <w:p w14:paraId="79AED3F6">
                  <w:pPr>
                    <w:adjustRightInd w:val="0"/>
                    <w:snapToGrid w:val="0"/>
                    <w:jc w:val="center"/>
                    <w:rPr>
                      <w:rFonts w:hint="eastAsia"/>
                      <w:szCs w:val="21"/>
                    </w:rPr>
                  </w:pPr>
                  <w:r>
                    <w:rPr>
                      <w:rFonts w:hint="eastAsia"/>
                      <w:szCs w:val="21"/>
                    </w:rPr>
                    <w:t>/</w:t>
                  </w:r>
                </w:p>
              </w:tc>
            </w:tr>
            <w:tr w14:paraId="761DEE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404" w:type="pct"/>
                  <w:vAlign w:val="center"/>
                </w:tcPr>
                <w:p w14:paraId="16F0AEA7">
                  <w:pPr>
                    <w:adjustRightInd w:val="0"/>
                    <w:snapToGrid w:val="0"/>
                    <w:jc w:val="center"/>
                    <w:rPr>
                      <w:szCs w:val="21"/>
                    </w:rPr>
                  </w:pPr>
                  <w:r>
                    <w:rPr>
                      <w:rFonts w:hint="eastAsia"/>
                      <w:szCs w:val="21"/>
                    </w:rPr>
                    <w:t>10</w:t>
                  </w:r>
                </w:p>
              </w:tc>
              <w:tc>
                <w:tcPr>
                  <w:tcW w:w="980" w:type="pct"/>
                  <w:vAlign w:val="center"/>
                </w:tcPr>
                <w:p w14:paraId="7882E2EB">
                  <w:pPr>
                    <w:adjustRightInd w:val="0"/>
                    <w:snapToGrid w:val="0"/>
                    <w:jc w:val="center"/>
                    <w:rPr>
                      <w:szCs w:val="21"/>
                    </w:rPr>
                  </w:pPr>
                  <w:r>
                    <w:rPr>
                      <w:szCs w:val="21"/>
                    </w:rPr>
                    <w:t>汽油油气回收系统</w:t>
                  </w:r>
                </w:p>
              </w:tc>
              <w:tc>
                <w:tcPr>
                  <w:tcW w:w="2334" w:type="pct"/>
                  <w:vAlign w:val="center"/>
                </w:tcPr>
                <w:p w14:paraId="2D30A320">
                  <w:pPr>
                    <w:adjustRightInd w:val="0"/>
                    <w:snapToGrid w:val="0"/>
                    <w:jc w:val="center"/>
                    <w:rPr>
                      <w:rFonts w:hint="eastAsia"/>
                      <w:szCs w:val="21"/>
                    </w:rPr>
                  </w:pPr>
                  <w:r>
                    <w:rPr>
                      <w:szCs w:val="21"/>
                    </w:rPr>
                    <w:t>卸油油气回收系统、加油油气回收系统</w:t>
                  </w:r>
                </w:p>
              </w:tc>
              <w:tc>
                <w:tcPr>
                  <w:tcW w:w="426" w:type="pct"/>
                  <w:vAlign w:val="center"/>
                </w:tcPr>
                <w:p w14:paraId="46CC1FFD">
                  <w:pPr>
                    <w:adjustRightInd w:val="0"/>
                    <w:snapToGrid w:val="0"/>
                    <w:jc w:val="center"/>
                    <w:rPr>
                      <w:szCs w:val="21"/>
                    </w:rPr>
                  </w:pPr>
                  <w:r>
                    <w:rPr>
                      <w:szCs w:val="21"/>
                    </w:rPr>
                    <w:t>套</w:t>
                  </w:r>
                </w:p>
              </w:tc>
              <w:tc>
                <w:tcPr>
                  <w:tcW w:w="426" w:type="pct"/>
                  <w:vAlign w:val="center"/>
                </w:tcPr>
                <w:p w14:paraId="6C0F6E7C">
                  <w:pPr>
                    <w:adjustRightInd w:val="0"/>
                    <w:snapToGrid w:val="0"/>
                    <w:jc w:val="center"/>
                    <w:rPr>
                      <w:rFonts w:hint="eastAsia"/>
                      <w:szCs w:val="21"/>
                    </w:rPr>
                  </w:pPr>
                  <w:r>
                    <w:rPr>
                      <w:rFonts w:hint="eastAsia"/>
                      <w:szCs w:val="21"/>
                    </w:rPr>
                    <w:t>2</w:t>
                  </w:r>
                </w:p>
              </w:tc>
              <w:tc>
                <w:tcPr>
                  <w:tcW w:w="428" w:type="pct"/>
                  <w:vAlign w:val="center"/>
                </w:tcPr>
                <w:p w14:paraId="13D222DD">
                  <w:pPr>
                    <w:adjustRightInd w:val="0"/>
                    <w:snapToGrid w:val="0"/>
                    <w:jc w:val="center"/>
                    <w:rPr>
                      <w:szCs w:val="21"/>
                    </w:rPr>
                  </w:pPr>
                  <w:r>
                    <w:rPr>
                      <w:szCs w:val="21"/>
                    </w:rPr>
                    <w:t>/</w:t>
                  </w:r>
                </w:p>
              </w:tc>
            </w:tr>
            <w:tr w14:paraId="5A020B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404" w:type="pct"/>
                  <w:vAlign w:val="center"/>
                </w:tcPr>
                <w:p w14:paraId="317D9905">
                  <w:pPr>
                    <w:adjustRightInd w:val="0"/>
                    <w:snapToGrid w:val="0"/>
                    <w:jc w:val="center"/>
                    <w:rPr>
                      <w:szCs w:val="21"/>
                    </w:rPr>
                  </w:pPr>
                  <w:r>
                    <w:rPr>
                      <w:rFonts w:hint="eastAsia"/>
                      <w:szCs w:val="21"/>
                    </w:rPr>
                    <w:t>11</w:t>
                  </w:r>
                </w:p>
              </w:tc>
              <w:tc>
                <w:tcPr>
                  <w:tcW w:w="980" w:type="pct"/>
                  <w:vAlign w:val="center"/>
                </w:tcPr>
                <w:p w14:paraId="53D06C76">
                  <w:pPr>
                    <w:adjustRightInd w:val="0"/>
                    <w:snapToGrid w:val="0"/>
                    <w:jc w:val="center"/>
                    <w:rPr>
                      <w:szCs w:val="21"/>
                    </w:rPr>
                  </w:pPr>
                  <w:r>
                    <w:rPr>
                      <w:szCs w:val="21"/>
                    </w:rPr>
                    <w:t>高液位报警仪</w:t>
                  </w:r>
                </w:p>
              </w:tc>
              <w:tc>
                <w:tcPr>
                  <w:tcW w:w="2334" w:type="pct"/>
                  <w:vAlign w:val="center"/>
                </w:tcPr>
                <w:p w14:paraId="49C7202E">
                  <w:pPr>
                    <w:adjustRightInd w:val="0"/>
                    <w:snapToGrid w:val="0"/>
                    <w:jc w:val="center"/>
                    <w:rPr>
                      <w:szCs w:val="21"/>
                    </w:rPr>
                  </w:pPr>
                  <w:r>
                    <w:rPr>
                      <w:szCs w:val="21"/>
                    </w:rPr>
                    <w:t>/</w:t>
                  </w:r>
                </w:p>
              </w:tc>
              <w:tc>
                <w:tcPr>
                  <w:tcW w:w="426" w:type="pct"/>
                  <w:vAlign w:val="center"/>
                </w:tcPr>
                <w:p w14:paraId="608CECD7">
                  <w:pPr>
                    <w:adjustRightInd w:val="0"/>
                    <w:snapToGrid w:val="0"/>
                    <w:jc w:val="center"/>
                    <w:rPr>
                      <w:szCs w:val="21"/>
                    </w:rPr>
                  </w:pPr>
                  <w:r>
                    <w:rPr>
                      <w:szCs w:val="21"/>
                    </w:rPr>
                    <w:t>个</w:t>
                  </w:r>
                </w:p>
              </w:tc>
              <w:tc>
                <w:tcPr>
                  <w:tcW w:w="426" w:type="pct"/>
                  <w:vAlign w:val="center"/>
                </w:tcPr>
                <w:p w14:paraId="3D71895E">
                  <w:pPr>
                    <w:adjustRightInd w:val="0"/>
                    <w:snapToGrid w:val="0"/>
                    <w:jc w:val="center"/>
                    <w:rPr>
                      <w:rFonts w:hint="eastAsia"/>
                      <w:szCs w:val="21"/>
                    </w:rPr>
                  </w:pPr>
                  <w:r>
                    <w:rPr>
                      <w:rFonts w:hint="eastAsia"/>
                      <w:szCs w:val="21"/>
                    </w:rPr>
                    <w:t>4</w:t>
                  </w:r>
                </w:p>
              </w:tc>
              <w:tc>
                <w:tcPr>
                  <w:tcW w:w="428" w:type="pct"/>
                  <w:vAlign w:val="center"/>
                </w:tcPr>
                <w:p w14:paraId="5B84E01E">
                  <w:pPr>
                    <w:adjustRightInd w:val="0"/>
                    <w:snapToGrid w:val="0"/>
                    <w:jc w:val="center"/>
                    <w:rPr>
                      <w:szCs w:val="21"/>
                    </w:rPr>
                  </w:pPr>
                  <w:r>
                    <w:rPr>
                      <w:szCs w:val="21"/>
                    </w:rPr>
                    <w:t>/</w:t>
                  </w:r>
                </w:p>
              </w:tc>
            </w:tr>
            <w:tr w14:paraId="42C3CE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404" w:type="pct"/>
                  <w:vAlign w:val="center"/>
                </w:tcPr>
                <w:p w14:paraId="676DD7A2">
                  <w:pPr>
                    <w:adjustRightInd w:val="0"/>
                    <w:snapToGrid w:val="0"/>
                    <w:jc w:val="center"/>
                    <w:rPr>
                      <w:szCs w:val="21"/>
                    </w:rPr>
                  </w:pPr>
                  <w:r>
                    <w:rPr>
                      <w:rFonts w:hint="eastAsia"/>
                      <w:szCs w:val="21"/>
                    </w:rPr>
                    <w:t>12</w:t>
                  </w:r>
                </w:p>
              </w:tc>
              <w:tc>
                <w:tcPr>
                  <w:tcW w:w="980" w:type="pct"/>
                  <w:vAlign w:val="center"/>
                </w:tcPr>
                <w:p w14:paraId="2F99560D">
                  <w:pPr>
                    <w:adjustRightInd w:val="0"/>
                    <w:snapToGrid w:val="0"/>
                    <w:jc w:val="center"/>
                    <w:rPr>
                      <w:szCs w:val="21"/>
                    </w:rPr>
                  </w:pPr>
                  <w:r>
                    <w:rPr>
                      <w:szCs w:val="21"/>
                    </w:rPr>
                    <w:t>柴油发电机</w:t>
                  </w:r>
                </w:p>
              </w:tc>
              <w:tc>
                <w:tcPr>
                  <w:tcW w:w="2334" w:type="pct"/>
                  <w:vAlign w:val="center"/>
                </w:tcPr>
                <w:p w14:paraId="056ED36A">
                  <w:pPr>
                    <w:adjustRightInd w:val="0"/>
                    <w:snapToGrid w:val="0"/>
                    <w:jc w:val="center"/>
                    <w:rPr>
                      <w:color w:val="000000"/>
                      <w:szCs w:val="21"/>
                    </w:rPr>
                  </w:pPr>
                  <w:r>
                    <w:rPr>
                      <w:color w:val="000000"/>
                      <w:szCs w:val="21"/>
                    </w:rPr>
                    <w:t>功率</w:t>
                  </w:r>
                  <w:r>
                    <w:rPr>
                      <w:rFonts w:hint="eastAsia"/>
                      <w:color w:val="000000"/>
                      <w:szCs w:val="21"/>
                    </w:rPr>
                    <w:t>50</w:t>
                  </w:r>
                  <w:r>
                    <w:rPr>
                      <w:color w:val="000000"/>
                      <w:szCs w:val="21"/>
                    </w:rPr>
                    <w:t>KW</w:t>
                  </w:r>
                </w:p>
              </w:tc>
              <w:tc>
                <w:tcPr>
                  <w:tcW w:w="426" w:type="pct"/>
                  <w:vAlign w:val="center"/>
                </w:tcPr>
                <w:p w14:paraId="06AE6F4D">
                  <w:pPr>
                    <w:adjustRightInd w:val="0"/>
                    <w:snapToGrid w:val="0"/>
                    <w:jc w:val="center"/>
                    <w:rPr>
                      <w:color w:val="000000"/>
                      <w:szCs w:val="21"/>
                    </w:rPr>
                  </w:pPr>
                  <w:r>
                    <w:rPr>
                      <w:color w:val="000000"/>
                      <w:szCs w:val="21"/>
                    </w:rPr>
                    <w:t>台</w:t>
                  </w:r>
                </w:p>
              </w:tc>
              <w:tc>
                <w:tcPr>
                  <w:tcW w:w="426" w:type="pct"/>
                  <w:vAlign w:val="center"/>
                </w:tcPr>
                <w:p w14:paraId="66E1FE80">
                  <w:pPr>
                    <w:adjustRightInd w:val="0"/>
                    <w:snapToGrid w:val="0"/>
                    <w:jc w:val="center"/>
                    <w:rPr>
                      <w:color w:val="000000"/>
                      <w:szCs w:val="21"/>
                    </w:rPr>
                  </w:pPr>
                  <w:r>
                    <w:rPr>
                      <w:color w:val="000000"/>
                      <w:szCs w:val="21"/>
                    </w:rPr>
                    <w:t>1</w:t>
                  </w:r>
                </w:p>
              </w:tc>
              <w:tc>
                <w:tcPr>
                  <w:tcW w:w="428" w:type="pct"/>
                  <w:vAlign w:val="center"/>
                </w:tcPr>
                <w:p w14:paraId="1C029728">
                  <w:pPr>
                    <w:adjustRightInd w:val="0"/>
                    <w:snapToGrid w:val="0"/>
                    <w:jc w:val="center"/>
                    <w:rPr>
                      <w:color w:val="000000"/>
                      <w:szCs w:val="21"/>
                    </w:rPr>
                  </w:pPr>
                  <w:r>
                    <w:rPr>
                      <w:color w:val="000000"/>
                      <w:szCs w:val="21"/>
                    </w:rPr>
                    <w:t>备用</w:t>
                  </w:r>
                </w:p>
              </w:tc>
            </w:tr>
          </w:tbl>
          <w:p w14:paraId="4DEE9760">
            <w:pPr>
              <w:adjustRightInd w:val="0"/>
              <w:snapToGrid w:val="0"/>
              <w:spacing w:line="360" w:lineRule="auto"/>
              <w:rPr>
                <w:rFonts w:hint="eastAsia"/>
                <w:b/>
                <w:bCs/>
                <w:sz w:val="24"/>
              </w:rPr>
            </w:pPr>
            <w:r>
              <w:rPr>
                <w:rFonts w:hint="eastAsia"/>
                <w:b/>
                <w:bCs/>
                <w:sz w:val="24"/>
              </w:rPr>
              <w:t>2.6劳动定员及工作制度</w:t>
            </w:r>
          </w:p>
          <w:p w14:paraId="6DBADCBD">
            <w:pPr>
              <w:adjustRightInd w:val="0"/>
              <w:snapToGrid w:val="0"/>
              <w:spacing w:line="360" w:lineRule="auto"/>
              <w:ind w:firstLine="480" w:firstLineChars="200"/>
              <w:rPr>
                <w:rFonts w:hint="eastAsia"/>
                <w:bCs/>
                <w:sz w:val="24"/>
              </w:rPr>
            </w:pPr>
            <w:r>
              <w:rPr>
                <w:rFonts w:hint="eastAsia"/>
                <w:bCs/>
                <w:sz w:val="24"/>
              </w:rPr>
              <w:t>本项目劳动定员8人，年营业时间365</w:t>
            </w:r>
            <w:r>
              <w:rPr>
                <w:rFonts w:hint="eastAsia"/>
                <w:bCs/>
                <w:color w:val="000000"/>
                <w:sz w:val="24"/>
              </w:rPr>
              <w:t>d，24小时，三班制，每班8小时。</w:t>
            </w:r>
          </w:p>
          <w:p w14:paraId="6C166B47">
            <w:pPr>
              <w:adjustRightInd w:val="0"/>
              <w:snapToGrid w:val="0"/>
              <w:spacing w:line="360" w:lineRule="auto"/>
              <w:rPr>
                <w:rFonts w:hint="eastAsia"/>
                <w:b/>
                <w:bCs/>
                <w:sz w:val="24"/>
              </w:rPr>
            </w:pPr>
            <w:r>
              <w:rPr>
                <w:rFonts w:hint="eastAsia"/>
                <w:b/>
                <w:bCs/>
                <w:sz w:val="24"/>
              </w:rPr>
              <w:t>2.7平面布置</w:t>
            </w:r>
          </w:p>
          <w:p w14:paraId="663F360F">
            <w:pPr>
              <w:adjustRightInd w:val="0"/>
              <w:snapToGrid w:val="0"/>
              <w:spacing w:line="360" w:lineRule="auto"/>
              <w:ind w:firstLine="480" w:firstLineChars="200"/>
              <w:rPr>
                <w:rFonts w:ascii="宋体" w:hAnsi="宋体"/>
                <w:bCs/>
                <w:sz w:val="24"/>
              </w:rPr>
            </w:pPr>
            <w:r>
              <w:rPr>
                <w:rFonts w:hint="eastAsia" w:ascii="宋体" w:hAnsi="宋体"/>
                <w:bCs/>
                <w:sz w:val="24"/>
              </w:rPr>
              <w:t>本项目位于重庆市涪陵区李渡工业园区双溪居委郑家湾FL2018-06-18号地块，南侧紧邻聚业大道，出入口分开设置，站内均采用水泥地面硬化路面。</w:t>
            </w:r>
          </w:p>
          <w:p w14:paraId="7D0DE6D1">
            <w:pPr>
              <w:adjustRightInd w:val="0"/>
              <w:snapToGrid w:val="0"/>
              <w:spacing w:line="360" w:lineRule="auto"/>
              <w:ind w:firstLine="480" w:firstLineChars="200"/>
              <w:rPr>
                <w:rFonts w:hint="eastAsia" w:ascii="宋体" w:hAnsi="宋体"/>
                <w:bCs/>
                <w:sz w:val="24"/>
              </w:rPr>
            </w:pPr>
            <w:r>
              <w:rPr>
                <w:rFonts w:hint="eastAsia" w:ascii="宋体" w:hAnsi="宋体"/>
                <w:bCs/>
                <w:sz w:val="24"/>
              </w:rPr>
              <w:t>站内由加油区（含成品油罐区）、站房、隔油池等几部分组成，</w:t>
            </w:r>
            <w:r>
              <w:rPr>
                <w:rFonts w:ascii="宋体" w:hAnsi="宋体"/>
                <w:bCs/>
                <w:sz w:val="24"/>
              </w:rPr>
              <w:t>加油区（加油棚）位于站区中部</w:t>
            </w:r>
            <w:r>
              <w:rPr>
                <w:rFonts w:hint="eastAsia" w:ascii="宋体" w:hAnsi="宋体"/>
                <w:bCs/>
                <w:sz w:val="24"/>
              </w:rPr>
              <w:t>；油罐区位于场地中部，为承重罐池；站房位于站区西侧，</w:t>
            </w:r>
            <w:r>
              <w:rPr>
                <w:rFonts w:hint="eastAsia" w:ascii="宋体" w:hAnsi="宋体"/>
                <w:bCs/>
                <w:sz w:val="24"/>
                <w:lang w:val="zh-CN"/>
              </w:rPr>
              <w:t>包含</w:t>
            </w:r>
            <w:r>
              <w:rPr>
                <w:rFonts w:hint="eastAsia" w:ascii="宋体" w:hAnsi="宋体"/>
                <w:bCs/>
                <w:sz w:val="24"/>
              </w:rPr>
              <w:t>储藏室、办公室、便利店、营业室、卫生间等</w:t>
            </w:r>
            <w:r>
              <w:rPr>
                <w:rFonts w:hint="eastAsia" w:ascii="宋体" w:hAnsi="宋体"/>
                <w:bCs/>
                <w:sz w:val="24"/>
                <w:lang w:val="zh-CN"/>
              </w:rPr>
              <w:t>；</w:t>
            </w:r>
            <w:r>
              <w:rPr>
                <w:rFonts w:hint="eastAsia" w:ascii="宋体" w:hAnsi="宋体"/>
                <w:bCs/>
                <w:sz w:val="24"/>
              </w:rPr>
              <w:t>隔油池位于站房东南侧；卸车区位于站房北侧；车辆出入口分别在站区东南侧和东北侧，出入口车道宽度≥12m。</w:t>
            </w:r>
          </w:p>
          <w:p w14:paraId="2DCCA7F7">
            <w:pPr>
              <w:wordWrap w:val="0"/>
              <w:adjustRightInd w:val="0"/>
              <w:snapToGrid w:val="0"/>
              <w:spacing w:line="360" w:lineRule="auto"/>
              <w:ind w:firstLine="480" w:firstLineChars="200"/>
              <w:rPr>
                <w:rFonts w:hint="eastAsia" w:ascii="宋体" w:hAnsi="宋体"/>
                <w:bCs/>
                <w:sz w:val="24"/>
              </w:rPr>
            </w:pPr>
            <w:r>
              <w:rPr>
                <w:rFonts w:hint="eastAsia" w:ascii="宋体" w:hAnsi="宋体"/>
                <w:bCs/>
                <w:sz w:val="24"/>
              </w:rPr>
              <w:t>本项目平面布置结合项目地形，尽量满足交通组织合理、管理方便，同时遵循尽量发挥生产设施作用、最大限度节约土地的原则。站区整体布局紧凑，便于加油车辆的进出和管理。</w:t>
            </w:r>
          </w:p>
          <w:p w14:paraId="58729C8E">
            <w:pPr>
              <w:pStyle w:val="2"/>
              <w:rPr>
                <w:rFonts w:hint="eastAsia"/>
              </w:rPr>
            </w:pPr>
          </w:p>
          <w:p w14:paraId="5A068838">
            <w:pPr>
              <w:pStyle w:val="2"/>
              <w:rPr>
                <w:rFonts w:hint="eastAsia"/>
              </w:rPr>
            </w:pPr>
          </w:p>
          <w:p w14:paraId="080EA818">
            <w:pPr>
              <w:rPr>
                <w:rFonts w:hint="eastAsia"/>
              </w:rPr>
            </w:pPr>
          </w:p>
          <w:p w14:paraId="67BDB608">
            <w:pPr>
              <w:rPr>
                <w:rFonts w:hint="eastAsia"/>
              </w:rPr>
            </w:pPr>
          </w:p>
          <w:p w14:paraId="78EDC46B">
            <w:pPr>
              <w:rPr>
                <w:rFonts w:hint="eastAsia"/>
              </w:rPr>
            </w:pPr>
          </w:p>
          <w:p w14:paraId="5831147E">
            <w:pPr>
              <w:rPr>
                <w:rFonts w:hint="eastAsia"/>
              </w:rPr>
            </w:pPr>
          </w:p>
          <w:p w14:paraId="560C5136">
            <w:pPr>
              <w:rPr>
                <w:rFonts w:hint="eastAsia"/>
              </w:rPr>
            </w:pPr>
          </w:p>
          <w:p w14:paraId="20676D29">
            <w:pPr>
              <w:rPr>
                <w:rFonts w:hint="eastAsia"/>
              </w:rPr>
            </w:pPr>
          </w:p>
          <w:p w14:paraId="1DEE403C">
            <w:pPr>
              <w:rPr>
                <w:rFonts w:hint="eastAsia"/>
              </w:rPr>
            </w:pPr>
          </w:p>
          <w:p w14:paraId="007238BC">
            <w:pPr>
              <w:rPr>
                <w:rFonts w:hint="eastAsia"/>
              </w:rPr>
            </w:pPr>
          </w:p>
        </w:tc>
      </w:tr>
      <w:tr w14:paraId="4F9AC3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71" w:hRule="atLeast"/>
          <w:jc w:val="center"/>
        </w:trPr>
        <w:tc>
          <w:tcPr>
            <w:tcW w:w="714" w:type="dxa"/>
            <w:vAlign w:val="center"/>
          </w:tcPr>
          <w:p w14:paraId="24308F87">
            <w:pPr>
              <w:pStyle w:val="21"/>
              <w:adjustRightInd w:val="0"/>
              <w:snapToGrid w:val="0"/>
              <w:spacing w:before="0" w:beforeAutospacing="0" w:after="0" w:afterAutospacing="0" w:line="360" w:lineRule="auto"/>
              <w:jc w:val="center"/>
              <w:rPr>
                <w:rFonts w:cs="宋体"/>
                <w:sz w:val="21"/>
                <w:szCs w:val="21"/>
              </w:rPr>
            </w:pPr>
            <w:r>
              <w:rPr>
                <w:rFonts w:hint="eastAsia" w:cs="宋体"/>
                <w:szCs w:val="24"/>
              </w:rPr>
              <w:t>工艺流程和产排污环节</w:t>
            </w:r>
          </w:p>
        </w:tc>
        <w:tc>
          <w:tcPr>
            <w:tcW w:w="8346" w:type="dxa"/>
          </w:tcPr>
          <w:p w14:paraId="4C26CAE9">
            <w:pPr>
              <w:adjustRightInd w:val="0"/>
              <w:snapToGrid w:val="0"/>
              <w:spacing w:line="360" w:lineRule="auto"/>
              <w:rPr>
                <w:rFonts w:hint="eastAsia" w:ascii="宋体" w:hAnsi="宋体"/>
                <w:b/>
                <w:sz w:val="24"/>
              </w:rPr>
            </w:pPr>
            <w:r>
              <w:rPr>
                <w:rFonts w:hint="eastAsia" w:ascii="宋体" w:hAnsi="宋体"/>
                <w:b/>
                <w:sz w:val="24"/>
              </w:rPr>
              <w:t>2.8本项目施工期主要工艺流程及产排污环节</w:t>
            </w:r>
          </w:p>
          <w:p w14:paraId="49347CC1">
            <w:pPr>
              <w:adjustRightInd w:val="0"/>
              <w:snapToGrid w:val="0"/>
              <w:spacing w:line="360" w:lineRule="auto"/>
              <w:ind w:firstLine="480" w:firstLineChars="200"/>
              <w:rPr>
                <w:rFonts w:ascii="宋体" w:hAnsi="宋体"/>
                <w:bCs/>
                <w:sz w:val="24"/>
              </w:rPr>
            </w:pPr>
            <w:r>
              <w:rPr>
                <w:rFonts w:ascii="宋体" w:hAnsi="宋体"/>
                <w:bCs/>
                <w:sz w:val="24"/>
              </w:rPr>
              <w:t>拟建项目包含加油棚、站房、工艺管线、设备安装等建设内容。主要施工流程如下：</w:t>
            </w:r>
          </w:p>
          <w:p w14:paraId="2C6F0D55">
            <w:pPr>
              <w:adjustRightInd w:val="0"/>
              <w:snapToGrid w:val="0"/>
              <w:spacing w:line="360" w:lineRule="auto"/>
              <w:jc w:val="center"/>
              <w:rPr>
                <w:rFonts w:ascii="宋体" w:hAnsi="宋体"/>
                <w:bCs/>
                <w:sz w:val="24"/>
              </w:rPr>
            </w:pPr>
            <w:r>
              <w:drawing>
                <wp:inline distT="0" distB="0" distL="0" distR="0">
                  <wp:extent cx="4287520" cy="1828800"/>
                  <wp:effectExtent l="19050" t="0" r="0" b="0"/>
                  <wp:docPr id="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5"/>
                          <pic:cNvPicPr>
                            <a:picLocks noChangeAspect="1" noChangeArrowheads="1"/>
                          </pic:cNvPicPr>
                        </pic:nvPicPr>
                        <pic:blipFill>
                          <a:blip r:embed="rId9"/>
                          <a:srcRect/>
                          <a:stretch>
                            <a:fillRect/>
                          </a:stretch>
                        </pic:blipFill>
                        <pic:spPr>
                          <a:xfrm>
                            <a:off x="0" y="0"/>
                            <a:ext cx="4287520" cy="1828800"/>
                          </a:xfrm>
                          <a:prstGeom prst="rect">
                            <a:avLst/>
                          </a:prstGeom>
                          <a:noFill/>
                          <a:ln w="9525" cmpd="sng">
                            <a:noFill/>
                            <a:miter lim="800000"/>
                            <a:headEnd/>
                            <a:tailEnd/>
                          </a:ln>
                          <a:effectLst/>
                        </pic:spPr>
                      </pic:pic>
                    </a:graphicData>
                  </a:graphic>
                </wp:inline>
              </w:drawing>
            </w:r>
          </w:p>
          <w:p w14:paraId="54DDBFF0">
            <w:pPr>
              <w:adjustRightInd w:val="0"/>
              <w:snapToGrid w:val="0"/>
              <w:spacing w:line="360" w:lineRule="auto"/>
              <w:jc w:val="center"/>
              <w:rPr>
                <w:rFonts w:hint="eastAsia" w:ascii="宋体" w:hAnsi="宋体"/>
                <w:b/>
                <w:sz w:val="24"/>
              </w:rPr>
            </w:pPr>
            <w:r>
              <w:rPr>
                <w:rFonts w:ascii="宋体" w:hAnsi="宋体"/>
                <w:b/>
                <w:sz w:val="24"/>
              </w:rPr>
              <w:t>图</w:t>
            </w:r>
            <w:r>
              <w:rPr>
                <w:rFonts w:hint="eastAsia" w:ascii="宋体" w:hAnsi="宋体"/>
                <w:b/>
                <w:sz w:val="24"/>
              </w:rPr>
              <w:t>2</w:t>
            </w:r>
            <w:r>
              <w:rPr>
                <w:rFonts w:ascii="宋体" w:hAnsi="宋体"/>
                <w:b/>
                <w:sz w:val="24"/>
              </w:rPr>
              <w:t>-</w:t>
            </w:r>
            <w:r>
              <w:rPr>
                <w:rFonts w:hint="eastAsia" w:ascii="宋体" w:hAnsi="宋体"/>
                <w:b/>
                <w:sz w:val="24"/>
              </w:rPr>
              <w:t>2</w:t>
            </w:r>
            <w:r>
              <w:rPr>
                <w:rFonts w:ascii="宋体" w:hAnsi="宋体"/>
                <w:b/>
                <w:sz w:val="24"/>
              </w:rPr>
              <w:t xml:space="preserve"> </w:t>
            </w:r>
            <w:r>
              <w:rPr>
                <w:rFonts w:hint="eastAsia" w:ascii="宋体" w:hAnsi="宋体"/>
                <w:b/>
                <w:sz w:val="24"/>
              </w:rPr>
              <w:t xml:space="preserve"> </w:t>
            </w:r>
            <w:r>
              <w:rPr>
                <w:rFonts w:ascii="宋体" w:hAnsi="宋体"/>
                <w:b/>
                <w:sz w:val="24"/>
              </w:rPr>
              <w:t>项目施工工艺流程及产污环节图</w:t>
            </w:r>
          </w:p>
          <w:p w14:paraId="50AECBBE">
            <w:pPr>
              <w:autoSpaceDE w:val="0"/>
              <w:autoSpaceDN w:val="0"/>
              <w:adjustRightInd w:val="0"/>
              <w:snapToGrid w:val="0"/>
              <w:spacing w:line="360" w:lineRule="auto"/>
              <w:ind w:firstLine="480" w:firstLineChars="200"/>
              <w:rPr>
                <w:rFonts w:ascii="宋体" w:hAnsi="宋体"/>
                <w:bCs/>
                <w:sz w:val="24"/>
              </w:rPr>
            </w:pPr>
            <w:r>
              <w:rPr>
                <w:rFonts w:ascii="宋体" w:hAnsi="宋体"/>
                <w:bCs/>
                <w:sz w:val="24"/>
              </w:rPr>
              <w:t>项目建设工期约</w:t>
            </w:r>
            <w:r>
              <w:rPr>
                <w:rFonts w:ascii="宋体" w:hAnsi="宋体"/>
                <w:bCs/>
                <w:color w:val="000000"/>
                <w:sz w:val="24"/>
              </w:rPr>
              <w:t>为</w:t>
            </w:r>
            <w:r>
              <w:rPr>
                <w:rFonts w:hint="eastAsia" w:ascii="宋体" w:hAnsi="宋体"/>
                <w:bCs/>
                <w:color w:val="000000"/>
                <w:sz w:val="24"/>
              </w:rPr>
              <w:t>5</w:t>
            </w:r>
            <w:r>
              <w:rPr>
                <w:rFonts w:ascii="宋体" w:hAnsi="宋体"/>
                <w:bCs/>
                <w:color w:val="000000"/>
                <w:sz w:val="24"/>
              </w:rPr>
              <w:t>个月</w:t>
            </w:r>
            <w:r>
              <w:rPr>
                <w:rFonts w:ascii="宋体" w:hAnsi="宋体"/>
                <w:bCs/>
                <w:sz w:val="24"/>
              </w:rPr>
              <w:t>，项目平场后不设置施工营地，临时施工区主要包括堆料场、沉砂池等。</w:t>
            </w:r>
          </w:p>
          <w:p w14:paraId="2923D5E0">
            <w:pPr>
              <w:autoSpaceDE w:val="0"/>
              <w:autoSpaceDN w:val="0"/>
              <w:adjustRightInd w:val="0"/>
              <w:snapToGrid w:val="0"/>
              <w:spacing w:line="360" w:lineRule="auto"/>
              <w:ind w:firstLine="480" w:firstLineChars="200"/>
              <w:rPr>
                <w:rFonts w:ascii="宋体" w:hAnsi="宋体"/>
                <w:bCs/>
                <w:sz w:val="24"/>
              </w:rPr>
            </w:pPr>
            <w:r>
              <w:rPr>
                <w:rFonts w:ascii="宋体" w:hAnsi="宋体"/>
                <w:bCs/>
                <w:sz w:val="24"/>
              </w:rPr>
              <w:t>施工期主要污染物为燃油动力机械的燃油废气、施工粉尘、施工生产废水、噪声、土石方和建筑垃圾，以及施工人员生活污水和生活垃圾等。</w:t>
            </w:r>
          </w:p>
          <w:p w14:paraId="3FC05590">
            <w:pPr>
              <w:adjustRightInd w:val="0"/>
              <w:snapToGrid w:val="0"/>
              <w:spacing w:line="360" w:lineRule="auto"/>
              <w:rPr>
                <w:rFonts w:hint="eastAsia" w:ascii="宋体" w:hAnsi="宋体"/>
                <w:b/>
                <w:sz w:val="24"/>
              </w:rPr>
            </w:pPr>
            <w:r>
              <w:rPr>
                <w:rFonts w:hint="eastAsia" w:ascii="宋体" w:hAnsi="宋体"/>
                <w:b/>
                <w:sz w:val="24"/>
              </w:rPr>
              <w:t>2.9本项目营运期主要工艺流程及产排污环节</w:t>
            </w:r>
          </w:p>
          <w:p w14:paraId="4D126FF9">
            <w:pPr>
              <w:adjustRightInd w:val="0"/>
              <w:snapToGrid w:val="0"/>
              <w:spacing w:line="360" w:lineRule="auto"/>
              <w:ind w:firstLine="480" w:firstLineChars="200"/>
              <w:rPr>
                <w:rFonts w:hint="eastAsia" w:ascii="宋体" w:hAnsi="宋体"/>
                <w:bCs/>
                <w:sz w:val="24"/>
              </w:rPr>
            </w:pPr>
            <w:r>
              <w:rPr>
                <w:rFonts w:hint="eastAsia" w:ascii="宋体" w:hAnsi="宋体"/>
                <w:bCs/>
                <w:sz w:val="24"/>
              </w:rPr>
              <w:t>本项目为加油站项目，营运期主要为过往车辆加油。加油工艺成熟，主要包括成品油进站卸油、储油和给过往车辆加油等过程。首先由油罐车将油料卸载至站内油罐，采用加油机计量将油料加入车辆油箱。储油罐用于储存油料，从而保证加油站不会出现脱销现象。</w:t>
            </w:r>
          </w:p>
          <w:p w14:paraId="1879D0FE">
            <w:pPr>
              <w:snapToGrid w:val="0"/>
              <w:spacing w:line="360" w:lineRule="auto"/>
              <w:ind w:firstLine="454"/>
              <w:rPr>
                <w:rFonts w:hint="eastAsia" w:ascii="宋体" w:hAnsi="宋体"/>
                <w:bCs/>
                <w:sz w:val="24"/>
              </w:rPr>
            </w:pPr>
            <w:r>
              <w:rPr>
                <w:rFonts w:hint="eastAsia" w:ascii="宋体" w:hAnsi="宋体"/>
                <w:bCs/>
                <w:sz w:val="24"/>
              </w:rPr>
              <w:t>本项目汽油和柴油主要工艺及产污环节流程图分别见图2-3和图2-6。</w:t>
            </w:r>
          </w:p>
          <w:p w14:paraId="71ACCB16">
            <w:pPr>
              <w:adjustRightInd w:val="0"/>
              <w:snapToGrid w:val="0"/>
              <w:spacing w:line="360" w:lineRule="auto"/>
              <w:ind w:firstLine="482" w:firstLineChars="200"/>
              <w:rPr>
                <w:rFonts w:hint="eastAsia"/>
                <w:b/>
                <w:bCs/>
                <w:sz w:val="24"/>
              </w:rPr>
            </w:pPr>
            <w:r>
              <w:rPr>
                <w:b/>
                <w:bCs/>
                <w:sz w:val="24"/>
              </w:rPr>
              <w:t>汽油加油工艺流程说明：</w:t>
            </w:r>
          </w:p>
          <w:p w14:paraId="2000AE3F">
            <w:pPr>
              <w:pStyle w:val="2"/>
              <w:rPr>
                <w:rFonts w:hint="eastAsia"/>
              </w:rPr>
            </w:pPr>
          </w:p>
          <w:p w14:paraId="71F735EE">
            <w:pPr>
              <w:rPr>
                <w:rFonts w:hint="eastAsia"/>
              </w:rPr>
            </w:pPr>
          </w:p>
          <w:p w14:paraId="29FDBEE4">
            <w:pPr>
              <w:pStyle w:val="2"/>
              <w:rPr>
                <w:rFonts w:hint="eastAsia"/>
              </w:rPr>
            </w:pPr>
          </w:p>
          <w:p w14:paraId="68293453">
            <w:pPr>
              <w:rPr>
                <w:rFonts w:hint="eastAsia"/>
              </w:rPr>
            </w:pPr>
          </w:p>
          <w:p w14:paraId="01B5514D">
            <w:pPr>
              <w:pStyle w:val="2"/>
              <w:rPr>
                <w:rFonts w:hint="eastAsia"/>
              </w:rPr>
            </w:pPr>
          </w:p>
          <w:p w14:paraId="65B3E09C">
            <w:pPr>
              <w:rPr>
                <w:rFonts w:hint="eastAsia"/>
              </w:rPr>
            </w:pPr>
          </w:p>
          <w:p w14:paraId="5E106CF8">
            <w:pPr>
              <w:rPr>
                <w:rFonts w:hint="eastAsia"/>
              </w:rPr>
            </w:pPr>
          </w:p>
          <w:p w14:paraId="63472271">
            <w:pPr>
              <w:rPr>
                <w:rFonts w:hint="eastAsia"/>
              </w:rPr>
            </w:pPr>
          </w:p>
          <w:p w14:paraId="47714275">
            <w:pPr>
              <w:rPr>
                <w:rFonts w:hint="eastAsia"/>
              </w:rPr>
            </w:pPr>
          </w:p>
          <w:p w14:paraId="30E3FF9C">
            <w:pPr>
              <w:rPr>
                <w:rFonts w:hint="eastAsia"/>
              </w:rPr>
            </w:pPr>
          </w:p>
          <w:p w14:paraId="343BB787">
            <w:pPr>
              <w:rPr>
                <w:rFonts w:hint="eastAsia"/>
              </w:rPr>
            </w:pPr>
          </w:p>
          <w:p w14:paraId="63ACB38F">
            <w:pPr>
              <w:snapToGrid w:val="0"/>
              <w:spacing w:line="360" w:lineRule="auto"/>
              <w:jc w:val="center"/>
              <w:rPr>
                <w:rFonts w:hint="eastAsia" w:ascii="宋体" w:hAnsi="宋体"/>
                <w:bCs/>
                <w:sz w:val="24"/>
              </w:rPr>
            </w:pPr>
            <w:r>
              <w:drawing>
                <wp:inline distT="0" distB="0" distL="0" distR="0">
                  <wp:extent cx="4891405" cy="3821430"/>
                  <wp:effectExtent l="19050" t="0" r="4445" b="0"/>
                  <wp:docPr id="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6"/>
                          <pic:cNvPicPr>
                            <a:picLocks noChangeAspect="1" noChangeArrowheads="1"/>
                          </pic:cNvPicPr>
                        </pic:nvPicPr>
                        <pic:blipFill>
                          <a:blip r:embed="rId10"/>
                          <a:srcRect/>
                          <a:stretch>
                            <a:fillRect/>
                          </a:stretch>
                        </pic:blipFill>
                        <pic:spPr>
                          <a:xfrm>
                            <a:off x="0" y="0"/>
                            <a:ext cx="4891405" cy="3821430"/>
                          </a:xfrm>
                          <a:prstGeom prst="rect">
                            <a:avLst/>
                          </a:prstGeom>
                          <a:noFill/>
                          <a:ln w="9525" cmpd="sng">
                            <a:noFill/>
                            <a:miter lim="800000"/>
                            <a:headEnd/>
                            <a:tailEnd/>
                          </a:ln>
                          <a:effectLst/>
                        </pic:spPr>
                      </pic:pic>
                    </a:graphicData>
                  </a:graphic>
                </wp:inline>
              </w:drawing>
            </w:r>
          </w:p>
          <w:p w14:paraId="624070A8">
            <w:pPr>
              <w:snapToGrid w:val="0"/>
              <w:spacing w:line="360" w:lineRule="auto"/>
              <w:jc w:val="center"/>
              <w:rPr>
                <w:rFonts w:hint="eastAsia" w:ascii="宋体" w:hAnsi="宋体"/>
                <w:b/>
                <w:sz w:val="24"/>
              </w:rPr>
            </w:pPr>
            <w:r>
              <w:rPr>
                <w:rFonts w:hint="eastAsia" w:ascii="宋体" w:hAnsi="宋体"/>
                <w:b/>
                <w:sz w:val="24"/>
              </w:rPr>
              <w:t>图2-3  营运期汽油工艺流程及产污环节</w:t>
            </w:r>
          </w:p>
          <w:p w14:paraId="7DCE940F">
            <w:pPr>
              <w:spacing w:line="360" w:lineRule="auto"/>
              <w:ind w:firstLine="480" w:firstLineChars="200"/>
              <w:rPr>
                <w:rFonts w:hint="eastAsia"/>
                <w:sz w:val="24"/>
              </w:rPr>
            </w:pPr>
            <w:r>
              <w:rPr>
                <w:sz w:val="24"/>
              </w:rPr>
              <w:t>①卸油过程：拟建项目油品由油罐车将</w:t>
            </w:r>
            <w:r>
              <w:rPr>
                <w:rFonts w:hint="eastAsia"/>
                <w:sz w:val="24"/>
              </w:rPr>
              <w:t>汽油经密闭卸油点</w:t>
            </w:r>
            <w:r>
              <w:rPr>
                <w:sz w:val="24"/>
              </w:rPr>
              <w:t>输送至</w:t>
            </w:r>
            <w:r>
              <w:rPr>
                <w:rFonts w:hint="eastAsia"/>
                <w:sz w:val="24"/>
              </w:rPr>
              <w:t>汽油</w:t>
            </w:r>
            <w:r>
              <w:rPr>
                <w:sz w:val="24"/>
              </w:rPr>
              <w:t>储油罐中。项目</w:t>
            </w:r>
            <w:r>
              <w:rPr>
                <w:rFonts w:hint="eastAsia"/>
                <w:sz w:val="24"/>
              </w:rPr>
              <w:t>埋地油罐</w:t>
            </w:r>
            <w:r>
              <w:rPr>
                <w:sz w:val="24"/>
              </w:rPr>
              <w:t>设置</w:t>
            </w:r>
            <w:r>
              <w:rPr>
                <w:rFonts w:hint="eastAsia"/>
                <w:sz w:val="24"/>
              </w:rPr>
              <w:t>卸油油气回收系统（</w:t>
            </w:r>
            <w:r>
              <w:rPr>
                <w:sz w:val="24"/>
              </w:rPr>
              <w:t>一次油气回收</w:t>
            </w:r>
            <w:r>
              <w:rPr>
                <w:rFonts w:hint="eastAsia"/>
                <w:sz w:val="24"/>
              </w:rPr>
              <w:t>系统）</w:t>
            </w:r>
            <w:r>
              <w:rPr>
                <w:sz w:val="24"/>
              </w:rPr>
              <w:t>装置，</w:t>
            </w:r>
            <w:r>
              <w:rPr>
                <w:rFonts w:hint="eastAsia"/>
                <w:sz w:val="24"/>
              </w:rPr>
              <w:t>对汽油进行卸油时产生的油气进行回收。</w:t>
            </w:r>
            <w:r>
              <w:rPr>
                <w:sz w:val="24"/>
              </w:rPr>
              <w:t>主要工作原理为在油罐车卸油过程中，储油车内压力减小，地下储罐内压力增加，地下储罐与油罐车内的压力差，使卸油过程中挥发的油气通过管线密闭回到油罐车内，运回储油库进行处理，从而达到油气收集的目的。加油站和油罐车均安装卸油回气快速接头，油罐车同时配备带快速接头的软管。卸油过程罐车与</w:t>
            </w:r>
            <w:r>
              <w:rPr>
                <w:rFonts w:hint="eastAsia"/>
                <w:sz w:val="24"/>
              </w:rPr>
              <w:t>埋地</w:t>
            </w:r>
            <w:r>
              <w:rPr>
                <w:sz w:val="24"/>
              </w:rPr>
              <w:t>油罐内油气气压基本平衡，气液等体积置换，卸油过程管道密闭，卸油油气回收效率可达95%。</w:t>
            </w:r>
          </w:p>
          <w:p w14:paraId="75407F3D">
            <w:pPr>
              <w:pStyle w:val="2"/>
              <w:rPr>
                <w:rFonts w:hint="eastAsia"/>
              </w:rPr>
            </w:pPr>
          </w:p>
          <w:p w14:paraId="5C08FC56">
            <w:pPr>
              <w:rPr>
                <w:rFonts w:hint="eastAsia"/>
              </w:rPr>
            </w:pPr>
          </w:p>
          <w:p w14:paraId="3CA90533">
            <w:pPr>
              <w:pStyle w:val="2"/>
              <w:rPr>
                <w:rFonts w:hint="eastAsia"/>
              </w:rPr>
            </w:pPr>
          </w:p>
          <w:p w14:paraId="798234EB">
            <w:pPr>
              <w:rPr>
                <w:rFonts w:hint="eastAsia"/>
              </w:rPr>
            </w:pPr>
          </w:p>
          <w:p w14:paraId="322656A7">
            <w:pPr>
              <w:pStyle w:val="2"/>
              <w:rPr>
                <w:rFonts w:hint="eastAsia"/>
              </w:rPr>
            </w:pPr>
          </w:p>
          <w:p w14:paraId="45C5B8D8">
            <w:pPr>
              <w:pStyle w:val="2"/>
              <w:rPr>
                <w:rFonts w:hint="eastAsia"/>
              </w:rPr>
            </w:pPr>
          </w:p>
          <w:p w14:paraId="3EB5912B">
            <w:pPr>
              <w:pStyle w:val="2"/>
              <w:rPr>
                <w:rFonts w:hint="eastAsia"/>
              </w:rPr>
            </w:pPr>
          </w:p>
          <w:p w14:paraId="6DA83C43"/>
          <w:p w14:paraId="1AACE3AC">
            <w:pPr>
              <w:adjustRightInd w:val="0"/>
              <w:spacing w:line="360" w:lineRule="auto"/>
              <w:jc w:val="center"/>
              <w:rPr>
                <w:kern w:val="24"/>
                <w:sz w:val="24"/>
                <w:szCs w:val="20"/>
              </w:rPr>
            </w:pPr>
            <w:r>
              <w:drawing>
                <wp:inline distT="0" distB="0" distL="0" distR="0">
                  <wp:extent cx="5063490" cy="2294890"/>
                  <wp:effectExtent l="19050" t="0" r="3810" b="0"/>
                  <wp:docPr id="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7"/>
                          <pic:cNvPicPr>
                            <a:picLocks noChangeAspect="1" noChangeArrowheads="1"/>
                          </pic:cNvPicPr>
                        </pic:nvPicPr>
                        <pic:blipFill>
                          <a:blip r:embed="rId11"/>
                          <a:srcRect/>
                          <a:stretch>
                            <a:fillRect/>
                          </a:stretch>
                        </pic:blipFill>
                        <pic:spPr>
                          <a:xfrm>
                            <a:off x="0" y="0"/>
                            <a:ext cx="5063490" cy="2294890"/>
                          </a:xfrm>
                          <a:prstGeom prst="rect">
                            <a:avLst/>
                          </a:prstGeom>
                          <a:noFill/>
                          <a:ln w="9525" cmpd="sng">
                            <a:noFill/>
                            <a:miter lim="800000"/>
                            <a:headEnd/>
                            <a:tailEnd/>
                          </a:ln>
                          <a:effectLst/>
                        </pic:spPr>
                      </pic:pic>
                    </a:graphicData>
                  </a:graphic>
                </wp:inline>
              </w:drawing>
            </w:r>
          </w:p>
          <w:p w14:paraId="2128FD9D">
            <w:pPr>
              <w:adjustRightInd w:val="0"/>
              <w:spacing w:line="360" w:lineRule="auto"/>
              <w:jc w:val="center"/>
              <w:rPr>
                <w:b/>
                <w:bCs/>
                <w:kern w:val="24"/>
                <w:sz w:val="24"/>
                <w:szCs w:val="20"/>
              </w:rPr>
            </w:pPr>
            <w:r>
              <w:rPr>
                <w:rFonts w:hint="eastAsia"/>
                <w:b/>
                <w:bCs/>
                <w:kern w:val="24"/>
                <w:sz w:val="24"/>
                <w:szCs w:val="20"/>
              </w:rPr>
              <w:t>图2-4  二次油气回收系统原理示意图</w:t>
            </w:r>
          </w:p>
          <w:p w14:paraId="7A111BBF">
            <w:pPr>
              <w:adjustRightInd w:val="0"/>
              <w:snapToGrid w:val="0"/>
              <w:spacing w:line="360" w:lineRule="auto"/>
              <w:ind w:firstLine="482" w:firstLineChars="200"/>
              <w:rPr>
                <w:sz w:val="24"/>
              </w:rPr>
            </w:pPr>
            <w:r>
              <w:rPr>
                <w:b/>
                <w:bCs/>
                <w:sz w:val="24"/>
              </w:rPr>
              <w:t>二次油气回收系统：</w:t>
            </w:r>
            <w:r>
              <w:rPr>
                <w:sz w:val="24"/>
              </w:rPr>
              <w:t>项目汽油加油机设置分散式回收系统。油气回收系统回收效率90%，其原理为：通过真空泵使加油枪产生一定真空度，将加油过程中产生的油气通过油气回收加油枪及回收管线等设备抽回汽油储罐内，由于加油机抽取一定真空度，因此加油油气回收系统按卸出1L汽油，回收1.2L油气的比例进行油气回收，由回收枪再通过和同轴皮管、油气回收管等油气回收设备将原本由汽车油箱溢散于大气中的油气进行回收。</w:t>
            </w:r>
          </w:p>
          <w:p w14:paraId="0524FF01">
            <w:pPr>
              <w:autoSpaceDE w:val="0"/>
              <w:autoSpaceDN w:val="0"/>
              <w:spacing w:line="360" w:lineRule="auto"/>
              <w:ind w:firstLine="454"/>
              <w:rPr>
                <w:sz w:val="24"/>
              </w:rPr>
            </w:pPr>
            <w:r>
              <w:rPr>
                <w:sz w:val="24"/>
              </w:rPr>
              <w:t>②储油过程：</w:t>
            </w:r>
            <w:r>
              <w:rPr>
                <w:bCs/>
                <w:sz w:val="24"/>
              </w:rPr>
              <w:t>储油罐采用</w:t>
            </w:r>
            <w:r>
              <w:rPr>
                <w:rFonts w:hint="eastAsia"/>
                <w:bCs/>
                <w:sz w:val="24"/>
              </w:rPr>
              <w:t>埋地</w:t>
            </w:r>
            <w:r>
              <w:rPr>
                <w:bCs/>
                <w:sz w:val="24"/>
              </w:rPr>
              <w:t>式储存，油罐车送来接卸后的油品在相应的油罐内储存。</w:t>
            </w:r>
            <w:r>
              <w:rPr>
                <w:sz w:val="24"/>
              </w:rPr>
              <w:t>储油罐一</w:t>
            </w:r>
            <w:r>
              <w:rPr>
                <w:color w:val="000000"/>
                <w:sz w:val="24"/>
              </w:rPr>
              <w:t>般5年清</w:t>
            </w:r>
            <w:r>
              <w:rPr>
                <w:sz w:val="24"/>
              </w:rPr>
              <w:t>理一次，</w:t>
            </w:r>
            <w:r>
              <w:rPr>
                <w:rFonts w:hint="eastAsia"/>
                <w:sz w:val="24"/>
              </w:rPr>
              <w:t>清罐由专业资质公司进行，</w:t>
            </w:r>
            <w:r>
              <w:rPr>
                <w:sz w:val="24"/>
              </w:rPr>
              <w:t>清罐时将产生</w:t>
            </w:r>
            <w:r>
              <w:rPr>
                <w:bCs/>
                <w:sz w:val="24"/>
              </w:rPr>
              <w:t>含油废水、含油废渣、伴生污染物、清洗废液，统称清罐废物。</w:t>
            </w:r>
          </w:p>
          <w:p w14:paraId="7CEAC447">
            <w:pPr>
              <w:autoSpaceDE w:val="0"/>
              <w:autoSpaceDN w:val="0"/>
              <w:spacing w:line="360" w:lineRule="auto"/>
              <w:ind w:firstLine="454"/>
              <w:rPr>
                <w:bCs/>
                <w:sz w:val="24"/>
              </w:rPr>
            </w:pPr>
            <w:r>
              <w:rPr>
                <w:sz w:val="24"/>
              </w:rPr>
              <w:t>③加油过程：待加油车辆进入指定场地后，通过潜油泵将汽油从地下储油罐抽出，通过加油机给车辆油箱加油，加油车辆油箱随着汽油的注入，车辆油箱内产生的油气逸散至大气中。加油过程产生加油机的运行噪声。加油机设备一般3个月检修一次，检修时产生</w:t>
            </w:r>
            <w:r>
              <w:rPr>
                <w:bCs/>
                <w:sz w:val="24"/>
              </w:rPr>
              <w:t>含油废水、含油废渣、伴生污染物、清洗废液，统称检修废物。</w:t>
            </w:r>
          </w:p>
          <w:p w14:paraId="441AE72A">
            <w:pPr>
              <w:adjustRightInd w:val="0"/>
              <w:snapToGrid w:val="0"/>
              <w:spacing w:line="360" w:lineRule="auto"/>
              <w:ind w:firstLine="454"/>
              <w:rPr>
                <w:sz w:val="24"/>
              </w:rPr>
            </w:pPr>
            <w:r>
              <w:rPr>
                <w:sz w:val="24"/>
              </w:rPr>
              <w:t>项目</w:t>
            </w:r>
            <w:r>
              <w:rPr>
                <w:rFonts w:hint="eastAsia"/>
                <w:sz w:val="24"/>
              </w:rPr>
              <w:t>设置分散式</w:t>
            </w:r>
            <w:r>
              <w:rPr>
                <w:sz w:val="24"/>
              </w:rPr>
              <w:t>油气回收系统（即二次油气回收系统）对逸散油气进行回收，经回收后</w:t>
            </w:r>
            <w:r>
              <w:rPr>
                <w:kern w:val="0"/>
                <w:sz w:val="24"/>
              </w:rPr>
              <w:t>通过加油车辆油箱接口处逸散至大气环境的油气约占全部油气的10%。</w:t>
            </w:r>
          </w:p>
          <w:p w14:paraId="70A5862F">
            <w:pPr>
              <w:snapToGrid w:val="0"/>
              <w:spacing w:line="360" w:lineRule="auto"/>
              <w:ind w:firstLine="454"/>
              <w:jc w:val="left"/>
              <w:rPr>
                <w:sz w:val="24"/>
              </w:rPr>
            </w:pPr>
            <w:r>
              <w:rPr>
                <w:sz w:val="24"/>
              </w:rPr>
              <w:t>加油油气回收系统工作原理：在加油枪为车辆加油过程中，通过真空泵使加油枪产生一定真空度，将加油过程中加油车辆油箱逸散的油气通过油气回收油枪和同轴皮管、油气回收管等油气回收设备</w:t>
            </w:r>
            <w:r>
              <w:rPr>
                <w:rFonts w:hint="eastAsia"/>
                <w:sz w:val="24"/>
              </w:rPr>
              <w:t>进行回收。主要针对92#、95#汽油进行回收，加油机回收的92#、95#汽油全部</w:t>
            </w:r>
            <w:r>
              <w:rPr>
                <w:sz w:val="24"/>
              </w:rPr>
              <w:t>抽回至地下储油罐内。由于加油机抽取一定真空度，因此二次油气回收系统按卸出1L汽油，回收1.2L油气的比例，即1.2：1的汽液比进行油气回收，回收效率约90%，回收后使油罐内平衡后多余油气经通气立管外排。</w:t>
            </w:r>
          </w:p>
          <w:p w14:paraId="00C654AA">
            <w:pPr>
              <w:adjustRightInd w:val="0"/>
              <w:spacing w:line="360" w:lineRule="auto"/>
              <w:jc w:val="center"/>
              <w:rPr>
                <w:kern w:val="24"/>
                <w:sz w:val="24"/>
                <w:szCs w:val="20"/>
              </w:rPr>
            </w:pPr>
            <w:r>
              <w:drawing>
                <wp:inline distT="0" distB="0" distL="0" distR="0">
                  <wp:extent cx="5089525" cy="2130425"/>
                  <wp:effectExtent l="19050" t="0" r="0" b="0"/>
                  <wp:docPr id="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9"/>
                          <pic:cNvPicPr>
                            <a:picLocks noChangeAspect="1" noChangeArrowheads="1"/>
                          </pic:cNvPicPr>
                        </pic:nvPicPr>
                        <pic:blipFill>
                          <a:blip r:embed="rId12"/>
                          <a:srcRect/>
                          <a:stretch>
                            <a:fillRect/>
                          </a:stretch>
                        </pic:blipFill>
                        <pic:spPr>
                          <a:xfrm>
                            <a:off x="0" y="0"/>
                            <a:ext cx="5089525" cy="2130425"/>
                          </a:xfrm>
                          <a:prstGeom prst="rect">
                            <a:avLst/>
                          </a:prstGeom>
                          <a:noFill/>
                          <a:ln w="9525" cmpd="sng">
                            <a:noFill/>
                            <a:miter lim="800000"/>
                            <a:headEnd/>
                            <a:tailEnd/>
                          </a:ln>
                          <a:effectLst/>
                        </pic:spPr>
                      </pic:pic>
                    </a:graphicData>
                  </a:graphic>
                </wp:inline>
              </w:drawing>
            </w:r>
          </w:p>
          <w:p w14:paraId="5CABBF0D">
            <w:pPr>
              <w:adjustRightInd w:val="0"/>
              <w:spacing w:line="360" w:lineRule="auto"/>
              <w:jc w:val="center"/>
              <w:rPr>
                <w:b/>
                <w:bCs/>
                <w:kern w:val="24"/>
                <w:sz w:val="24"/>
                <w:szCs w:val="20"/>
              </w:rPr>
            </w:pPr>
            <w:r>
              <w:rPr>
                <w:rFonts w:hint="eastAsia"/>
                <w:b/>
                <w:bCs/>
                <w:kern w:val="24"/>
                <w:sz w:val="24"/>
                <w:szCs w:val="20"/>
              </w:rPr>
              <w:t>图2-5  一次油气回收系统原理示意图</w:t>
            </w:r>
          </w:p>
          <w:p w14:paraId="243F06E9">
            <w:pPr>
              <w:adjustRightInd w:val="0"/>
              <w:spacing w:line="360" w:lineRule="auto"/>
              <w:ind w:firstLine="482" w:firstLineChars="200"/>
              <w:rPr>
                <w:sz w:val="24"/>
              </w:rPr>
            </w:pPr>
            <w:r>
              <w:rPr>
                <w:b/>
                <w:bCs/>
                <w:sz w:val="24"/>
              </w:rPr>
              <w:t>一次油气回收系统：</w:t>
            </w:r>
            <w:r>
              <w:rPr>
                <w:sz w:val="24"/>
              </w:rPr>
              <w:t>汽油卸油时，罐车自带有卸油油气回收密闭系统。卸油油气回收系统回收效率95%，其原理为：卸油时采用密封式泄漏，卸油过程中，储油车内压力减小，地下储罐内压力增加，地下储罐与油罐车内的压力差，使卸油过程中挥发的油气通过导管输送回油罐车内，完成油气循环的卸油过程，回收的油气运回储油库进行处理。</w:t>
            </w:r>
          </w:p>
          <w:p w14:paraId="6A0AFCAB">
            <w:pPr>
              <w:adjustRightInd w:val="0"/>
              <w:spacing w:line="360" w:lineRule="auto"/>
              <w:ind w:left="480"/>
              <w:rPr>
                <w:rFonts w:hint="eastAsia"/>
                <w:sz w:val="24"/>
              </w:rPr>
            </w:pPr>
            <w:r>
              <w:rPr>
                <w:b/>
                <w:bCs/>
                <w:sz w:val="24"/>
              </w:rPr>
              <w:t>柴油加油工艺流程及产污环节说明：</w:t>
            </w:r>
          </w:p>
          <w:p w14:paraId="53E0A442">
            <w:pPr>
              <w:snapToGrid w:val="0"/>
              <w:spacing w:line="360" w:lineRule="auto"/>
            </w:pPr>
            <w:r>
              <w:drawing>
                <wp:inline distT="0" distB="0" distL="0" distR="0">
                  <wp:extent cx="5339715" cy="1630680"/>
                  <wp:effectExtent l="19050" t="0" r="0" b="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noChangeArrowheads="1"/>
                          </pic:cNvPicPr>
                        </pic:nvPicPr>
                        <pic:blipFill>
                          <a:blip r:embed="rId13"/>
                          <a:srcRect/>
                          <a:stretch>
                            <a:fillRect/>
                          </a:stretch>
                        </pic:blipFill>
                        <pic:spPr>
                          <a:xfrm>
                            <a:off x="0" y="0"/>
                            <a:ext cx="5339715" cy="1630680"/>
                          </a:xfrm>
                          <a:prstGeom prst="rect">
                            <a:avLst/>
                          </a:prstGeom>
                          <a:noFill/>
                          <a:ln w="9525" cmpd="sng">
                            <a:noFill/>
                            <a:miter lim="800000"/>
                            <a:headEnd/>
                            <a:tailEnd/>
                          </a:ln>
                        </pic:spPr>
                      </pic:pic>
                    </a:graphicData>
                  </a:graphic>
                </wp:inline>
              </w:drawing>
            </w:r>
          </w:p>
          <w:p w14:paraId="51224D65">
            <w:pPr>
              <w:adjustRightInd w:val="0"/>
              <w:spacing w:line="360" w:lineRule="auto"/>
              <w:jc w:val="center"/>
              <w:rPr>
                <w:rFonts w:hint="eastAsia"/>
                <w:b/>
                <w:bCs/>
                <w:kern w:val="24"/>
                <w:sz w:val="24"/>
                <w:szCs w:val="20"/>
              </w:rPr>
            </w:pPr>
            <w:r>
              <w:rPr>
                <w:rFonts w:hint="eastAsia"/>
                <w:b/>
                <w:bCs/>
                <w:kern w:val="24"/>
                <w:sz w:val="24"/>
                <w:szCs w:val="20"/>
              </w:rPr>
              <w:t>图2-6  营运期柴油工艺流程及产污环节</w:t>
            </w:r>
          </w:p>
          <w:p w14:paraId="5EE74FE3">
            <w:pPr>
              <w:spacing w:line="360" w:lineRule="auto"/>
              <w:ind w:firstLine="454"/>
              <w:rPr>
                <w:bCs/>
                <w:sz w:val="24"/>
              </w:rPr>
            </w:pPr>
            <w:r>
              <w:rPr>
                <w:sz w:val="24"/>
              </w:rPr>
              <w:t>①卸油过程：</w:t>
            </w:r>
            <w:r>
              <w:rPr>
                <w:sz w:val="24"/>
                <w:szCs w:val="28"/>
              </w:rPr>
              <w:t>拟建项目油品由油罐车将柴油输送至柴油储油罐中。</w:t>
            </w:r>
            <w:r>
              <w:rPr>
                <w:bCs/>
                <w:sz w:val="24"/>
              </w:rPr>
              <w:t>在油罐车卸油过程中，储油车内压力减小，地下储罐内压力增加，地下储罐与油罐车内的压力差，使卸油过程中地下油罐内产生的油气通过立管排放，油罐车内的产生的油气通过呼吸控制阀挥发油气。</w:t>
            </w:r>
            <w:r>
              <w:rPr>
                <w:sz w:val="24"/>
                <w:szCs w:val="28"/>
              </w:rPr>
              <w:pict>
                <v:group id="组合 361" o:spid="_x0000_s1026" o:spt="203" style="position:absolute;left:0pt;margin-left:116.15pt;margin-top:1403.75pt;height:127.55pt;width:273.15pt;z-index:251660288;mso-width-relative:page;mso-height-relative:page;" coordorigin="3928,2465" coordsize="5463,2551203">
                  <o:lock v:ext="edit"/>
                  <v:rect id="Rectangle 897" o:spid="_x0000_s1027" o:spt="1" style="position:absolute;left:3928;top:2473;height:454;width:1134;" coordsize="21600,21600">
                    <v:path/>
                    <v:fill focussize="0,0"/>
                    <v:stroke/>
                    <v:imagedata o:title=""/>
                    <o:lock v:ext="edit"/>
                    <v:textbox inset="0mm,1mm,0mm,1mm">
                      <w:txbxContent>
                        <w:p w14:paraId="424FFB98">
                          <w:pPr>
                            <w:jc w:val="center"/>
                            <w:rPr>
                              <w:rFonts w:ascii="宋体" w:hAnsi="宋体"/>
                              <w:szCs w:val="21"/>
                            </w:rPr>
                          </w:pPr>
                          <w:r>
                            <w:rPr>
                              <w:rFonts w:hint="eastAsia" w:ascii="宋体" w:hAnsi="宋体"/>
                              <w:szCs w:val="21"/>
                            </w:rPr>
                            <w:t>LNG排空</w:t>
                          </w:r>
                        </w:p>
                      </w:txbxContent>
                    </v:textbox>
                  </v:rect>
                  <v:rect id="Rectangle 898" o:spid="_x0000_s1028" o:spt="1" style="position:absolute;left:5779;top:2465;height:454;width:1701;" coordsize="21600,21600">
                    <v:path/>
                    <v:fill focussize="0,0"/>
                    <v:stroke/>
                    <v:imagedata o:title=""/>
                    <o:lock v:ext="edit"/>
                    <v:textbox inset="0mm,1mm,0mm,1mm">
                      <w:txbxContent>
                        <w:p w14:paraId="0CED87AC">
                          <w:pPr>
                            <w:jc w:val="center"/>
                            <w:rPr>
                              <w:rFonts w:ascii="宋体" w:hAnsi="宋体"/>
                              <w:szCs w:val="21"/>
                            </w:rPr>
                          </w:pPr>
                          <w:r>
                            <w:rPr>
                              <w:rFonts w:hint="eastAsia" w:ascii="宋体" w:hAnsi="宋体"/>
                              <w:szCs w:val="21"/>
                            </w:rPr>
                            <w:t>管道泄压</w:t>
                          </w:r>
                        </w:p>
                      </w:txbxContent>
                    </v:textbox>
                  </v:rect>
                  <v:rect id="Rectangle 899" o:spid="_x0000_s1029" o:spt="1" style="position:absolute;left:8232;top:2466;height:454;width:1134;" coordsize="21600,21600">
                    <v:path/>
                    <v:fill focussize="0,0"/>
                    <v:stroke/>
                    <v:imagedata o:title=""/>
                    <o:lock v:ext="edit"/>
                    <v:textbox inset="0mm,1mm,0mm,1mm">
                      <w:txbxContent>
                        <w:p w14:paraId="5AEA0137">
                          <w:pPr>
                            <w:jc w:val="center"/>
                            <w:rPr>
                              <w:rFonts w:ascii="宋体" w:hAnsi="宋体"/>
                              <w:szCs w:val="21"/>
                            </w:rPr>
                          </w:pPr>
                          <w:r>
                            <w:rPr>
                              <w:rFonts w:hint="eastAsia" w:ascii="宋体" w:hAnsi="宋体"/>
                              <w:szCs w:val="21"/>
                            </w:rPr>
                            <w:t>氮气吹扫</w:t>
                          </w:r>
                        </w:p>
                      </w:txbxContent>
                    </v:textbox>
                  </v:rect>
                  <v:rect id="Rectangle 900" o:spid="_x0000_s1030" o:spt="1" style="position:absolute;left:8203;top:3524;height:454;width:1188;" coordsize="21600,21600">
                    <v:path/>
                    <v:fill focussize="0,0"/>
                    <v:stroke/>
                    <v:imagedata o:title=""/>
                    <o:lock v:ext="edit"/>
                    <v:textbox inset="0mm,1mm,0mm,1mm">
                      <w:txbxContent>
                        <w:p w14:paraId="6A0E87FD">
                          <w:pPr>
                            <w:jc w:val="center"/>
                            <w:rPr>
                              <w:rFonts w:ascii="宋体" w:hAnsi="宋体"/>
                              <w:szCs w:val="21"/>
                            </w:rPr>
                          </w:pPr>
                          <w:r>
                            <w:rPr>
                              <w:rFonts w:hint="eastAsia" w:ascii="宋体" w:hAnsi="宋体"/>
                              <w:szCs w:val="21"/>
                            </w:rPr>
                            <w:t>打开阀门</w:t>
                          </w:r>
                        </w:p>
                      </w:txbxContent>
                    </v:textbox>
                  </v:rect>
                  <v:line id="Line 903" o:spid="_x0000_s1031" o:spt="20" style="position:absolute;left:5067;top:2672;height:0;width:720;" coordsize="21600,21600">
                    <v:path arrowok="t"/>
                    <v:fill focussize="0,0"/>
                    <v:stroke endarrow="block"/>
                    <v:imagedata o:title=""/>
                    <o:lock v:ext="edit"/>
                  </v:line>
                  <v:line id="Line 904" o:spid="_x0000_s1032" o:spt="20" style="position:absolute;left:7527;top:2687;height:0;width:721;" coordsize="21600,21600">
                    <v:path arrowok="t"/>
                    <v:fill focussize="0,0"/>
                    <v:stroke endarrow="block"/>
                    <v:imagedata o:title=""/>
                    <o:lock v:ext="edit"/>
                  </v:line>
                  <v:line id="Line 905" o:spid="_x0000_s1033" o:spt="20" style="position:absolute;left:8846;top:2918;height:603;width:1;" coordsize="21600,21600">
                    <v:path arrowok="t"/>
                    <v:fill focussize="0,0"/>
                    <v:stroke endarrow="block"/>
                    <v:imagedata o:title=""/>
                    <o:lock v:ext="edit"/>
                  </v:line>
                  <v:line id="Line 907" o:spid="_x0000_s1034" o:spt="20" style="position:absolute;left:6853;top:4040;height:552;width:1;" coordsize="21600,21600">
                    <v:path arrowok="t"/>
                    <v:fill focussize="0,0"/>
                    <v:stroke dashstyle="dash" endarrow="block"/>
                    <v:imagedata o:title=""/>
                    <o:lock v:ext="edit"/>
                  </v:line>
                  <v:rect id="Rectangle 908" o:spid="_x0000_s1035" o:spt="1" style="position:absolute;left:5577;top:4606;height:410;width:2693;" filled="f" stroked="f" coordsize="21600,21600">
                    <v:path/>
                    <v:fill on="f" focussize="0,0"/>
                    <v:stroke on="f"/>
                    <v:imagedata o:title=""/>
                    <o:lock v:ext="edit"/>
                    <v:textbox>
                      <w:txbxContent>
                        <w:p w14:paraId="7B669F93">
                          <w:pPr>
                            <w:jc w:val="center"/>
                            <w:rPr>
                              <w:rFonts w:ascii="宋体" w:hAnsi="宋体"/>
                              <w:szCs w:val="21"/>
                            </w:rPr>
                          </w:pPr>
                          <w:r>
                            <w:rPr>
                              <w:rFonts w:hint="eastAsia" w:ascii="宋体" w:hAnsi="宋体"/>
                              <w:szCs w:val="21"/>
                            </w:rPr>
                            <w:t>含油废液</w:t>
                          </w:r>
                        </w:p>
                      </w:txbxContent>
                    </v:textbox>
                  </v:rect>
                  <v:rect id="Rectangle 909" o:spid="_x0000_s1036" o:spt="1" style="position:absolute;left:6312;top:3514;height:454;width:1134;" coordsize="21600,21600">
                    <v:path/>
                    <v:fill focussize="0,0"/>
                    <v:stroke/>
                    <v:imagedata o:title=""/>
                    <o:lock v:ext="edit"/>
                    <v:textbox inset="0mm,1mm,0mm,1mm">
                      <w:txbxContent>
                        <w:p w14:paraId="1A11C675">
                          <w:pPr>
                            <w:jc w:val="center"/>
                            <w:rPr>
                              <w:rFonts w:ascii="宋体" w:hAnsi="宋体"/>
                              <w:szCs w:val="21"/>
                            </w:rPr>
                          </w:pPr>
                          <w:r>
                            <w:rPr>
                              <w:rFonts w:hint="eastAsia" w:ascii="宋体" w:hAnsi="宋体"/>
                              <w:szCs w:val="21"/>
                            </w:rPr>
                            <w:t>清洗油罐</w:t>
                          </w:r>
                        </w:p>
                      </w:txbxContent>
                    </v:textbox>
                  </v:rect>
                  <v:rect id="Rectangle 910" o:spid="_x0000_s1037" o:spt="1" style="position:absolute;left:4492;top:3512;height:454;width:1134;" coordsize="21600,21600">
                    <v:path/>
                    <v:fill focussize="0,0"/>
                    <v:stroke/>
                    <v:imagedata o:title=""/>
                    <o:lock v:ext="edit"/>
                    <v:textbox inset="0mm,1mm,0mm,1mm">
                      <w:txbxContent>
                        <w:p w14:paraId="5F06EEFF">
                          <w:pPr>
                            <w:jc w:val="center"/>
                            <w:rPr>
                              <w:rFonts w:ascii="宋体" w:hAnsi="宋体"/>
                              <w:szCs w:val="21"/>
                            </w:rPr>
                          </w:pPr>
                          <w:r>
                            <w:rPr>
                              <w:rFonts w:hint="eastAsia" w:ascii="宋体" w:hAnsi="宋体"/>
                              <w:szCs w:val="21"/>
                            </w:rPr>
                            <w:t>清场</w:t>
                          </w:r>
                        </w:p>
                      </w:txbxContent>
                    </v:textbox>
                  </v:rect>
                  <v:line id="Line 911" o:spid="_x0000_s1038" o:spt="20" style="position:absolute;left:5631;top:3716;height:0;width:675;rotation:11796480f;" coordsize="21600,21600">
                    <v:path arrowok="t"/>
                    <v:fill focussize="0,0"/>
                    <v:stroke endarrow="block"/>
                    <v:imagedata o:title=""/>
                    <o:lock v:ext="edit"/>
                  </v:line>
                  <v:line id="Line 912" o:spid="_x0000_s1039" o:spt="20" style="position:absolute;left:7431;top:3716;height:0;width:720;rotation:11796480f;" coordsize="21600,21600">
                    <v:path arrowok="t"/>
                    <v:fill focussize="0,0"/>
                    <v:stroke endarrow="block"/>
                    <v:imagedata o:title=""/>
                    <o:lock v:ext="edit"/>
                  </v:line>
                </v:group>
              </w:pict>
            </w:r>
          </w:p>
          <w:p w14:paraId="0425A65C">
            <w:pPr>
              <w:tabs>
                <w:tab w:val="left" w:pos="2520"/>
              </w:tabs>
              <w:spacing w:line="360" w:lineRule="auto"/>
              <w:ind w:firstLine="454"/>
              <w:rPr>
                <w:color w:val="000000"/>
                <w:sz w:val="24"/>
              </w:rPr>
            </w:pPr>
            <w:r>
              <w:rPr>
                <w:sz w:val="24"/>
              </w:rPr>
              <w:t>②储油过程：</w:t>
            </w:r>
            <w:r>
              <w:rPr>
                <w:bCs/>
                <w:sz w:val="24"/>
              </w:rPr>
              <w:t>储油罐采用埋</w:t>
            </w:r>
            <w:r>
              <w:rPr>
                <w:rFonts w:hint="eastAsia"/>
                <w:bCs/>
                <w:sz w:val="24"/>
              </w:rPr>
              <w:t>地</w:t>
            </w:r>
            <w:r>
              <w:rPr>
                <w:bCs/>
                <w:sz w:val="24"/>
              </w:rPr>
              <w:t>式储存，油罐车送来接卸后的油品在相应的油罐内储存。</w:t>
            </w:r>
            <w:r>
              <w:rPr>
                <w:color w:val="000000"/>
                <w:sz w:val="24"/>
                <w:szCs w:val="28"/>
              </w:rPr>
              <w:pict>
                <v:group id="_x0000_s1040" o:spid="_x0000_s1040" o:spt="203" style="position:absolute;left:0pt;margin-left:116.15pt;margin-top:1403.75pt;height:127.55pt;width:273.15pt;z-index:251661312;mso-width-relative:page;mso-height-relative:page;" coordorigin="3928,2465" coordsize="5463,2551203">
                  <o:lock v:ext="edit"/>
                  <v:rect id="Rectangle 897" o:spid="_x0000_s1041" o:spt="1" style="position:absolute;left:3928;top:2473;height:454;width:1134;" coordsize="21600,21600">
                    <v:path/>
                    <v:fill focussize="0,0"/>
                    <v:stroke/>
                    <v:imagedata o:title=""/>
                    <o:lock v:ext="edit"/>
                    <v:textbox inset="0mm,1mm,0mm,1mm">
                      <w:txbxContent>
                        <w:p w14:paraId="0FA3573F">
                          <w:pPr>
                            <w:jc w:val="center"/>
                            <w:rPr>
                              <w:rFonts w:ascii="宋体" w:hAnsi="宋体"/>
                              <w:szCs w:val="21"/>
                            </w:rPr>
                          </w:pPr>
                          <w:r>
                            <w:rPr>
                              <w:rFonts w:hint="eastAsia" w:ascii="宋体" w:hAnsi="宋体"/>
                              <w:szCs w:val="21"/>
                            </w:rPr>
                            <w:t>LNG排空</w:t>
                          </w:r>
                        </w:p>
                      </w:txbxContent>
                    </v:textbox>
                  </v:rect>
                  <v:rect id="Rectangle 898" o:spid="_x0000_s1042" o:spt="1" style="position:absolute;left:5779;top:2465;height:454;width:1701;" coordsize="21600,21600">
                    <v:path/>
                    <v:fill focussize="0,0"/>
                    <v:stroke/>
                    <v:imagedata o:title=""/>
                    <o:lock v:ext="edit"/>
                    <v:textbox inset="0mm,1mm,0mm,1mm">
                      <w:txbxContent>
                        <w:p w14:paraId="19327C64">
                          <w:pPr>
                            <w:jc w:val="center"/>
                            <w:rPr>
                              <w:rFonts w:ascii="宋体" w:hAnsi="宋体"/>
                              <w:szCs w:val="21"/>
                            </w:rPr>
                          </w:pPr>
                          <w:r>
                            <w:rPr>
                              <w:rFonts w:hint="eastAsia" w:ascii="宋体" w:hAnsi="宋体"/>
                              <w:szCs w:val="21"/>
                            </w:rPr>
                            <w:t>管道泄压</w:t>
                          </w:r>
                        </w:p>
                      </w:txbxContent>
                    </v:textbox>
                  </v:rect>
                  <v:rect id="Rectangle 899" o:spid="_x0000_s1043" o:spt="1" style="position:absolute;left:8232;top:2466;height:454;width:1134;" coordsize="21600,21600">
                    <v:path/>
                    <v:fill focussize="0,0"/>
                    <v:stroke/>
                    <v:imagedata o:title=""/>
                    <o:lock v:ext="edit"/>
                    <v:textbox inset="0mm,1mm,0mm,1mm">
                      <w:txbxContent>
                        <w:p w14:paraId="0ADFC300">
                          <w:pPr>
                            <w:jc w:val="center"/>
                            <w:rPr>
                              <w:rFonts w:ascii="宋体" w:hAnsi="宋体"/>
                              <w:szCs w:val="21"/>
                            </w:rPr>
                          </w:pPr>
                          <w:r>
                            <w:rPr>
                              <w:rFonts w:hint="eastAsia" w:ascii="宋体" w:hAnsi="宋体"/>
                              <w:szCs w:val="21"/>
                            </w:rPr>
                            <w:t>氮气吹扫</w:t>
                          </w:r>
                        </w:p>
                      </w:txbxContent>
                    </v:textbox>
                  </v:rect>
                  <v:rect id="Rectangle 900" o:spid="_x0000_s1044" o:spt="1" style="position:absolute;left:8203;top:3524;height:454;width:1188;" coordsize="21600,21600">
                    <v:path/>
                    <v:fill focussize="0,0"/>
                    <v:stroke/>
                    <v:imagedata o:title=""/>
                    <o:lock v:ext="edit"/>
                    <v:textbox inset="0mm,1mm,0mm,1mm">
                      <w:txbxContent>
                        <w:p w14:paraId="2D37F097">
                          <w:pPr>
                            <w:jc w:val="center"/>
                            <w:rPr>
                              <w:rFonts w:ascii="宋体" w:hAnsi="宋体"/>
                              <w:szCs w:val="21"/>
                            </w:rPr>
                          </w:pPr>
                          <w:r>
                            <w:rPr>
                              <w:rFonts w:hint="eastAsia" w:ascii="宋体" w:hAnsi="宋体"/>
                              <w:szCs w:val="21"/>
                            </w:rPr>
                            <w:t>打开阀门</w:t>
                          </w:r>
                        </w:p>
                      </w:txbxContent>
                    </v:textbox>
                  </v:rect>
                  <v:line id="Line 903" o:spid="_x0000_s1045" o:spt="20" style="position:absolute;left:5067;top:2672;height:0;width:720;" coordsize="21600,21600">
                    <v:path arrowok="t"/>
                    <v:fill focussize="0,0"/>
                    <v:stroke endarrow="block"/>
                    <v:imagedata o:title=""/>
                    <o:lock v:ext="edit"/>
                  </v:line>
                  <v:line id="Line 904" o:spid="_x0000_s1046" o:spt="20" style="position:absolute;left:7527;top:2687;height:0;width:721;" coordsize="21600,21600">
                    <v:path arrowok="t"/>
                    <v:fill focussize="0,0"/>
                    <v:stroke endarrow="block"/>
                    <v:imagedata o:title=""/>
                    <o:lock v:ext="edit"/>
                  </v:line>
                  <v:line id="Line 905" o:spid="_x0000_s1047" o:spt="20" style="position:absolute;left:8846;top:2918;height:603;width:1;" coordsize="21600,21600">
                    <v:path arrowok="t"/>
                    <v:fill focussize="0,0"/>
                    <v:stroke endarrow="block"/>
                    <v:imagedata o:title=""/>
                    <o:lock v:ext="edit"/>
                  </v:line>
                  <v:line id="Line 907" o:spid="_x0000_s1048" o:spt="20" style="position:absolute;left:6853;top:4040;height:552;width:1;" coordsize="21600,21600">
                    <v:path arrowok="t"/>
                    <v:fill focussize="0,0"/>
                    <v:stroke dashstyle="dash" endarrow="block"/>
                    <v:imagedata o:title=""/>
                    <o:lock v:ext="edit"/>
                  </v:line>
                  <v:rect id="Rectangle 908" o:spid="_x0000_s1049" o:spt="1" style="position:absolute;left:5577;top:4606;height:410;width:2693;" filled="f" stroked="f" coordsize="21600,21600">
                    <v:path/>
                    <v:fill on="f" focussize="0,0"/>
                    <v:stroke on="f"/>
                    <v:imagedata o:title=""/>
                    <o:lock v:ext="edit"/>
                    <v:textbox>
                      <w:txbxContent>
                        <w:p w14:paraId="782686B5">
                          <w:pPr>
                            <w:jc w:val="center"/>
                            <w:rPr>
                              <w:rFonts w:ascii="宋体" w:hAnsi="宋体"/>
                              <w:szCs w:val="21"/>
                            </w:rPr>
                          </w:pPr>
                          <w:r>
                            <w:rPr>
                              <w:rFonts w:hint="eastAsia" w:ascii="宋体" w:hAnsi="宋体"/>
                              <w:szCs w:val="21"/>
                            </w:rPr>
                            <w:t>含油废液</w:t>
                          </w:r>
                        </w:p>
                      </w:txbxContent>
                    </v:textbox>
                  </v:rect>
                  <v:rect id="Rectangle 909" o:spid="_x0000_s1050" o:spt="1" style="position:absolute;left:6312;top:3514;height:454;width:1134;" coordsize="21600,21600">
                    <v:path/>
                    <v:fill focussize="0,0"/>
                    <v:stroke/>
                    <v:imagedata o:title=""/>
                    <o:lock v:ext="edit"/>
                    <v:textbox inset="0mm,1mm,0mm,1mm">
                      <w:txbxContent>
                        <w:p w14:paraId="17AC931A">
                          <w:pPr>
                            <w:jc w:val="center"/>
                            <w:rPr>
                              <w:rFonts w:ascii="宋体" w:hAnsi="宋体"/>
                              <w:szCs w:val="21"/>
                            </w:rPr>
                          </w:pPr>
                          <w:r>
                            <w:rPr>
                              <w:rFonts w:hint="eastAsia" w:ascii="宋体" w:hAnsi="宋体"/>
                              <w:szCs w:val="21"/>
                            </w:rPr>
                            <w:t>清洗油罐</w:t>
                          </w:r>
                        </w:p>
                      </w:txbxContent>
                    </v:textbox>
                  </v:rect>
                  <v:rect id="Rectangle 910" o:spid="_x0000_s1051" o:spt="1" style="position:absolute;left:4492;top:3512;height:454;width:1134;" coordsize="21600,21600">
                    <v:path/>
                    <v:fill focussize="0,0"/>
                    <v:stroke/>
                    <v:imagedata o:title=""/>
                    <o:lock v:ext="edit"/>
                    <v:textbox inset="0mm,1mm,0mm,1mm">
                      <w:txbxContent>
                        <w:p w14:paraId="077B576C">
                          <w:pPr>
                            <w:jc w:val="center"/>
                            <w:rPr>
                              <w:rFonts w:ascii="宋体" w:hAnsi="宋体"/>
                              <w:szCs w:val="21"/>
                            </w:rPr>
                          </w:pPr>
                          <w:r>
                            <w:rPr>
                              <w:rFonts w:hint="eastAsia" w:ascii="宋体" w:hAnsi="宋体"/>
                              <w:szCs w:val="21"/>
                            </w:rPr>
                            <w:t>清场</w:t>
                          </w:r>
                        </w:p>
                      </w:txbxContent>
                    </v:textbox>
                  </v:rect>
                  <v:line id="Line 911" o:spid="_x0000_s1052" o:spt="20" style="position:absolute;left:5631;top:3716;height:0;width:675;rotation:11796480f;" coordsize="21600,21600">
                    <v:path arrowok="t"/>
                    <v:fill focussize="0,0"/>
                    <v:stroke endarrow="block"/>
                    <v:imagedata o:title=""/>
                    <o:lock v:ext="edit"/>
                  </v:line>
                  <v:line id="Line 912" o:spid="_x0000_s1053" o:spt="20" style="position:absolute;left:7431;top:3716;height:0;width:720;rotation:11796480f;" coordsize="21600,21600">
                    <v:path arrowok="t"/>
                    <v:fill focussize="0,0"/>
                    <v:stroke endarrow="block"/>
                    <v:imagedata o:title=""/>
                    <o:lock v:ext="edit"/>
                  </v:line>
                </v:group>
              </w:pict>
            </w:r>
            <w:r>
              <w:rPr>
                <w:color w:val="000000"/>
                <w:sz w:val="24"/>
                <w:szCs w:val="28"/>
              </w:rPr>
              <w:t>站内</w:t>
            </w:r>
            <w:r>
              <w:rPr>
                <w:color w:val="000000"/>
                <w:sz w:val="24"/>
              </w:rPr>
              <w:t>储油罐一般5年清理一次，清罐时将产生</w:t>
            </w:r>
            <w:r>
              <w:rPr>
                <w:bCs/>
                <w:color w:val="000000"/>
                <w:sz w:val="24"/>
              </w:rPr>
              <w:t>含油废水、含油废渣、伴生污染物、清洗废液，统称清罐废物。</w:t>
            </w:r>
          </w:p>
          <w:p w14:paraId="1F13EA8E">
            <w:pPr>
              <w:snapToGrid w:val="0"/>
              <w:spacing w:line="360" w:lineRule="auto"/>
              <w:ind w:firstLine="454"/>
              <w:rPr>
                <w:bCs/>
                <w:sz w:val="24"/>
              </w:rPr>
            </w:pPr>
            <w:r>
              <w:rPr>
                <w:color w:val="000000"/>
                <w:sz w:val="24"/>
              </w:rPr>
              <w:t>③加油过程：加油机通过加油枪给汽车油箱加油，油通过潜油泵从地下储油罐输送至加油机。加油过程中通过计量器进行计量，加油车辆油箱随着柴油的注入，车辆油箱内产生的油气逸散至大气中。加油过程产生加油机的运行噪声。加油机设备一般3个月检修一次，检修</w:t>
            </w:r>
            <w:r>
              <w:rPr>
                <w:sz w:val="24"/>
              </w:rPr>
              <w:t>时产生</w:t>
            </w:r>
            <w:r>
              <w:rPr>
                <w:bCs/>
                <w:sz w:val="24"/>
              </w:rPr>
              <w:t>含油废水、含油废渣、伴生污染物、清洗废液，统称检修废物。</w:t>
            </w:r>
          </w:p>
        </w:tc>
      </w:tr>
      <w:tr w14:paraId="1E9906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71" w:hRule="atLeast"/>
          <w:jc w:val="center"/>
        </w:trPr>
        <w:tc>
          <w:tcPr>
            <w:tcW w:w="714" w:type="dxa"/>
            <w:vAlign w:val="center"/>
          </w:tcPr>
          <w:p w14:paraId="3646BFC5">
            <w:pPr>
              <w:pStyle w:val="21"/>
              <w:adjustRightInd w:val="0"/>
              <w:snapToGrid w:val="0"/>
              <w:spacing w:before="0" w:beforeAutospacing="0" w:after="0" w:afterAutospacing="0" w:line="360" w:lineRule="auto"/>
              <w:jc w:val="center"/>
              <w:rPr>
                <w:rFonts w:hint="eastAsia" w:cs="宋体"/>
                <w:szCs w:val="24"/>
              </w:rPr>
            </w:pPr>
            <w:r>
              <w:rPr>
                <w:rFonts w:hint="eastAsia" w:cs="宋体"/>
                <w:bCs/>
                <w:kern w:val="2"/>
                <w:szCs w:val="24"/>
              </w:rPr>
              <w:t>与项目有关的原有环境污染问题</w:t>
            </w:r>
          </w:p>
        </w:tc>
        <w:tc>
          <w:tcPr>
            <w:tcW w:w="8346" w:type="dxa"/>
            <w:vAlign w:val="center"/>
          </w:tcPr>
          <w:p w14:paraId="177EA52C">
            <w:pPr>
              <w:snapToGrid w:val="0"/>
              <w:spacing w:line="360" w:lineRule="auto"/>
              <w:ind w:firstLine="480" w:firstLineChars="200"/>
              <w:rPr>
                <w:rFonts w:hint="eastAsia" w:ascii="宋体" w:hAnsi="宋体" w:cs="宋体"/>
                <w:bCs/>
                <w:sz w:val="24"/>
              </w:rPr>
            </w:pPr>
          </w:p>
          <w:p w14:paraId="2565A086">
            <w:pPr>
              <w:pStyle w:val="2"/>
              <w:rPr>
                <w:rFonts w:hint="eastAsia"/>
              </w:rPr>
            </w:pPr>
          </w:p>
          <w:p w14:paraId="7D9C9BD2">
            <w:pPr>
              <w:rPr>
                <w:rFonts w:hint="eastAsia"/>
              </w:rPr>
            </w:pPr>
          </w:p>
          <w:p w14:paraId="7CBD893B">
            <w:pPr>
              <w:pStyle w:val="2"/>
              <w:rPr>
                <w:rFonts w:hint="eastAsia"/>
              </w:rPr>
            </w:pPr>
          </w:p>
          <w:p w14:paraId="20F19BA3">
            <w:pPr>
              <w:rPr>
                <w:rFonts w:hint="eastAsia"/>
              </w:rPr>
            </w:pPr>
          </w:p>
          <w:p w14:paraId="5FD2EF32">
            <w:pPr>
              <w:pStyle w:val="2"/>
              <w:rPr>
                <w:rFonts w:hint="eastAsia"/>
              </w:rPr>
            </w:pPr>
          </w:p>
          <w:p w14:paraId="1C5EA461">
            <w:pPr>
              <w:rPr>
                <w:rFonts w:hint="eastAsia"/>
              </w:rPr>
            </w:pPr>
          </w:p>
          <w:p w14:paraId="69ABA8D3">
            <w:pPr>
              <w:snapToGrid w:val="0"/>
              <w:spacing w:line="360" w:lineRule="auto"/>
              <w:ind w:firstLine="480" w:firstLineChars="200"/>
              <w:rPr>
                <w:rFonts w:hint="eastAsia" w:ascii="宋体" w:hAnsi="宋体" w:cs="宋体"/>
                <w:bCs/>
                <w:sz w:val="24"/>
              </w:rPr>
            </w:pPr>
          </w:p>
          <w:p w14:paraId="602C52C1">
            <w:pPr>
              <w:snapToGrid w:val="0"/>
              <w:spacing w:line="360" w:lineRule="auto"/>
              <w:ind w:firstLine="480" w:firstLineChars="200"/>
              <w:rPr>
                <w:rFonts w:hint="eastAsia" w:ascii="宋体" w:hAnsi="宋体" w:cs="宋体"/>
                <w:bCs/>
                <w:sz w:val="24"/>
              </w:rPr>
            </w:pPr>
            <w:r>
              <w:rPr>
                <w:rFonts w:hint="eastAsia" w:ascii="宋体" w:hAnsi="宋体" w:cs="宋体"/>
                <w:bCs/>
                <w:sz w:val="24"/>
              </w:rPr>
              <w:t>拟建项目为新建项目，位于</w:t>
            </w:r>
            <w:r>
              <w:rPr>
                <w:rFonts w:hint="eastAsia" w:ascii="宋体" w:hAnsi="宋体"/>
                <w:bCs/>
                <w:sz w:val="24"/>
              </w:rPr>
              <w:t>重庆市涪陵区李渡工业园区双溪居委郑家湾FL2018-06-18号地块，根据现场勘查，该</w:t>
            </w:r>
            <w:r>
              <w:rPr>
                <w:rFonts w:hint="eastAsia" w:ascii="宋体" w:hAnsi="宋体" w:cs="宋体"/>
                <w:bCs/>
                <w:sz w:val="24"/>
              </w:rPr>
              <w:t>项目地块为闲置地块，未进行其他生产经营活动，因此，无原有污染情况问题及遗留问题存在。</w:t>
            </w:r>
          </w:p>
          <w:p w14:paraId="3082C104">
            <w:pPr>
              <w:pStyle w:val="2"/>
              <w:rPr>
                <w:rFonts w:hint="eastAsia"/>
              </w:rPr>
            </w:pPr>
          </w:p>
          <w:p w14:paraId="4E6C5C53">
            <w:pPr>
              <w:rPr>
                <w:rFonts w:hint="eastAsia"/>
              </w:rPr>
            </w:pPr>
          </w:p>
          <w:p w14:paraId="102C9987">
            <w:pPr>
              <w:pStyle w:val="2"/>
              <w:rPr>
                <w:rFonts w:hint="eastAsia"/>
              </w:rPr>
            </w:pPr>
          </w:p>
          <w:p w14:paraId="35E5E0AA">
            <w:pPr>
              <w:rPr>
                <w:rFonts w:hint="eastAsia"/>
              </w:rPr>
            </w:pPr>
          </w:p>
          <w:p w14:paraId="741D2C93">
            <w:pPr>
              <w:pStyle w:val="2"/>
              <w:rPr>
                <w:rFonts w:hint="eastAsia"/>
              </w:rPr>
            </w:pPr>
          </w:p>
          <w:p w14:paraId="390F354D">
            <w:pPr>
              <w:rPr>
                <w:rFonts w:hint="eastAsia"/>
              </w:rPr>
            </w:pPr>
          </w:p>
          <w:p w14:paraId="0C59DDC2">
            <w:pPr>
              <w:pStyle w:val="2"/>
              <w:rPr>
                <w:rFonts w:hint="eastAsia"/>
              </w:rPr>
            </w:pPr>
          </w:p>
          <w:p w14:paraId="08D01830">
            <w:pPr>
              <w:rPr>
                <w:rFonts w:hint="eastAsia"/>
              </w:rPr>
            </w:pPr>
          </w:p>
          <w:p w14:paraId="1ECD11DD">
            <w:pPr>
              <w:pStyle w:val="2"/>
              <w:rPr>
                <w:rFonts w:hint="eastAsia"/>
              </w:rPr>
            </w:pPr>
          </w:p>
          <w:p w14:paraId="2209015C">
            <w:pPr>
              <w:pStyle w:val="2"/>
              <w:rPr>
                <w:rFonts w:hint="eastAsia"/>
              </w:rPr>
            </w:pPr>
          </w:p>
          <w:p w14:paraId="138F9261">
            <w:pPr>
              <w:pStyle w:val="2"/>
              <w:rPr>
                <w:rFonts w:hint="eastAsia"/>
              </w:rPr>
            </w:pPr>
          </w:p>
        </w:tc>
      </w:tr>
    </w:tbl>
    <w:p w14:paraId="4E40D562">
      <w:pPr>
        <w:pStyle w:val="21"/>
        <w:jc w:val="center"/>
        <w:rPr>
          <w:rFonts w:ascii="黑体" w:hAnsi="黑体" w:eastAsia="黑体"/>
          <w:snapToGrid w:val="0"/>
          <w:sz w:val="36"/>
          <w:szCs w:val="36"/>
        </w:rPr>
        <w:sectPr>
          <w:pgSz w:w="11906" w:h="16838"/>
          <w:pgMar w:top="1701" w:right="1531" w:bottom="1701" w:left="1531" w:header="851" w:footer="851" w:gutter="0"/>
          <w:cols w:space="720" w:num="1"/>
          <w:docGrid w:linePitch="312" w:charSpace="0"/>
        </w:sectPr>
      </w:pPr>
    </w:p>
    <w:p w14:paraId="5277C7A4">
      <w:pPr>
        <w:pStyle w:val="21"/>
        <w:adjustRightInd w:val="0"/>
        <w:snapToGrid w:val="0"/>
        <w:spacing w:before="0" w:beforeAutospacing="0" w:after="0" w:afterAutospacing="0" w:line="14" w:lineRule="auto"/>
        <w:jc w:val="center"/>
        <w:outlineLvl w:val="0"/>
        <w:rPr>
          <w:rFonts w:hint="eastAsia" w:ascii="黑体" w:hAnsi="黑体" w:eastAsia="黑体"/>
          <w:snapToGrid w:val="0"/>
          <w:sz w:val="30"/>
          <w:szCs w:val="30"/>
        </w:rPr>
      </w:pPr>
    </w:p>
    <w:p w14:paraId="4499E9DB">
      <w:pPr>
        <w:pStyle w:val="21"/>
        <w:jc w:val="center"/>
        <w:outlineLvl w:val="0"/>
        <w:rPr>
          <w:rFonts w:ascii="黑体" w:hAnsi="黑体" w:eastAsia="黑体"/>
          <w:snapToGrid w:val="0"/>
          <w:sz w:val="30"/>
          <w:szCs w:val="30"/>
        </w:rPr>
      </w:pPr>
      <w:r>
        <w:rPr>
          <w:rFonts w:hint="eastAsia" w:ascii="黑体" w:hAnsi="黑体" w:eastAsia="黑体"/>
          <w:snapToGrid w:val="0"/>
          <w:sz w:val="30"/>
          <w:szCs w:val="30"/>
        </w:rPr>
        <w:t>三、区域环境质量现状、环境保护目标及评价标准</w:t>
      </w:r>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8356"/>
      </w:tblGrid>
      <w:tr w14:paraId="743504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5" w:type="dxa"/>
            <w:vAlign w:val="center"/>
          </w:tcPr>
          <w:p w14:paraId="3BBC5F51">
            <w:pPr>
              <w:adjustRightInd w:val="0"/>
              <w:snapToGrid w:val="0"/>
              <w:spacing w:line="360" w:lineRule="auto"/>
              <w:jc w:val="center"/>
              <w:rPr>
                <w:rFonts w:hint="eastAsia" w:ascii="宋体" w:hAnsi="宋体" w:cs="宋体"/>
                <w:kern w:val="0"/>
                <w:sz w:val="24"/>
              </w:rPr>
            </w:pPr>
            <w:r>
              <w:rPr>
                <w:rFonts w:hint="eastAsia" w:ascii="宋体" w:hAnsi="宋体" w:cs="宋体"/>
                <w:kern w:val="0"/>
                <w:sz w:val="24"/>
              </w:rPr>
              <w:t>区域</w:t>
            </w:r>
          </w:p>
          <w:p w14:paraId="60F38A0A">
            <w:pPr>
              <w:adjustRightInd w:val="0"/>
              <w:snapToGrid w:val="0"/>
              <w:spacing w:line="360" w:lineRule="auto"/>
              <w:jc w:val="center"/>
              <w:rPr>
                <w:rFonts w:hint="eastAsia" w:ascii="宋体" w:hAnsi="宋体" w:cs="宋体"/>
                <w:kern w:val="0"/>
                <w:sz w:val="24"/>
              </w:rPr>
            </w:pPr>
            <w:r>
              <w:rPr>
                <w:rFonts w:hint="eastAsia" w:ascii="宋体" w:hAnsi="宋体" w:cs="宋体"/>
                <w:kern w:val="0"/>
                <w:sz w:val="24"/>
              </w:rPr>
              <w:t>环境</w:t>
            </w:r>
          </w:p>
          <w:p w14:paraId="47A9D776">
            <w:pPr>
              <w:adjustRightInd w:val="0"/>
              <w:snapToGrid w:val="0"/>
              <w:spacing w:line="360" w:lineRule="auto"/>
              <w:jc w:val="center"/>
              <w:rPr>
                <w:rFonts w:hint="eastAsia" w:ascii="宋体" w:hAnsi="宋体" w:cs="宋体"/>
                <w:kern w:val="0"/>
                <w:sz w:val="24"/>
              </w:rPr>
            </w:pPr>
            <w:r>
              <w:rPr>
                <w:rFonts w:hint="eastAsia" w:ascii="宋体" w:hAnsi="宋体" w:cs="宋体"/>
                <w:kern w:val="0"/>
                <w:sz w:val="24"/>
              </w:rPr>
              <w:t>质量</w:t>
            </w:r>
          </w:p>
          <w:p w14:paraId="3029D6A1">
            <w:pPr>
              <w:adjustRightInd w:val="0"/>
              <w:snapToGrid w:val="0"/>
              <w:spacing w:line="360" w:lineRule="auto"/>
              <w:jc w:val="center"/>
              <w:rPr>
                <w:rFonts w:ascii="宋体" w:hAnsi="宋体" w:cs="宋体"/>
                <w:kern w:val="0"/>
                <w:szCs w:val="21"/>
              </w:rPr>
            </w:pPr>
            <w:r>
              <w:rPr>
                <w:rFonts w:hint="eastAsia" w:ascii="宋体" w:hAnsi="宋体" w:cs="宋体"/>
                <w:kern w:val="0"/>
                <w:sz w:val="24"/>
              </w:rPr>
              <w:t>现状</w:t>
            </w:r>
          </w:p>
        </w:tc>
        <w:tc>
          <w:tcPr>
            <w:tcW w:w="8356" w:type="dxa"/>
            <w:vAlign w:val="center"/>
          </w:tcPr>
          <w:p w14:paraId="546FFBD0">
            <w:pPr>
              <w:adjustRightInd w:val="0"/>
              <w:spacing w:line="360" w:lineRule="auto"/>
              <w:rPr>
                <w:rFonts w:hint="eastAsia"/>
                <w:b/>
                <w:bCs/>
                <w:sz w:val="24"/>
              </w:rPr>
            </w:pPr>
            <w:r>
              <w:rPr>
                <w:rFonts w:hint="eastAsia"/>
                <w:b/>
                <w:bCs/>
                <w:sz w:val="24"/>
              </w:rPr>
              <w:t>3.1环境空气质量现状监测与评价</w:t>
            </w:r>
          </w:p>
          <w:p w14:paraId="12B7B19C">
            <w:pPr>
              <w:adjustRightInd w:val="0"/>
              <w:spacing w:line="360" w:lineRule="auto"/>
              <w:ind w:firstLine="480" w:firstLineChars="200"/>
              <w:rPr>
                <w:sz w:val="24"/>
              </w:rPr>
            </w:pPr>
            <w:r>
              <w:rPr>
                <w:sz w:val="24"/>
              </w:rPr>
              <w:t>根据《重庆市人民政府关于印发重庆市环境空气质量功能区划分规定的通知》（渝府发 [2016]19号），项目所在功能区为环境空气二类功能区，环境空气执行《环境空气质量标准》（GB3095-2012）二级标准。</w:t>
            </w:r>
          </w:p>
          <w:p w14:paraId="38BC3146">
            <w:pPr>
              <w:adjustRightInd w:val="0"/>
              <w:spacing w:line="360" w:lineRule="auto"/>
              <w:ind w:firstLine="482" w:firstLineChars="200"/>
              <w:rPr>
                <w:b/>
                <w:bCs/>
                <w:sz w:val="24"/>
              </w:rPr>
            </w:pPr>
            <w:r>
              <w:rPr>
                <w:b/>
                <w:bCs/>
                <w:sz w:val="24"/>
              </w:rPr>
              <w:t>（1）达标区域判定</w:t>
            </w:r>
          </w:p>
          <w:p w14:paraId="5D88EE39">
            <w:pPr>
              <w:adjustRightInd w:val="0"/>
              <w:snapToGrid w:val="0"/>
              <w:spacing w:line="360" w:lineRule="auto"/>
              <w:ind w:firstLine="480" w:firstLineChars="200"/>
              <w:rPr>
                <w:kern w:val="0"/>
                <w:sz w:val="24"/>
              </w:rPr>
            </w:pPr>
            <w:r>
              <w:rPr>
                <w:sz w:val="24"/>
              </w:rPr>
              <w:t>根据《环境影响评价技术导则 大气环境》（HJ2.2-2018）中6.4.1节“根据国家或地方生态环境主管部门公开发布的城市环境质量达标情况，判断项目所在区域是否属于达标区”。因此，</w:t>
            </w:r>
            <w:r>
              <w:rPr>
                <w:kern w:val="0"/>
                <w:sz w:val="24"/>
              </w:rPr>
              <w:t>本次评价达标区判断依据20</w:t>
            </w:r>
            <w:r>
              <w:rPr>
                <w:rFonts w:hint="eastAsia"/>
                <w:kern w:val="0"/>
                <w:sz w:val="24"/>
              </w:rPr>
              <w:t>22</w:t>
            </w:r>
            <w:r>
              <w:rPr>
                <w:kern w:val="0"/>
                <w:sz w:val="24"/>
              </w:rPr>
              <w:t>年</w:t>
            </w:r>
            <w:r>
              <w:rPr>
                <w:rFonts w:hint="eastAsia"/>
                <w:kern w:val="0"/>
                <w:sz w:val="24"/>
              </w:rPr>
              <w:t>6</w:t>
            </w:r>
            <w:r>
              <w:rPr>
                <w:kern w:val="0"/>
                <w:sz w:val="24"/>
              </w:rPr>
              <w:t>月</w:t>
            </w:r>
            <w:r>
              <w:rPr>
                <w:rFonts w:hint="eastAsia"/>
                <w:kern w:val="0"/>
                <w:sz w:val="24"/>
              </w:rPr>
              <w:t>2</w:t>
            </w:r>
            <w:r>
              <w:rPr>
                <w:color w:val="000000"/>
                <w:kern w:val="0"/>
                <w:sz w:val="24"/>
              </w:rPr>
              <w:t>日重庆市生态环境局</w:t>
            </w:r>
            <w:r>
              <w:rPr>
                <w:kern w:val="0"/>
                <w:sz w:val="24"/>
              </w:rPr>
              <w:t>公布的</w:t>
            </w:r>
            <w:r>
              <w:rPr>
                <w:rFonts w:hint="eastAsia"/>
                <w:kern w:val="0"/>
                <w:sz w:val="24"/>
              </w:rPr>
              <w:t>《二〇二一年重庆市生态环境状况公报》</w:t>
            </w:r>
            <w:r>
              <w:rPr>
                <w:kern w:val="0"/>
                <w:sz w:val="24"/>
              </w:rPr>
              <w:t>中涪陵区环境空气质量现状数据，区域空气质量现状评价见表3-1。</w:t>
            </w:r>
          </w:p>
          <w:p w14:paraId="0D4320FF">
            <w:pPr>
              <w:pStyle w:val="68"/>
              <w:spacing w:line="240" w:lineRule="auto"/>
              <w:rPr>
                <w:rFonts w:ascii="黑体" w:hAnsi="黑体" w:eastAsia="黑体" w:cs="黑体"/>
                <w:b w:val="0"/>
                <w:bCs w:val="0"/>
              </w:rPr>
            </w:pPr>
            <w:r>
              <w:rPr>
                <w:rFonts w:ascii="黑体" w:hAnsi="黑体" w:eastAsia="黑体" w:cs="黑体"/>
                <w:b w:val="0"/>
                <w:bCs w:val="0"/>
              </w:rPr>
              <w:t>表3-1  区域空气质量现状评价表</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16"/>
              <w:gridCol w:w="2511"/>
              <w:gridCol w:w="1195"/>
              <w:gridCol w:w="1195"/>
              <w:gridCol w:w="922"/>
              <w:gridCol w:w="998"/>
            </w:tblGrid>
            <w:tr w14:paraId="78F759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810" w:type="pct"/>
                  <w:vAlign w:val="center"/>
                </w:tcPr>
                <w:p w14:paraId="1A1A6DA8">
                  <w:pPr>
                    <w:adjustRightInd w:val="0"/>
                    <w:snapToGrid w:val="0"/>
                    <w:jc w:val="center"/>
                    <w:rPr>
                      <w:szCs w:val="21"/>
                    </w:rPr>
                  </w:pPr>
                  <w:r>
                    <w:rPr>
                      <w:szCs w:val="21"/>
                    </w:rPr>
                    <w:t>污染物</w:t>
                  </w:r>
                </w:p>
              </w:tc>
              <w:tc>
                <w:tcPr>
                  <w:tcW w:w="1544" w:type="pct"/>
                  <w:vAlign w:val="center"/>
                </w:tcPr>
                <w:p w14:paraId="1F4EA0FC">
                  <w:pPr>
                    <w:adjustRightInd w:val="0"/>
                    <w:snapToGrid w:val="0"/>
                    <w:jc w:val="center"/>
                    <w:rPr>
                      <w:szCs w:val="21"/>
                    </w:rPr>
                  </w:pPr>
                  <w:r>
                    <w:rPr>
                      <w:szCs w:val="21"/>
                    </w:rPr>
                    <w:t>年评价指标</w:t>
                  </w:r>
                </w:p>
              </w:tc>
              <w:tc>
                <w:tcPr>
                  <w:tcW w:w="731" w:type="pct"/>
                  <w:vAlign w:val="center"/>
                </w:tcPr>
                <w:p w14:paraId="38022AF9">
                  <w:pPr>
                    <w:adjustRightInd w:val="0"/>
                    <w:snapToGrid w:val="0"/>
                    <w:jc w:val="center"/>
                    <w:rPr>
                      <w:szCs w:val="21"/>
                    </w:rPr>
                  </w:pPr>
                  <w:r>
                    <w:rPr>
                      <w:szCs w:val="21"/>
                    </w:rPr>
                    <w:t>现状浓度</w:t>
                  </w:r>
                </w:p>
                <w:p w14:paraId="65C7FB68">
                  <w:pPr>
                    <w:adjustRightInd w:val="0"/>
                    <w:snapToGrid w:val="0"/>
                    <w:jc w:val="center"/>
                    <w:rPr>
                      <w:szCs w:val="21"/>
                    </w:rPr>
                  </w:pPr>
                  <w:r>
                    <w:rPr>
                      <w:szCs w:val="21"/>
                    </w:rPr>
                    <w:t>（μg/m</w:t>
                  </w:r>
                  <w:r>
                    <w:rPr>
                      <w:szCs w:val="21"/>
                      <w:vertAlign w:val="superscript"/>
                    </w:rPr>
                    <w:t>3</w:t>
                  </w:r>
                  <w:r>
                    <w:rPr>
                      <w:szCs w:val="21"/>
                    </w:rPr>
                    <w:t>）</w:t>
                  </w:r>
                </w:p>
              </w:tc>
              <w:tc>
                <w:tcPr>
                  <w:tcW w:w="731" w:type="pct"/>
                  <w:vAlign w:val="center"/>
                </w:tcPr>
                <w:p w14:paraId="2A296ED5">
                  <w:pPr>
                    <w:adjustRightInd w:val="0"/>
                    <w:snapToGrid w:val="0"/>
                    <w:jc w:val="center"/>
                    <w:rPr>
                      <w:szCs w:val="21"/>
                    </w:rPr>
                  </w:pPr>
                  <w:r>
                    <w:rPr>
                      <w:szCs w:val="21"/>
                    </w:rPr>
                    <w:t>标准值</w:t>
                  </w:r>
                </w:p>
                <w:p w14:paraId="419C1887">
                  <w:pPr>
                    <w:adjustRightInd w:val="0"/>
                    <w:snapToGrid w:val="0"/>
                    <w:jc w:val="center"/>
                    <w:rPr>
                      <w:szCs w:val="21"/>
                    </w:rPr>
                  </w:pPr>
                  <w:r>
                    <w:rPr>
                      <w:szCs w:val="21"/>
                    </w:rPr>
                    <w:t>（μg/m</w:t>
                  </w:r>
                  <w:r>
                    <w:rPr>
                      <w:szCs w:val="21"/>
                      <w:vertAlign w:val="superscript"/>
                    </w:rPr>
                    <w:t>3</w:t>
                  </w:r>
                  <w:r>
                    <w:rPr>
                      <w:szCs w:val="21"/>
                    </w:rPr>
                    <w:t>）</w:t>
                  </w:r>
                </w:p>
              </w:tc>
              <w:tc>
                <w:tcPr>
                  <w:tcW w:w="568" w:type="pct"/>
                  <w:vAlign w:val="center"/>
                </w:tcPr>
                <w:p w14:paraId="7BA08F4C">
                  <w:pPr>
                    <w:adjustRightInd w:val="0"/>
                    <w:snapToGrid w:val="0"/>
                    <w:jc w:val="center"/>
                    <w:rPr>
                      <w:szCs w:val="21"/>
                    </w:rPr>
                  </w:pPr>
                  <w:r>
                    <w:rPr>
                      <w:szCs w:val="21"/>
                    </w:rPr>
                    <w:t>占标率</w:t>
                  </w:r>
                </w:p>
                <w:p w14:paraId="1C5F6B4B">
                  <w:pPr>
                    <w:adjustRightInd w:val="0"/>
                    <w:snapToGrid w:val="0"/>
                    <w:jc w:val="center"/>
                    <w:rPr>
                      <w:szCs w:val="21"/>
                    </w:rPr>
                  </w:pPr>
                  <w:r>
                    <w:rPr>
                      <w:szCs w:val="21"/>
                    </w:rPr>
                    <w:t>（%）</w:t>
                  </w:r>
                </w:p>
              </w:tc>
              <w:tc>
                <w:tcPr>
                  <w:tcW w:w="614" w:type="pct"/>
                  <w:vAlign w:val="center"/>
                </w:tcPr>
                <w:p w14:paraId="07D640FA">
                  <w:pPr>
                    <w:adjustRightInd w:val="0"/>
                    <w:snapToGrid w:val="0"/>
                    <w:jc w:val="center"/>
                    <w:rPr>
                      <w:szCs w:val="21"/>
                    </w:rPr>
                  </w:pPr>
                  <w:r>
                    <w:rPr>
                      <w:szCs w:val="21"/>
                    </w:rPr>
                    <w:t>达标情况</w:t>
                  </w:r>
                </w:p>
              </w:tc>
            </w:tr>
            <w:tr w14:paraId="19BC11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10" w:type="pct"/>
                  <w:vAlign w:val="center"/>
                </w:tcPr>
                <w:p w14:paraId="2AC261E7">
                  <w:pPr>
                    <w:adjustRightInd w:val="0"/>
                    <w:snapToGrid w:val="0"/>
                    <w:jc w:val="center"/>
                    <w:rPr>
                      <w:szCs w:val="21"/>
                    </w:rPr>
                  </w:pPr>
                  <w:r>
                    <w:rPr>
                      <w:szCs w:val="21"/>
                    </w:rPr>
                    <w:t>PM</w:t>
                  </w:r>
                  <w:r>
                    <w:rPr>
                      <w:szCs w:val="21"/>
                      <w:vertAlign w:val="subscript"/>
                    </w:rPr>
                    <w:t>10</w:t>
                  </w:r>
                </w:p>
              </w:tc>
              <w:tc>
                <w:tcPr>
                  <w:tcW w:w="1544" w:type="pct"/>
                  <w:vMerge w:val="restart"/>
                  <w:vAlign w:val="center"/>
                </w:tcPr>
                <w:p w14:paraId="7B8FF447">
                  <w:pPr>
                    <w:adjustRightInd w:val="0"/>
                    <w:snapToGrid w:val="0"/>
                    <w:jc w:val="center"/>
                    <w:rPr>
                      <w:szCs w:val="21"/>
                    </w:rPr>
                  </w:pPr>
                  <w:r>
                    <w:rPr>
                      <w:szCs w:val="21"/>
                    </w:rPr>
                    <w:t>年平均质量浓度</w:t>
                  </w:r>
                </w:p>
              </w:tc>
              <w:tc>
                <w:tcPr>
                  <w:tcW w:w="731" w:type="pct"/>
                  <w:vAlign w:val="center"/>
                </w:tcPr>
                <w:p w14:paraId="74C5A071">
                  <w:pPr>
                    <w:adjustRightInd w:val="0"/>
                    <w:jc w:val="center"/>
                    <w:rPr>
                      <w:szCs w:val="21"/>
                    </w:rPr>
                  </w:pPr>
                  <w:r>
                    <w:rPr>
                      <w:rFonts w:hint="eastAsia"/>
                      <w:szCs w:val="21"/>
                    </w:rPr>
                    <w:t>52</w:t>
                  </w:r>
                </w:p>
              </w:tc>
              <w:tc>
                <w:tcPr>
                  <w:tcW w:w="731" w:type="pct"/>
                  <w:vAlign w:val="center"/>
                </w:tcPr>
                <w:p w14:paraId="5D8EB8CC">
                  <w:pPr>
                    <w:adjustRightInd w:val="0"/>
                    <w:jc w:val="center"/>
                    <w:rPr>
                      <w:szCs w:val="21"/>
                    </w:rPr>
                  </w:pPr>
                  <w:r>
                    <w:rPr>
                      <w:szCs w:val="21"/>
                    </w:rPr>
                    <w:t>70</w:t>
                  </w:r>
                </w:p>
              </w:tc>
              <w:tc>
                <w:tcPr>
                  <w:tcW w:w="568" w:type="pct"/>
                  <w:vAlign w:val="center"/>
                </w:tcPr>
                <w:p w14:paraId="1032A402">
                  <w:pPr>
                    <w:adjustRightInd w:val="0"/>
                    <w:jc w:val="center"/>
                    <w:rPr>
                      <w:szCs w:val="21"/>
                    </w:rPr>
                  </w:pPr>
                  <w:r>
                    <w:rPr>
                      <w:rFonts w:hint="eastAsia"/>
                      <w:szCs w:val="21"/>
                    </w:rPr>
                    <w:t>74.3</w:t>
                  </w:r>
                </w:p>
              </w:tc>
              <w:tc>
                <w:tcPr>
                  <w:tcW w:w="614" w:type="pct"/>
                  <w:vAlign w:val="center"/>
                </w:tcPr>
                <w:p w14:paraId="5432818E">
                  <w:pPr>
                    <w:adjustRightInd w:val="0"/>
                    <w:jc w:val="center"/>
                    <w:rPr>
                      <w:szCs w:val="21"/>
                      <w:lang w:val="zh-CN"/>
                    </w:rPr>
                  </w:pPr>
                  <w:r>
                    <w:rPr>
                      <w:szCs w:val="21"/>
                      <w:lang w:val="zh-CN"/>
                    </w:rPr>
                    <w:t>达标</w:t>
                  </w:r>
                </w:p>
              </w:tc>
            </w:tr>
            <w:tr w14:paraId="2F5BB7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10" w:type="pct"/>
                  <w:vAlign w:val="center"/>
                </w:tcPr>
                <w:p w14:paraId="5EE7FA86">
                  <w:pPr>
                    <w:adjustRightInd w:val="0"/>
                    <w:snapToGrid w:val="0"/>
                    <w:jc w:val="center"/>
                    <w:rPr>
                      <w:szCs w:val="21"/>
                    </w:rPr>
                  </w:pPr>
                  <w:r>
                    <w:rPr>
                      <w:szCs w:val="21"/>
                    </w:rPr>
                    <w:t>SO</w:t>
                  </w:r>
                  <w:r>
                    <w:rPr>
                      <w:szCs w:val="21"/>
                      <w:vertAlign w:val="subscript"/>
                    </w:rPr>
                    <w:t>2</w:t>
                  </w:r>
                </w:p>
              </w:tc>
              <w:tc>
                <w:tcPr>
                  <w:tcW w:w="1544" w:type="pct"/>
                  <w:vMerge w:val="continue"/>
                  <w:vAlign w:val="center"/>
                </w:tcPr>
                <w:p w14:paraId="25E76060">
                  <w:pPr>
                    <w:adjustRightInd w:val="0"/>
                    <w:snapToGrid w:val="0"/>
                    <w:jc w:val="center"/>
                    <w:rPr>
                      <w:szCs w:val="21"/>
                    </w:rPr>
                  </w:pPr>
                </w:p>
              </w:tc>
              <w:tc>
                <w:tcPr>
                  <w:tcW w:w="731" w:type="pct"/>
                  <w:vAlign w:val="center"/>
                </w:tcPr>
                <w:p w14:paraId="2C62D2A1">
                  <w:pPr>
                    <w:adjustRightInd w:val="0"/>
                    <w:jc w:val="center"/>
                    <w:rPr>
                      <w:szCs w:val="21"/>
                    </w:rPr>
                  </w:pPr>
                  <w:r>
                    <w:rPr>
                      <w:rFonts w:hint="eastAsia"/>
                      <w:szCs w:val="21"/>
                    </w:rPr>
                    <w:t>11</w:t>
                  </w:r>
                </w:p>
              </w:tc>
              <w:tc>
                <w:tcPr>
                  <w:tcW w:w="731" w:type="pct"/>
                  <w:vAlign w:val="center"/>
                </w:tcPr>
                <w:p w14:paraId="556878DB">
                  <w:pPr>
                    <w:adjustRightInd w:val="0"/>
                    <w:jc w:val="center"/>
                    <w:rPr>
                      <w:szCs w:val="21"/>
                    </w:rPr>
                  </w:pPr>
                  <w:r>
                    <w:rPr>
                      <w:szCs w:val="21"/>
                    </w:rPr>
                    <w:t>60</w:t>
                  </w:r>
                </w:p>
              </w:tc>
              <w:tc>
                <w:tcPr>
                  <w:tcW w:w="568" w:type="pct"/>
                  <w:vAlign w:val="center"/>
                </w:tcPr>
                <w:p w14:paraId="0A26F080">
                  <w:pPr>
                    <w:adjustRightInd w:val="0"/>
                    <w:jc w:val="center"/>
                    <w:rPr>
                      <w:szCs w:val="21"/>
                    </w:rPr>
                  </w:pPr>
                  <w:r>
                    <w:rPr>
                      <w:rFonts w:hint="eastAsia"/>
                      <w:szCs w:val="21"/>
                    </w:rPr>
                    <w:t>18.3</w:t>
                  </w:r>
                </w:p>
              </w:tc>
              <w:tc>
                <w:tcPr>
                  <w:tcW w:w="614" w:type="pct"/>
                  <w:vAlign w:val="center"/>
                </w:tcPr>
                <w:p w14:paraId="71955774">
                  <w:pPr>
                    <w:adjustRightInd w:val="0"/>
                    <w:jc w:val="center"/>
                    <w:rPr>
                      <w:szCs w:val="21"/>
                      <w:lang w:val="zh-CN"/>
                    </w:rPr>
                  </w:pPr>
                  <w:r>
                    <w:rPr>
                      <w:szCs w:val="21"/>
                      <w:lang w:val="zh-CN"/>
                    </w:rPr>
                    <w:t>达标</w:t>
                  </w:r>
                </w:p>
              </w:tc>
            </w:tr>
            <w:tr w14:paraId="4F5A58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10" w:type="pct"/>
                  <w:vAlign w:val="center"/>
                </w:tcPr>
                <w:p w14:paraId="5F1140FB">
                  <w:pPr>
                    <w:adjustRightInd w:val="0"/>
                    <w:snapToGrid w:val="0"/>
                    <w:jc w:val="center"/>
                    <w:rPr>
                      <w:szCs w:val="21"/>
                    </w:rPr>
                  </w:pPr>
                  <w:r>
                    <w:rPr>
                      <w:szCs w:val="21"/>
                    </w:rPr>
                    <w:t>NO</w:t>
                  </w:r>
                  <w:r>
                    <w:rPr>
                      <w:szCs w:val="21"/>
                      <w:vertAlign w:val="subscript"/>
                    </w:rPr>
                    <w:t>2</w:t>
                  </w:r>
                </w:p>
              </w:tc>
              <w:tc>
                <w:tcPr>
                  <w:tcW w:w="1544" w:type="pct"/>
                  <w:vMerge w:val="continue"/>
                  <w:vAlign w:val="center"/>
                </w:tcPr>
                <w:p w14:paraId="78935D77">
                  <w:pPr>
                    <w:adjustRightInd w:val="0"/>
                    <w:snapToGrid w:val="0"/>
                    <w:jc w:val="center"/>
                    <w:rPr>
                      <w:szCs w:val="21"/>
                    </w:rPr>
                  </w:pPr>
                </w:p>
              </w:tc>
              <w:tc>
                <w:tcPr>
                  <w:tcW w:w="731" w:type="pct"/>
                  <w:vAlign w:val="center"/>
                </w:tcPr>
                <w:p w14:paraId="047C8685">
                  <w:pPr>
                    <w:adjustRightInd w:val="0"/>
                    <w:jc w:val="center"/>
                    <w:rPr>
                      <w:szCs w:val="21"/>
                    </w:rPr>
                  </w:pPr>
                  <w:r>
                    <w:rPr>
                      <w:rFonts w:hint="eastAsia"/>
                      <w:szCs w:val="21"/>
                    </w:rPr>
                    <w:t>32</w:t>
                  </w:r>
                </w:p>
              </w:tc>
              <w:tc>
                <w:tcPr>
                  <w:tcW w:w="731" w:type="pct"/>
                  <w:vAlign w:val="center"/>
                </w:tcPr>
                <w:p w14:paraId="5BDC33FC">
                  <w:pPr>
                    <w:adjustRightInd w:val="0"/>
                    <w:jc w:val="center"/>
                    <w:rPr>
                      <w:szCs w:val="21"/>
                    </w:rPr>
                  </w:pPr>
                  <w:r>
                    <w:rPr>
                      <w:szCs w:val="21"/>
                    </w:rPr>
                    <w:t>40</w:t>
                  </w:r>
                </w:p>
              </w:tc>
              <w:tc>
                <w:tcPr>
                  <w:tcW w:w="568" w:type="pct"/>
                  <w:vAlign w:val="center"/>
                </w:tcPr>
                <w:p w14:paraId="20AB0F7B">
                  <w:pPr>
                    <w:adjustRightInd w:val="0"/>
                    <w:jc w:val="center"/>
                    <w:rPr>
                      <w:szCs w:val="21"/>
                    </w:rPr>
                  </w:pPr>
                  <w:r>
                    <w:rPr>
                      <w:rFonts w:hint="eastAsia"/>
                      <w:szCs w:val="21"/>
                    </w:rPr>
                    <w:t>80</w:t>
                  </w:r>
                </w:p>
              </w:tc>
              <w:tc>
                <w:tcPr>
                  <w:tcW w:w="614" w:type="pct"/>
                  <w:vAlign w:val="center"/>
                </w:tcPr>
                <w:p w14:paraId="315082DE">
                  <w:pPr>
                    <w:adjustRightInd w:val="0"/>
                    <w:jc w:val="center"/>
                    <w:rPr>
                      <w:szCs w:val="21"/>
                      <w:lang w:val="zh-CN"/>
                    </w:rPr>
                  </w:pPr>
                  <w:r>
                    <w:rPr>
                      <w:szCs w:val="21"/>
                      <w:lang w:val="zh-CN"/>
                    </w:rPr>
                    <w:t>达标</w:t>
                  </w:r>
                </w:p>
              </w:tc>
            </w:tr>
            <w:tr w14:paraId="1EFE1E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10" w:type="pct"/>
                  <w:vAlign w:val="center"/>
                </w:tcPr>
                <w:p w14:paraId="389AAEAB">
                  <w:pPr>
                    <w:adjustRightInd w:val="0"/>
                    <w:snapToGrid w:val="0"/>
                    <w:jc w:val="center"/>
                    <w:rPr>
                      <w:szCs w:val="21"/>
                    </w:rPr>
                  </w:pPr>
                  <w:r>
                    <w:rPr>
                      <w:szCs w:val="21"/>
                    </w:rPr>
                    <w:t>PM</w:t>
                  </w:r>
                  <w:r>
                    <w:rPr>
                      <w:szCs w:val="21"/>
                      <w:vertAlign w:val="subscript"/>
                    </w:rPr>
                    <w:t>2.5</w:t>
                  </w:r>
                </w:p>
              </w:tc>
              <w:tc>
                <w:tcPr>
                  <w:tcW w:w="1544" w:type="pct"/>
                  <w:vMerge w:val="continue"/>
                  <w:vAlign w:val="center"/>
                </w:tcPr>
                <w:p w14:paraId="473ACC10">
                  <w:pPr>
                    <w:adjustRightInd w:val="0"/>
                    <w:snapToGrid w:val="0"/>
                    <w:jc w:val="center"/>
                    <w:rPr>
                      <w:szCs w:val="21"/>
                    </w:rPr>
                  </w:pPr>
                </w:p>
              </w:tc>
              <w:tc>
                <w:tcPr>
                  <w:tcW w:w="731" w:type="pct"/>
                  <w:vAlign w:val="center"/>
                </w:tcPr>
                <w:p w14:paraId="49731F77">
                  <w:pPr>
                    <w:adjustRightInd w:val="0"/>
                    <w:jc w:val="center"/>
                    <w:rPr>
                      <w:szCs w:val="21"/>
                    </w:rPr>
                  </w:pPr>
                  <w:r>
                    <w:rPr>
                      <w:rFonts w:hint="eastAsia"/>
                      <w:szCs w:val="21"/>
                    </w:rPr>
                    <w:t>34</w:t>
                  </w:r>
                </w:p>
              </w:tc>
              <w:tc>
                <w:tcPr>
                  <w:tcW w:w="731" w:type="pct"/>
                  <w:vAlign w:val="center"/>
                </w:tcPr>
                <w:p w14:paraId="6FDC3D1A">
                  <w:pPr>
                    <w:adjustRightInd w:val="0"/>
                    <w:jc w:val="center"/>
                    <w:rPr>
                      <w:szCs w:val="21"/>
                    </w:rPr>
                  </w:pPr>
                  <w:r>
                    <w:rPr>
                      <w:szCs w:val="21"/>
                    </w:rPr>
                    <w:t>35</w:t>
                  </w:r>
                </w:p>
              </w:tc>
              <w:tc>
                <w:tcPr>
                  <w:tcW w:w="568" w:type="pct"/>
                  <w:vAlign w:val="center"/>
                </w:tcPr>
                <w:p w14:paraId="00771465">
                  <w:pPr>
                    <w:adjustRightInd w:val="0"/>
                    <w:jc w:val="center"/>
                    <w:rPr>
                      <w:szCs w:val="21"/>
                    </w:rPr>
                  </w:pPr>
                  <w:r>
                    <w:rPr>
                      <w:rFonts w:hint="eastAsia"/>
                      <w:szCs w:val="21"/>
                    </w:rPr>
                    <w:t>97.1</w:t>
                  </w:r>
                </w:p>
              </w:tc>
              <w:tc>
                <w:tcPr>
                  <w:tcW w:w="614" w:type="pct"/>
                  <w:vAlign w:val="center"/>
                </w:tcPr>
                <w:p w14:paraId="72236E5D">
                  <w:pPr>
                    <w:adjustRightInd w:val="0"/>
                    <w:jc w:val="center"/>
                    <w:rPr>
                      <w:szCs w:val="21"/>
                      <w:lang w:val="zh-CN"/>
                    </w:rPr>
                  </w:pPr>
                  <w:r>
                    <w:rPr>
                      <w:szCs w:val="21"/>
                      <w:lang w:val="zh-CN"/>
                    </w:rPr>
                    <w:t>达标</w:t>
                  </w:r>
                </w:p>
              </w:tc>
            </w:tr>
            <w:tr w14:paraId="3E7F85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10" w:type="pct"/>
                  <w:vAlign w:val="center"/>
                </w:tcPr>
                <w:p w14:paraId="2E68A9CB">
                  <w:pPr>
                    <w:adjustRightInd w:val="0"/>
                    <w:snapToGrid w:val="0"/>
                    <w:jc w:val="center"/>
                    <w:rPr>
                      <w:szCs w:val="21"/>
                    </w:rPr>
                  </w:pPr>
                  <w:r>
                    <w:rPr>
                      <w:szCs w:val="21"/>
                    </w:rPr>
                    <w:t>CO（mg/m</w:t>
                  </w:r>
                  <w:r>
                    <w:rPr>
                      <w:szCs w:val="21"/>
                      <w:vertAlign w:val="superscript"/>
                    </w:rPr>
                    <w:t>3</w:t>
                  </w:r>
                  <w:r>
                    <w:rPr>
                      <w:szCs w:val="21"/>
                    </w:rPr>
                    <w:t>）</w:t>
                  </w:r>
                </w:p>
              </w:tc>
              <w:tc>
                <w:tcPr>
                  <w:tcW w:w="1544" w:type="pct"/>
                  <w:vAlign w:val="center"/>
                </w:tcPr>
                <w:p w14:paraId="5F3301C2">
                  <w:pPr>
                    <w:adjustRightInd w:val="0"/>
                    <w:snapToGrid w:val="0"/>
                    <w:jc w:val="center"/>
                    <w:rPr>
                      <w:szCs w:val="21"/>
                    </w:rPr>
                  </w:pPr>
                  <w:r>
                    <w:rPr>
                      <w:szCs w:val="21"/>
                    </w:rPr>
                    <w:t>日均浓度的第95百分位数</w:t>
                  </w:r>
                </w:p>
              </w:tc>
              <w:tc>
                <w:tcPr>
                  <w:tcW w:w="731" w:type="pct"/>
                  <w:vAlign w:val="center"/>
                </w:tcPr>
                <w:p w14:paraId="4F7C7167">
                  <w:pPr>
                    <w:adjustRightInd w:val="0"/>
                    <w:jc w:val="center"/>
                    <w:rPr>
                      <w:szCs w:val="21"/>
                    </w:rPr>
                  </w:pPr>
                  <w:r>
                    <w:rPr>
                      <w:rFonts w:hint="eastAsia"/>
                      <w:szCs w:val="21"/>
                    </w:rPr>
                    <w:t>1.2</w:t>
                  </w:r>
                  <w:r>
                    <w:rPr>
                      <w:szCs w:val="21"/>
                    </w:rPr>
                    <w:t>（mg/m</w:t>
                  </w:r>
                  <w:r>
                    <w:rPr>
                      <w:szCs w:val="21"/>
                      <w:vertAlign w:val="superscript"/>
                    </w:rPr>
                    <w:t>3</w:t>
                  </w:r>
                  <w:r>
                    <w:rPr>
                      <w:szCs w:val="21"/>
                    </w:rPr>
                    <w:t>）</w:t>
                  </w:r>
                </w:p>
              </w:tc>
              <w:tc>
                <w:tcPr>
                  <w:tcW w:w="731" w:type="pct"/>
                  <w:vAlign w:val="center"/>
                </w:tcPr>
                <w:p w14:paraId="4853B444">
                  <w:pPr>
                    <w:adjustRightInd w:val="0"/>
                    <w:jc w:val="center"/>
                    <w:rPr>
                      <w:szCs w:val="21"/>
                    </w:rPr>
                  </w:pPr>
                  <w:r>
                    <w:rPr>
                      <w:szCs w:val="21"/>
                    </w:rPr>
                    <w:t>4（mg/m</w:t>
                  </w:r>
                  <w:r>
                    <w:rPr>
                      <w:szCs w:val="21"/>
                      <w:vertAlign w:val="superscript"/>
                    </w:rPr>
                    <w:t>3</w:t>
                  </w:r>
                  <w:r>
                    <w:rPr>
                      <w:szCs w:val="21"/>
                    </w:rPr>
                    <w:t>）</w:t>
                  </w:r>
                </w:p>
              </w:tc>
              <w:tc>
                <w:tcPr>
                  <w:tcW w:w="568" w:type="pct"/>
                  <w:vAlign w:val="center"/>
                </w:tcPr>
                <w:p w14:paraId="068184F5">
                  <w:pPr>
                    <w:adjustRightInd w:val="0"/>
                    <w:jc w:val="center"/>
                    <w:rPr>
                      <w:szCs w:val="21"/>
                    </w:rPr>
                  </w:pPr>
                  <w:r>
                    <w:rPr>
                      <w:rFonts w:hint="eastAsia"/>
                      <w:szCs w:val="21"/>
                    </w:rPr>
                    <w:t>30</w:t>
                  </w:r>
                </w:p>
              </w:tc>
              <w:tc>
                <w:tcPr>
                  <w:tcW w:w="614" w:type="pct"/>
                  <w:vAlign w:val="center"/>
                </w:tcPr>
                <w:p w14:paraId="67F60CF8">
                  <w:pPr>
                    <w:adjustRightInd w:val="0"/>
                    <w:jc w:val="center"/>
                    <w:rPr>
                      <w:szCs w:val="21"/>
                      <w:lang w:val="zh-CN"/>
                    </w:rPr>
                  </w:pPr>
                  <w:r>
                    <w:rPr>
                      <w:szCs w:val="21"/>
                      <w:lang w:val="zh-CN"/>
                    </w:rPr>
                    <w:t>达标</w:t>
                  </w:r>
                </w:p>
              </w:tc>
            </w:tr>
            <w:tr w14:paraId="166F4B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10" w:type="pct"/>
                  <w:vAlign w:val="center"/>
                </w:tcPr>
                <w:p w14:paraId="68A1E011">
                  <w:pPr>
                    <w:adjustRightInd w:val="0"/>
                    <w:snapToGrid w:val="0"/>
                    <w:jc w:val="center"/>
                    <w:rPr>
                      <w:szCs w:val="21"/>
                    </w:rPr>
                  </w:pPr>
                  <w:r>
                    <w:rPr>
                      <w:szCs w:val="21"/>
                    </w:rPr>
                    <w:t>O</w:t>
                  </w:r>
                  <w:r>
                    <w:rPr>
                      <w:szCs w:val="21"/>
                      <w:vertAlign w:val="subscript"/>
                    </w:rPr>
                    <w:t>3</w:t>
                  </w:r>
                </w:p>
              </w:tc>
              <w:tc>
                <w:tcPr>
                  <w:tcW w:w="1544" w:type="pct"/>
                  <w:vAlign w:val="center"/>
                </w:tcPr>
                <w:p w14:paraId="7989E928">
                  <w:pPr>
                    <w:adjustRightInd w:val="0"/>
                    <w:snapToGrid w:val="0"/>
                    <w:jc w:val="center"/>
                    <w:rPr>
                      <w:szCs w:val="21"/>
                    </w:rPr>
                  </w:pPr>
                  <w:r>
                    <w:rPr>
                      <w:szCs w:val="21"/>
                    </w:rPr>
                    <w:t>日最大8h平均浓度的第90百分位数</w:t>
                  </w:r>
                </w:p>
              </w:tc>
              <w:tc>
                <w:tcPr>
                  <w:tcW w:w="731" w:type="pct"/>
                  <w:vAlign w:val="center"/>
                </w:tcPr>
                <w:p w14:paraId="36696F11">
                  <w:pPr>
                    <w:adjustRightInd w:val="0"/>
                    <w:jc w:val="center"/>
                    <w:rPr>
                      <w:rFonts w:hint="eastAsia"/>
                      <w:szCs w:val="21"/>
                    </w:rPr>
                  </w:pPr>
                  <w:r>
                    <w:rPr>
                      <w:rFonts w:hint="eastAsia"/>
                      <w:szCs w:val="21"/>
                    </w:rPr>
                    <w:t>126</w:t>
                  </w:r>
                </w:p>
              </w:tc>
              <w:tc>
                <w:tcPr>
                  <w:tcW w:w="731" w:type="pct"/>
                  <w:vAlign w:val="center"/>
                </w:tcPr>
                <w:p w14:paraId="5AD4213D">
                  <w:pPr>
                    <w:adjustRightInd w:val="0"/>
                    <w:jc w:val="center"/>
                    <w:rPr>
                      <w:szCs w:val="21"/>
                    </w:rPr>
                  </w:pPr>
                  <w:r>
                    <w:rPr>
                      <w:szCs w:val="21"/>
                    </w:rPr>
                    <w:t>160</w:t>
                  </w:r>
                </w:p>
              </w:tc>
              <w:tc>
                <w:tcPr>
                  <w:tcW w:w="568" w:type="pct"/>
                  <w:vAlign w:val="center"/>
                </w:tcPr>
                <w:p w14:paraId="4D1158B9">
                  <w:pPr>
                    <w:adjustRightInd w:val="0"/>
                    <w:jc w:val="center"/>
                    <w:rPr>
                      <w:szCs w:val="21"/>
                    </w:rPr>
                  </w:pPr>
                  <w:r>
                    <w:rPr>
                      <w:rFonts w:hint="eastAsia"/>
                      <w:szCs w:val="21"/>
                    </w:rPr>
                    <w:t>78.75</w:t>
                  </w:r>
                </w:p>
              </w:tc>
              <w:tc>
                <w:tcPr>
                  <w:tcW w:w="614" w:type="pct"/>
                  <w:vAlign w:val="center"/>
                </w:tcPr>
                <w:p w14:paraId="13DD8801">
                  <w:pPr>
                    <w:adjustRightInd w:val="0"/>
                    <w:jc w:val="center"/>
                    <w:rPr>
                      <w:szCs w:val="21"/>
                      <w:lang w:val="zh-CN"/>
                    </w:rPr>
                  </w:pPr>
                  <w:r>
                    <w:rPr>
                      <w:szCs w:val="21"/>
                      <w:lang w:val="zh-CN"/>
                    </w:rPr>
                    <w:t>达标</w:t>
                  </w:r>
                </w:p>
              </w:tc>
            </w:tr>
          </w:tbl>
          <w:p w14:paraId="7BCB7F36">
            <w:pPr>
              <w:spacing w:beforeLines="50" w:line="360" w:lineRule="auto"/>
              <w:ind w:firstLine="480" w:firstLineChars="200"/>
              <w:rPr>
                <w:sz w:val="24"/>
              </w:rPr>
            </w:pPr>
            <w:r>
              <w:rPr>
                <w:rFonts w:hAnsi="宋体"/>
                <w:sz w:val="24"/>
              </w:rPr>
              <w:t>据表分析，项目所在区域</w:t>
            </w:r>
            <w:r>
              <w:rPr>
                <w:sz w:val="24"/>
              </w:rPr>
              <w:t>SO</w:t>
            </w:r>
            <w:r>
              <w:rPr>
                <w:sz w:val="24"/>
                <w:vertAlign w:val="subscript"/>
              </w:rPr>
              <w:t>2</w:t>
            </w:r>
            <w:r>
              <w:rPr>
                <w:rFonts w:hAnsi="宋体"/>
                <w:sz w:val="24"/>
              </w:rPr>
              <w:t>、</w:t>
            </w:r>
            <w:r>
              <w:rPr>
                <w:sz w:val="24"/>
              </w:rPr>
              <w:t>NO</w:t>
            </w:r>
            <w:r>
              <w:rPr>
                <w:sz w:val="24"/>
                <w:vertAlign w:val="subscript"/>
              </w:rPr>
              <w:t>2</w:t>
            </w:r>
            <w:r>
              <w:rPr>
                <w:rFonts w:hAnsi="宋体"/>
                <w:sz w:val="24"/>
              </w:rPr>
              <w:t>、</w:t>
            </w:r>
            <w:r>
              <w:rPr>
                <w:sz w:val="24"/>
              </w:rPr>
              <w:t>PM</w:t>
            </w:r>
            <w:r>
              <w:rPr>
                <w:sz w:val="24"/>
                <w:vertAlign w:val="subscript"/>
              </w:rPr>
              <w:t>10</w:t>
            </w:r>
            <w:r>
              <w:rPr>
                <w:rFonts w:hAnsi="宋体"/>
                <w:sz w:val="24"/>
              </w:rPr>
              <w:t>、</w:t>
            </w:r>
            <w:r>
              <w:rPr>
                <w:sz w:val="24"/>
              </w:rPr>
              <w:t>PM</w:t>
            </w:r>
            <w:r>
              <w:rPr>
                <w:sz w:val="24"/>
                <w:vertAlign w:val="subscript"/>
              </w:rPr>
              <w:t>2.5</w:t>
            </w:r>
            <w:r>
              <w:rPr>
                <w:rFonts w:hAnsi="宋体"/>
                <w:sz w:val="24"/>
              </w:rPr>
              <w:t>、</w:t>
            </w:r>
            <w:r>
              <w:rPr>
                <w:sz w:val="24"/>
              </w:rPr>
              <w:t>CO</w:t>
            </w:r>
            <w:r>
              <w:rPr>
                <w:rFonts w:hAnsi="宋体"/>
                <w:sz w:val="24"/>
              </w:rPr>
              <w:t>、</w:t>
            </w:r>
            <w:r>
              <w:rPr>
                <w:sz w:val="24"/>
              </w:rPr>
              <w:t>O</w:t>
            </w:r>
            <w:r>
              <w:rPr>
                <w:sz w:val="24"/>
                <w:vertAlign w:val="subscript"/>
              </w:rPr>
              <w:t>3</w:t>
            </w:r>
            <w:r>
              <w:rPr>
                <w:rFonts w:hAnsi="宋体"/>
                <w:sz w:val="24"/>
              </w:rPr>
              <w:t>均满足《环境空气质量标准》（</w:t>
            </w:r>
            <w:r>
              <w:rPr>
                <w:sz w:val="24"/>
              </w:rPr>
              <w:t>GB3095-2012</w:t>
            </w:r>
            <w:r>
              <w:rPr>
                <w:rFonts w:hAnsi="宋体"/>
                <w:sz w:val="24"/>
              </w:rPr>
              <w:t>）二级标准。项目所在区域为环境空气质量达标区域。</w:t>
            </w:r>
          </w:p>
          <w:p w14:paraId="059D73C2">
            <w:pPr>
              <w:numPr>
                <w:ilvl w:val="0"/>
                <w:numId w:val="3"/>
              </w:numPr>
              <w:adjustRightInd w:val="0"/>
              <w:snapToGrid w:val="0"/>
              <w:spacing w:line="360" w:lineRule="auto"/>
              <w:ind w:firstLine="482" w:firstLineChars="200"/>
              <w:jc w:val="left"/>
              <w:rPr>
                <w:rFonts w:hint="eastAsia"/>
                <w:b/>
                <w:bCs/>
                <w:sz w:val="24"/>
              </w:rPr>
            </w:pPr>
            <w:r>
              <w:rPr>
                <w:rFonts w:hint="eastAsia"/>
                <w:b/>
                <w:bCs/>
                <w:sz w:val="24"/>
              </w:rPr>
              <w:t>其他污染物环境质量现状评价</w:t>
            </w:r>
          </w:p>
          <w:p w14:paraId="4D65AFC0">
            <w:pPr>
              <w:adjustRightInd w:val="0"/>
              <w:snapToGrid w:val="0"/>
              <w:spacing w:line="360" w:lineRule="auto"/>
              <w:ind w:firstLine="480" w:firstLineChars="200"/>
              <w:jc w:val="left"/>
              <w:rPr>
                <w:sz w:val="24"/>
              </w:rPr>
            </w:pPr>
            <w:r>
              <w:rPr>
                <w:sz w:val="24"/>
              </w:rPr>
              <w:t>本</w:t>
            </w:r>
            <w:r>
              <w:rPr>
                <w:rFonts w:hint="eastAsia"/>
                <w:sz w:val="24"/>
              </w:rPr>
              <w:t>项目</w:t>
            </w:r>
            <w:r>
              <w:rPr>
                <w:sz w:val="24"/>
              </w:rPr>
              <w:t>引用</w:t>
            </w:r>
            <w:r>
              <w:rPr>
                <w:rFonts w:hint="eastAsia" w:hAnsi="宋体"/>
                <w:sz w:val="24"/>
              </w:rPr>
              <w:t>《重庆涪陵工业园区李渡组团规划调整环境影响评价检测报告》（厦美[2021]第HP180号）中</w:t>
            </w:r>
            <w:r>
              <w:rPr>
                <w:rFonts w:hint="eastAsia"/>
                <w:sz w:val="24"/>
              </w:rPr>
              <w:t>非甲烷总烃监测数据</w:t>
            </w:r>
            <w:r>
              <w:rPr>
                <w:sz w:val="24"/>
              </w:rPr>
              <w:t>对</w:t>
            </w:r>
            <w:r>
              <w:rPr>
                <w:rFonts w:hint="eastAsia"/>
                <w:sz w:val="24"/>
              </w:rPr>
              <w:t>本</w:t>
            </w:r>
            <w:r>
              <w:rPr>
                <w:sz w:val="24"/>
              </w:rPr>
              <w:t>项目所在地环境空气质量现状监测数据进行评价</w:t>
            </w:r>
            <w:r>
              <w:rPr>
                <w:rFonts w:hint="eastAsia"/>
                <w:sz w:val="24"/>
              </w:rPr>
              <w:t>。</w:t>
            </w:r>
            <w:r>
              <w:rPr>
                <w:sz w:val="24"/>
              </w:rPr>
              <w:t>监</w:t>
            </w:r>
            <w:r>
              <w:rPr>
                <w:rFonts w:hAnsi="宋体"/>
                <w:sz w:val="24"/>
              </w:rPr>
              <w:t>测点位于</w:t>
            </w:r>
            <w:r>
              <w:rPr>
                <w:rFonts w:hint="eastAsia" w:hAnsi="宋体"/>
                <w:sz w:val="24"/>
              </w:rPr>
              <w:t>涪陵十九中学</w:t>
            </w:r>
            <w:r>
              <w:rPr>
                <w:rFonts w:hAnsi="宋体"/>
                <w:sz w:val="24"/>
              </w:rPr>
              <w:t>，距本项目距离</w:t>
            </w:r>
            <w:r>
              <w:rPr>
                <w:rFonts w:hint="eastAsia" w:hAnsi="宋体"/>
                <w:color w:val="000000"/>
                <w:sz w:val="24"/>
              </w:rPr>
              <w:t>3.586</w:t>
            </w:r>
            <w:r>
              <w:rPr>
                <w:rFonts w:hAnsi="宋体"/>
                <w:color w:val="000000"/>
                <w:sz w:val="24"/>
              </w:rPr>
              <w:t>km</w:t>
            </w:r>
            <w:r>
              <w:rPr>
                <w:rFonts w:hAnsi="宋体"/>
                <w:sz w:val="24"/>
              </w:rPr>
              <w:t>，</w:t>
            </w:r>
            <w:r>
              <w:rPr>
                <w:rFonts w:hint="eastAsia" w:hAnsi="宋体"/>
                <w:sz w:val="24"/>
              </w:rPr>
              <w:t>在5km范围内，</w:t>
            </w:r>
            <w:r>
              <w:rPr>
                <w:rFonts w:hAnsi="宋体"/>
                <w:sz w:val="24"/>
              </w:rPr>
              <w:t>监测时间未超过3年，区域环境空气质量未发生重大变</w:t>
            </w:r>
            <w:r>
              <w:rPr>
                <w:sz w:val="24"/>
              </w:rPr>
              <w:t>化，大气数据能够代表拟建项目所在地的大气环境质量，引用该数据兼具有效性和时效性。</w:t>
            </w:r>
          </w:p>
          <w:p w14:paraId="62B43C9D">
            <w:pPr>
              <w:numPr>
                <w:ilvl w:val="0"/>
                <w:numId w:val="4"/>
              </w:numPr>
              <w:spacing w:line="360" w:lineRule="auto"/>
              <w:rPr>
                <w:sz w:val="24"/>
              </w:rPr>
            </w:pPr>
            <w:r>
              <w:rPr>
                <w:sz w:val="24"/>
              </w:rPr>
              <w:t>监测因子：非甲烷总烃</w:t>
            </w:r>
            <w:r>
              <w:rPr>
                <w:rFonts w:hint="eastAsia"/>
                <w:sz w:val="24"/>
              </w:rPr>
              <w:t>。</w:t>
            </w:r>
          </w:p>
          <w:p w14:paraId="4F6DB400">
            <w:pPr>
              <w:numPr>
                <w:ilvl w:val="0"/>
                <w:numId w:val="4"/>
              </w:numPr>
              <w:spacing w:line="360" w:lineRule="auto"/>
              <w:rPr>
                <w:color w:val="000000"/>
                <w:kern w:val="0"/>
                <w:sz w:val="24"/>
                <w:szCs w:val="26"/>
              </w:rPr>
            </w:pPr>
            <w:r>
              <w:rPr>
                <w:sz w:val="24"/>
              </w:rPr>
              <w:t>监测时间：20</w:t>
            </w:r>
            <w:r>
              <w:rPr>
                <w:rFonts w:hint="eastAsia"/>
                <w:sz w:val="24"/>
              </w:rPr>
              <w:t>21</w:t>
            </w:r>
            <w:r>
              <w:rPr>
                <w:sz w:val="24"/>
              </w:rPr>
              <w:t>年</w:t>
            </w:r>
            <w:r>
              <w:rPr>
                <w:rFonts w:hint="eastAsia"/>
                <w:sz w:val="24"/>
              </w:rPr>
              <w:t>5</w:t>
            </w:r>
            <w:r>
              <w:rPr>
                <w:sz w:val="24"/>
              </w:rPr>
              <w:t>月</w:t>
            </w:r>
            <w:r>
              <w:rPr>
                <w:rFonts w:hint="eastAsia"/>
                <w:sz w:val="24"/>
              </w:rPr>
              <w:t>16</w:t>
            </w:r>
            <w:r>
              <w:rPr>
                <w:sz w:val="24"/>
              </w:rPr>
              <w:t>日</w:t>
            </w:r>
            <w:r>
              <w:rPr>
                <w:color w:val="000000"/>
                <w:kern w:val="0"/>
                <w:sz w:val="24"/>
                <w:szCs w:val="26"/>
              </w:rPr>
              <w:t>~</w:t>
            </w:r>
            <w:r>
              <w:rPr>
                <w:rFonts w:hint="eastAsia"/>
                <w:color w:val="000000"/>
                <w:kern w:val="0"/>
                <w:sz w:val="24"/>
                <w:szCs w:val="26"/>
              </w:rPr>
              <w:t>5</w:t>
            </w:r>
            <w:r>
              <w:rPr>
                <w:color w:val="000000"/>
                <w:kern w:val="0"/>
                <w:sz w:val="24"/>
                <w:szCs w:val="26"/>
              </w:rPr>
              <w:t>月</w:t>
            </w:r>
            <w:r>
              <w:rPr>
                <w:rFonts w:hint="eastAsia"/>
                <w:color w:val="000000"/>
                <w:kern w:val="0"/>
                <w:sz w:val="24"/>
                <w:szCs w:val="26"/>
              </w:rPr>
              <w:t>22</w:t>
            </w:r>
            <w:r>
              <w:rPr>
                <w:color w:val="000000"/>
                <w:kern w:val="0"/>
                <w:sz w:val="24"/>
                <w:szCs w:val="26"/>
              </w:rPr>
              <w:t>日，连续监测</w:t>
            </w:r>
            <w:r>
              <w:rPr>
                <w:rFonts w:hint="eastAsia"/>
                <w:color w:val="000000"/>
                <w:kern w:val="0"/>
                <w:sz w:val="24"/>
                <w:szCs w:val="26"/>
              </w:rPr>
              <w:t>7</w:t>
            </w:r>
            <w:r>
              <w:rPr>
                <w:color w:val="000000"/>
                <w:kern w:val="0"/>
                <w:sz w:val="24"/>
                <w:szCs w:val="26"/>
              </w:rPr>
              <w:t>d</w:t>
            </w:r>
            <w:r>
              <w:rPr>
                <w:rFonts w:hint="eastAsia"/>
                <w:color w:val="000000"/>
                <w:kern w:val="0"/>
                <w:sz w:val="24"/>
                <w:szCs w:val="26"/>
              </w:rPr>
              <w:t>，8次/天</w:t>
            </w:r>
          </w:p>
          <w:p w14:paraId="12779046">
            <w:pPr>
              <w:numPr>
                <w:ilvl w:val="0"/>
                <w:numId w:val="4"/>
              </w:numPr>
              <w:spacing w:line="360" w:lineRule="auto"/>
              <w:rPr>
                <w:sz w:val="24"/>
              </w:rPr>
            </w:pPr>
            <w:r>
              <w:rPr>
                <w:sz w:val="24"/>
              </w:rPr>
              <w:t xml:space="preserve">评价方法及标准 </w:t>
            </w:r>
          </w:p>
          <w:p w14:paraId="68C083AC">
            <w:pPr>
              <w:spacing w:line="360" w:lineRule="auto"/>
              <w:ind w:firstLine="454"/>
              <w:rPr>
                <w:rFonts w:hint="eastAsia"/>
                <w:sz w:val="24"/>
              </w:rPr>
            </w:pPr>
            <w:r>
              <w:rPr>
                <w:sz w:val="24"/>
              </w:rPr>
              <w:t>评价方法采用超标率、最大浓度占标率对环境空气质量进行现状评价。评价标准采用《环境空气质量</w:t>
            </w:r>
            <w:r>
              <w:rPr>
                <w:rFonts w:hint="eastAsia"/>
                <w:sz w:val="24"/>
              </w:rPr>
              <w:t xml:space="preserve"> </w:t>
            </w:r>
            <w:r>
              <w:rPr>
                <w:sz w:val="24"/>
              </w:rPr>
              <w:t>非甲烷总烃限值》(DB13/1577—2012)的二级标准</w:t>
            </w:r>
            <w:r>
              <w:rPr>
                <w:rFonts w:hint="eastAsia"/>
                <w:sz w:val="24"/>
              </w:rPr>
              <w:t>。</w:t>
            </w:r>
          </w:p>
          <w:p w14:paraId="509150DF">
            <w:pPr>
              <w:numPr>
                <w:ilvl w:val="0"/>
                <w:numId w:val="4"/>
              </w:numPr>
              <w:spacing w:line="360" w:lineRule="auto"/>
              <w:rPr>
                <w:sz w:val="24"/>
              </w:rPr>
            </w:pPr>
            <w:r>
              <w:rPr>
                <w:sz w:val="24"/>
              </w:rPr>
              <w:t>评价方法</w:t>
            </w:r>
          </w:p>
          <w:p w14:paraId="6AD3B641">
            <w:pPr>
              <w:spacing w:line="360" w:lineRule="auto"/>
              <w:ind w:firstLine="454"/>
              <w:rPr>
                <w:sz w:val="24"/>
              </w:rPr>
            </w:pPr>
            <w:r>
              <w:rPr>
                <w:sz w:val="24"/>
              </w:rPr>
              <w:t>根据《环境影响评价技术导则 大气环境》(HJ 2.2-20</w:t>
            </w:r>
            <w:r>
              <w:rPr>
                <w:rFonts w:hint="eastAsia"/>
                <w:sz w:val="24"/>
              </w:rPr>
              <w:t>1</w:t>
            </w:r>
            <w:r>
              <w:rPr>
                <w:sz w:val="24"/>
              </w:rPr>
              <w:t>8)，用污染物最大地面占标率对环境空气质量现状进行评价。计算公式如下：</w:t>
            </w:r>
          </w:p>
          <w:p w14:paraId="0DDFF07E">
            <w:pPr>
              <w:pStyle w:val="48"/>
              <w:spacing w:line="360" w:lineRule="auto"/>
              <w:ind w:firstLine="200"/>
              <w:rPr>
                <w:rFonts w:ascii="Times New Roman" w:hAnsi="Times New Roman"/>
                <w:position w:val="-30"/>
              </w:rPr>
            </w:pPr>
            <w:r>
              <w:drawing>
                <wp:inline distT="0" distB="0" distL="0" distR="0">
                  <wp:extent cx="983615" cy="362585"/>
                  <wp:effectExtent l="19050" t="0" r="698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4"/>
                          <a:srcRect/>
                          <a:stretch>
                            <a:fillRect/>
                          </a:stretch>
                        </pic:blipFill>
                        <pic:spPr>
                          <a:xfrm>
                            <a:off x="0" y="0"/>
                            <a:ext cx="983615" cy="362585"/>
                          </a:xfrm>
                          <a:prstGeom prst="rect">
                            <a:avLst/>
                          </a:prstGeom>
                          <a:noFill/>
                          <a:ln w="9525" cmpd="sng">
                            <a:noFill/>
                            <a:miter lim="800000"/>
                            <a:headEnd/>
                            <a:tailEnd/>
                          </a:ln>
                        </pic:spPr>
                      </pic:pic>
                    </a:graphicData>
                  </a:graphic>
                </wp:inline>
              </w:drawing>
            </w:r>
          </w:p>
          <w:p w14:paraId="3F80A379">
            <w:pPr>
              <w:spacing w:line="360" w:lineRule="auto"/>
              <w:ind w:firstLine="454"/>
              <w:rPr>
                <w:sz w:val="24"/>
              </w:rPr>
            </w:pPr>
            <w:r>
              <w:rPr>
                <w:sz w:val="24"/>
              </w:rPr>
              <w:t>式中：P</w:t>
            </w:r>
            <w:r>
              <w:rPr>
                <w:sz w:val="24"/>
                <w:vertAlign w:val="subscript"/>
              </w:rPr>
              <w:t>i</w:t>
            </w:r>
            <w:r>
              <w:rPr>
                <w:sz w:val="24"/>
              </w:rPr>
              <w:t>——第i个污染物的监测最大浓度占相应标准浓度限值的百分比，%；</w:t>
            </w:r>
          </w:p>
          <w:p w14:paraId="1A379C04">
            <w:pPr>
              <w:spacing w:line="360" w:lineRule="auto"/>
              <w:ind w:firstLine="454"/>
              <w:rPr>
                <w:sz w:val="24"/>
              </w:rPr>
            </w:pPr>
            <w:r>
              <w:rPr>
                <w:sz w:val="24"/>
              </w:rPr>
              <w:t>C</w:t>
            </w:r>
            <w:r>
              <w:rPr>
                <w:sz w:val="24"/>
                <w:vertAlign w:val="subscript"/>
              </w:rPr>
              <w:t>i</w:t>
            </w:r>
            <w:r>
              <w:rPr>
                <w:sz w:val="24"/>
              </w:rPr>
              <w:t>——第i个污染物的监测浓度值，mg/m</w:t>
            </w:r>
            <w:r>
              <w:rPr>
                <w:sz w:val="24"/>
                <w:vertAlign w:val="superscript"/>
              </w:rPr>
              <w:t>3</w:t>
            </w:r>
            <w:r>
              <w:rPr>
                <w:sz w:val="24"/>
              </w:rPr>
              <w:t>；</w:t>
            </w:r>
          </w:p>
          <w:p w14:paraId="7282E971">
            <w:pPr>
              <w:spacing w:line="360" w:lineRule="auto"/>
              <w:ind w:firstLine="454"/>
              <w:rPr>
                <w:sz w:val="24"/>
              </w:rPr>
            </w:pPr>
            <w:r>
              <w:rPr>
                <w:sz w:val="24"/>
              </w:rPr>
              <w:t>C</w:t>
            </w:r>
            <w:r>
              <w:rPr>
                <w:sz w:val="24"/>
                <w:vertAlign w:val="subscript"/>
              </w:rPr>
              <w:t>0i</w:t>
            </w:r>
            <w:r>
              <w:rPr>
                <w:sz w:val="24"/>
              </w:rPr>
              <w:t>——第i个污染物的环境空气质量标准，mg/m</w:t>
            </w:r>
            <w:r>
              <w:rPr>
                <w:sz w:val="24"/>
                <w:vertAlign w:val="superscript"/>
              </w:rPr>
              <w:t>3</w:t>
            </w:r>
            <w:r>
              <w:rPr>
                <w:sz w:val="24"/>
              </w:rPr>
              <w:t>。</w:t>
            </w:r>
          </w:p>
          <w:p w14:paraId="436A57D5">
            <w:pPr>
              <w:numPr>
                <w:ilvl w:val="0"/>
                <w:numId w:val="4"/>
              </w:numPr>
              <w:spacing w:line="360" w:lineRule="auto"/>
              <w:rPr>
                <w:sz w:val="24"/>
              </w:rPr>
            </w:pPr>
            <w:r>
              <w:rPr>
                <w:sz w:val="24"/>
              </w:rPr>
              <w:t>评价结果</w:t>
            </w:r>
          </w:p>
          <w:p w14:paraId="2C2461E0">
            <w:pPr>
              <w:spacing w:line="360" w:lineRule="auto"/>
              <w:ind w:firstLine="454"/>
              <w:rPr>
                <w:sz w:val="24"/>
              </w:rPr>
            </w:pPr>
            <w:r>
              <w:rPr>
                <w:sz w:val="24"/>
              </w:rPr>
              <w:t>环境空气质量监测及评价结果详见表3-2。</w:t>
            </w:r>
          </w:p>
          <w:p w14:paraId="76E7BC25">
            <w:pPr>
              <w:pStyle w:val="68"/>
              <w:spacing w:line="240" w:lineRule="auto"/>
              <w:rPr>
                <w:rFonts w:ascii="黑体" w:hAnsi="黑体" w:eastAsia="黑体" w:cs="黑体"/>
                <w:b w:val="0"/>
                <w:bCs w:val="0"/>
              </w:rPr>
            </w:pPr>
            <w:r>
              <w:rPr>
                <w:rFonts w:ascii="黑体" w:hAnsi="黑体" w:eastAsia="黑体" w:cs="黑体"/>
                <w:b w:val="0"/>
                <w:bCs w:val="0"/>
              </w:rPr>
              <w:t>表3-2  大气环境质量现状监测统计结果统计及评价</w:t>
            </w:r>
          </w:p>
          <w:tbl>
            <w:tblPr>
              <w:tblStyle w:val="23"/>
              <w:tblW w:w="4992"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238"/>
              <w:gridCol w:w="1563"/>
              <w:gridCol w:w="1277"/>
              <w:gridCol w:w="1195"/>
              <w:gridCol w:w="1353"/>
              <w:gridCol w:w="839"/>
              <w:gridCol w:w="662"/>
            </w:tblGrid>
            <w:tr w14:paraId="389A135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61" w:type="pct"/>
                  <w:vAlign w:val="center"/>
                </w:tcPr>
                <w:p w14:paraId="6EE74587">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监测点</w:t>
                  </w:r>
                </w:p>
              </w:tc>
              <w:tc>
                <w:tcPr>
                  <w:tcW w:w="961" w:type="pct"/>
                  <w:vAlign w:val="center"/>
                </w:tcPr>
                <w:p w14:paraId="26182F6A">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监测指标</w:t>
                  </w:r>
                </w:p>
              </w:tc>
              <w:tc>
                <w:tcPr>
                  <w:tcW w:w="785" w:type="pct"/>
                  <w:vAlign w:val="center"/>
                </w:tcPr>
                <w:p w14:paraId="32B16DF7">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浓度范围</w:t>
                  </w:r>
                </w:p>
                <w:p w14:paraId="05904A70">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（mg/m</w:t>
                  </w:r>
                  <w:r>
                    <w:rPr>
                      <w:rFonts w:ascii="Times New Roman" w:hAnsi="Times New Roman" w:cs="Times New Roman"/>
                      <w:sz w:val="21"/>
                      <w:szCs w:val="21"/>
                      <w:vertAlign w:val="superscript"/>
                    </w:rPr>
                    <w:t>3</w:t>
                  </w:r>
                  <w:r>
                    <w:rPr>
                      <w:rFonts w:ascii="Times New Roman" w:hAnsi="Times New Roman" w:cs="Times New Roman"/>
                      <w:sz w:val="21"/>
                      <w:szCs w:val="21"/>
                    </w:rPr>
                    <w:t>）</w:t>
                  </w:r>
                </w:p>
              </w:tc>
              <w:tc>
                <w:tcPr>
                  <w:tcW w:w="735" w:type="pct"/>
                  <w:vAlign w:val="center"/>
                </w:tcPr>
                <w:p w14:paraId="54CDBEFD">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标准值（mg/m</w:t>
                  </w:r>
                  <w:r>
                    <w:rPr>
                      <w:rFonts w:ascii="Times New Roman" w:hAnsi="Times New Roman" w:cs="Times New Roman"/>
                      <w:sz w:val="21"/>
                      <w:szCs w:val="21"/>
                      <w:vertAlign w:val="superscript"/>
                    </w:rPr>
                    <w:t>3</w:t>
                  </w:r>
                  <w:r>
                    <w:rPr>
                      <w:rFonts w:ascii="Times New Roman" w:hAnsi="Times New Roman" w:cs="Times New Roman"/>
                      <w:sz w:val="21"/>
                      <w:szCs w:val="21"/>
                    </w:rPr>
                    <w:t>）</w:t>
                  </w:r>
                </w:p>
              </w:tc>
              <w:tc>
                <w:tcPr>
                  <w:tcW w:w="832" w:type="pct"/>
                  <w:vAlign w:val="center"/>
                </w:tcPr>
                <w:p w14:paraId="50F355C8">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最大浓度值占标率（%）</w:t>
                  </w:r>
                </w:p>
              </w:tc>
              <w:tc>
                <w:tcPr>
                  <w:tcW w:w="516" w:type="pct"/>
                  <w:vAlign w:val="center"/>
                </w:tcPr>
                <w:p w14:paraId="2AF1D930">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超标率（%）</w:t>
                  </w:r>
                </w:p>
              </w:tc>
              <w:tc>
                <w:tcPr>
                  <w:tcW w:w="407" w:type="pct"/>
                  <w:vAlign w:val="center"/>
                </w:tcPr>
                <w:p w14:paraId="2A1979AD">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超标倍数</w:t>
                  </w:r>
                </w:p>
              </w:tc>
            </w:tr>
            <w:tr w14:paraId="1CCE922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61" w:type="pct"/>
                  <w:vAlign w:val="center"/>
                </w:tcPr>
                <w:p w14:paraId="53242B5F">
                  <w:pPr>
                    <w:pStyle w:val="49"/>
                    <w:spacing w:line="360" w:lineRule="exact"/>
                    <w:ind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涪陵十九中学</w:t>
                  </w:r>
                </w:p>
              </w:tc>
              <w:tc>
                <w:tcPr>
                  <w:tcW w:w="961" w:type="pct"/>
                  <w:vAlign w:val="center"/>
                </w:tcPr>
                <w:p w14:paraId="56AD091B">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非甲烷总烃</w:t>
                  </w:r>
                </w:p>
              </w:tc>
              <w:tc>
                <w:tcPr>
                  <w:tcW w:w="785" w:type="pct"/>
                  <w:vAlign w:val="center"/>
                </w:tcPr>
                <w:p w14:paraId="08080075">
                  <w:pPr>
                    <w:pStyle w:val="49"/>
                    <w:spacing w:line="360" w:lineRule="exact"/>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0.33~0.59</w:t>
                  </w:r>
                </w:p>
              </w:tc>
              <w:tc>
                <w:tcPr>
                  <w:tcW w:w="735" w:type="pct"/>
                  <w:vAlign w:val="center"/>
                </w:tcPr>
                <w:p w14:paraId="7EE15D41">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2.0</w:t>
                  </w:r>
                </w:p>
              </w:tc>
              <w:tc>
                <w:tcPr>
                  <w:tcW w:w="832" w:type="pct"/>
                  <w:vAlign w:val="center"/>
                </w:tcPr>
                <w:p w14:paraId="1AEA59FC">
                  <w:pPr>
                    <w:pStyle w:val="49"/>
                    <w:spacing w:line="360" w:lineRule="exact"/>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29.5</w:t>
                  </w:r>
                </w:p>
              </w:tc>
              <w:tc>
                <w:tcPr>
                  <w:tcW w:w="516" w:type="pct"/>
                  <w:vAlign w:val="center"/>
                </w:tcPr>
                <w:p w14:paraId="4A446453">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0</w:t>
                  </w:r>
                </w:p>
              </w:tc>
              <w:tc>
                <w:tcPr>
                  <w:tcW w:w="407" w:type="pct"/>
                  <w:vAlign w:val="center"/>
                </w:tcPr>
                <w:p w14:paraId="18DC0BEC">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w:t>
                  </w:r>
                </w:p>
              </w:tc>
            </w:tr>
          </w:tbl>
          <w:p w14:paraId="71026851">
            <w:pPr>
              <w:wordWrap w:val="0"/>
              <w:adjustRightInd w:val="0"/>
              <w:snapToGrid w:val="0"/>
              <w:spacing w:line="360" w:lineRule="auto"/>
              <w:ind w:firstLine="480" w:firstLineChars="200"/>
              <w:rPr>
                <w:rFonts w:hint="eastAsia"/>
                <w:sz w:val="24"/>
              </w:rPr>
            </w:pPr>
            <w:r>
              <w:rPr>
                <w:sz w:val="24"/>
              </w:rPr>
              <w:t>从表3-2可知，</w:t>
            </w:r>
            <w:r>
              <w:rPr>
                <w:rFonts w:hint="eastAsia"/>
                <w:sz w:val="24"/>
              </w:rPr>
              <w:t>拟建项目所在区域</w:t>
            </w:r>
            <w:r>
              <w:rPr>
                <w:sz w:val="24"/>
              </w:rPr>
              <w:t>环境空气中非甲烷总烃最大浓度占标率小于100%，</w:t>
            </w:r>
            <w:r>
              <w:rPr>
                <w:rFonts w:hint="eastAsia"/>
                <w:sz w:val="24"/>
              </w:rPr>
              <w:t>非甲烷总烃</w:t>
            </w:r>
            <w:r>
              <w:rPr>
                <w:sz w:val="24"/>
              </w:rPr>
              <w:t>满足河北省地方标准《环境空气质量</w:t>
            </w:r>
            <w:r>
              <w:rPr>
                <w:rFonts w:hint="eastAsia"/>
                <w:color w:val="FF0000"/>
                <w:sz w:val="24"/>
              </w:rPr>
              <w:t xml:space="preserve"> </w:t>
            </w:r>
            <w:r>
              <w:rPr>
                <w:sz w:val="24"/>
              </w:rPr>
              <w:t>非甲烷总烃限值》</w:t>
            </w:r>
            <w:r>
              <w:rPr>
                <w:rFonts w:hint="eastAsia"/>
                <w:sz w:val="24"/>
              </w:rPr>
              <w:t>(DB13/1577—2012)二级标准。</w:t>
            </w:r>
          </w:p>
          <w:p w14:paraId="03EA3A06">
            <w:pPr>
              <w:adjustRightInd w:val="0"/>
              <w:snapToGrid w:val="0"/>
              <w:spacing w:line="360" w:lineRule="auto"/>
              <w:jc w:val="left"/>
              <w:rPr>
                <w:rFonts w:hint="eastAsia"/>
                <w:b/>
                <w:sz w:val="24"/>
              </w:rPr>
            </w:pPr>
            <w:r>
              <w:rPr>
                <w:rFonts w:hint="eastAsia"/>
                <w:b/>
                <w:sz w:val="24"/>
              </w:rPr>
              <w:t>3.2地表水环境质量现状监测与评价</w:t>
            </w:r>
          </w:p>
          <w:p w14:paraId="26EB2069">
            <w:pPr>
              <w:adjustRightInd w:val="0"/>
              <w:snapToGrid w:val="0"/>
              <w:spacing w:line="360" w:lineRule="auto"/>
              <w:ind w:firstLine="480" w:firstLineChars="200"/>
              <w:rPr>
                <w:rFonts w:hint="eastAsia"/>
                <w:sz w:val="24"/>
              </w:rPr>
            </w:pPr>
            <w:r>
              <w:rPr>
                <w:sz w:val="24"/>
              </w:rPr>
              <w:t>根据</w:t>
            </w:r>
            <w:r>
              <w:rPr>
                <w:rFonts w:hint="eastAsia"/>
                <w:kern w:val="0"/>
                <w:sz w:val="24"/>
              </w:rPr>
              <w:t>《二〇二一年重庆市生态环境状况公报》</w:t>
            </w:r>
            <w:r>
              <w:rPr>
                <w:sz w:val="24"/>
              </w:rPr>
              <w:t>可知，长江干流重庆段总体水质为优。</w:t>
            </w:r>
            <w:r>
              <w:rPr>
                <w:rFonts w:hint="eastAsia"/>
                <w:sz w:val="24"/>
              </w:rPr>
              <w:t>20个监测断面</w:t>
            </w:r>
            <w:r>
              <w:rPr>
                <w:sz w:val="24"/>
              </w:rPr>
              <w:t>水质均为Ⅱ类。长江支流总体水质为优</w:t>
            </w:r>
            <w:r>
              <w:rPr>
                <w:rFonts w:hint="eastAsia"/>
                <w:sz w:val="24"/>
              </w:rPr>
              <w:t>。</w:t>
            </w:r>
          </w:p>
          <w:p w14:paraId="2FA34383">
            <w:pPr>
              <w:adjustRightInd w:val="0"/>
              <w:snapToGrid w:val="0"/>
              <w:spacing w:line="360" w:lineRule="auto"/>
              <w:ind w:firstLine="480" w:firstLineChars="200"/>
              <w:rPr>
                <w:sz w:val="24"/>
              </w:rPr>
            </w:pPr>
            <w:r>
              <w:rPr>
                <w:sz w:val="24"/>
              </w:rPr>
              <w:t>根据《重庆市地面水域使用功能类别划分规定》（渝府发[1998]89 号）及《重庆市环境保护局关于调整重庆市部分地表水域适用功能类别的通知》（渝环发[2007]15 号）、《重庆市人民政府批转重庆市地表水环境功能类别调整方案的通知》（渝府发[2012]4号文），拟建项目地表水接纳水体所在长江水域段属Ⅲ类水域，应执行《地表水环境质量标准》（GB3838-2002）Ⅲ类标准。</w:t>
            </w:r>
          </w:p>
          <w:p w14:paraId="5C5F5262">
            <w:pPr>
              <w:adjustRightInd w:val="0"/>
              <w:snapToGrid w:val="0"/>
              <w:spacing w:line="360" w:lineRule="auto"/>
              <w:ind w:firstLine="480" w:firstLineChars="200"/>
              <w:rPr>
                <w:sz w:val="24"/>
              </w:rPr>
            </w:pPr>
            <w:r>
              <w:rPr>
                <w:rFonts w:hint="eastAsia"/>
                <w:sz w:val="24"/>
              </w:rPr>
              <w:t>根据《涪陵区2022年4月地表水水质状况》，4月涪陵区地表水水质为优。监测的11个断面中，Ⅰ~Ⅲ类水质断面占100%。</w:t>
            </w:r>
          </w:p>
          <w:p w14:paraId="5446231A">
            <w:pPr>
              <w:adjustRightInd w:val="0"/>
              <w:snapToGrid w:val="0"/>
              <w:spacing w:line="360" w:lineRule="auto"/>
              <w:jc w:val="left"/>
              <w:rPr>
                <w:rFonts w:hint="eastAsia"/>
                <w:b/>
                <w:sz w:val="24"/>
              </w:rPr>
            </w:pPr>
            <w:r>
              <w:rPr>
                <w:rFonts w:hint="eastAsia"/>
                <w:b/>
                <w:sz w:val="24"/>
              </w:rPr>
              <w:t>3.3声环境质量现状监测及评价</w:t>
            </w:r>
          </w:p>
          <w:p w14:paraId="636CD1AF">
            <w:pPr>
              <w:adjustRightInd w:val="0"/>
              <w:snapToGrid w:val="0"/>
              <w:spacing w:line="360" w:lineRule="auto"/>
              <w:ind w:firstLine="480" w:firstLineChars="200"/>
              <w:rPr>
                <w:sz w:val="24"/>
              </w:rPr>
            </w:pPr>
            <w:r>
              <w:rPr>
                <w:sz w:val="24"/>
              </w:rPr>
              <w:t>项目周边50m范围内</w:t>
            </w:r>
            <w:r>
              <w:rPr>
                <w:rFonts w:hint="eastAsia"/>
                <w:sz w:val="24"/>
              </w:rPr>
              <w:t>无</w:t>
            </w:r>
            <w:r>
              <w:rPr>
                <w:sz w:val="24"/>
              </w:rPr>
              <w:t>声环境保护目标，无需进行声环境质量现状监测。</w:t>
            </w:r>
          </w:p>
          <w:p w14:paraId="0BD04C78">
            <w:pPr>
              <w:adjustRightInd w:val="0"/>
              <w:snapToGrid w:val="0"/>
              <w:spacing w:line="360" w:lineRule="auto"/>
              <w:jc w:val="left"/>
              <w:rPr>
                <w:rFonts w:hint="eastAsia"/>
                <w:b/>
                <w:color w:val="000000"/>
                <w:sz w:val="24"/>
              </w:rPr>
            </w:pPr>
            <w:r>
              <w:rPr>
                <w:rFonts w:hint="eastAsia"/>
                <w:b/>
                <w:color w:val="000000"/>
                <w:sz w:val="24"/>
              </w:rPr>
              <w:t>3.4地下水质量现状监测及评价</w:t>
            </w:r>
          </w:p>
          <w:p w14:paraId="465ED8FA">
            <w:pPr>
              <w:adjustRightInd w:val="0"/>
              <w:snapToGrid w:val="0"/>
              <w:spacing w:line="360" w:lineRule="auto"/>
              <w:ind w:firstLine="480" w:firstLineChars="200"/>
              <w:rPr>
                <w:rFonts w:hint="eastAsia"/>
                <w:color w:val="000000"/>
                <w:sz w:val="24"/>
              </w:rPr>
            </w:pPr>
            <w:r>
              <w:rPr>
                <w:rFonts w:hint="eastAsia"/>
                <w:sz w:val="24"/>
              </w:rPr>
              <w:t>本项目为加油站项目，可能存在地下水环境污染途径，</w:t>
            </w:r>
            <w:r>
              <w:rPr>
                <w:sz w:val="24"/>
              </w:rPr>
              <w:t>本</w:t>
            </w:r>
            <w:r>
              <w:rPr>
                <w:rFonts w:hint="eastAsia"/>
                <w:sz w:val="24"/>
              </w:rPr>
              <w:t>次</w:t>
            </w:r>
            <w:r>
              <w:rPr>
                <w:sz w:val="24"/>
              </w:rPr>
              <w:t>引用</w:t>
            </w:r>
            <w:r>
              <w:rPr>
                <w:rFonts w:hint="eastAsia" w:hAnsi="宋体"/>
                <w:sz w:val="24"/>
              </w:rPr>
              <w:t>《重庆涪陵工业园区李渡组团规划调整环境影响评价检测报告》（厦美[2021]第HP180号）</w:t>
            </w:r>
            <w:r>
              <w:rPr>
                <w:rFonts w:hint="eastAsia"/>
                <w:color w:val="000000"/>
                <w:sz w:val="24"/>
              </w:rPr>
              <w:t>中地下水监测数据</w:t>
            </w:r>
            <w:r>
              <w:rPr>
                <w:color w:val="000000"/>
                <w:sz w:val="24"/>
              </w:rPr>
              <w:t>对项目所在地</w:t>
            </w:r>
            <w:r>
              <w:rPr>
                <w:rFonts w:hint="eastAsia"/>
                <w:color w:val="000000"/>
                <w:sz w:val="24"/>
              </w:rPr>
              <w:t>地下水</w:t>
            </w:r>
            <w:r>
              <w:rPr>
                <w:color w:val="000000"/>
                <w:sz w:val="24"/>
              </w:rPr>
              <w:t>质量现状进行评价</w:t>
            </w:r>
            <w:r>
              <w:rPr>
                <w:rFonts w:hint="eastAsia"/>
                <w:color w:val="000000"/>
                <w:sz w:val="24"/>
              </w:rPr>
              <w:t>。</w:t>
            </w:r>
          </w:p>
          <w:p w14:paraId="65C4CF97">
            <w:pPr>
              <w:adjustRightInd w:val="0"/>
              <w:snapToGrid w:val="0"/>
              <w:spacing w:line="360" w:lineRule="auto"/>
              <w:ind w:firstLine="454"/>
              <w:jc w:val="left"/>
              <w:rPr>
                <w:rFonts w:hint="eastAsia"/>
                <w:color w:val="000000"/>
                <w:sz w:val="24"/>
              </w:rPr>
            </w:pPr>
            <w:r>
              <w:rPr>
                <w:rFonts w:hint="eastAsia"/>
                <w:color w:val="000000"/>
                <w:sz w:val="24"/>
              </w:rPr>
              <w:t>（1）监测点位：位于项目西南侧，在同一水文地质单元内，距本项目距离约1.248km，监测时间未超过3年，区域环境地下水质量未发生重大变化，引用该数据具有效性和时效性。</w:t>
            </w:r>
          </w:p>
          <w:p w14:paraId="5C9298F7">
            <w:pPr>
              <w:adjustRightInd w:val="0"/>
              <w:snapToGrid w:val="0"/>
              <w:spacing w:line="360" w:lineRule="auto"/>
              <w:ind w:firstLine="454"/>
              <w:jc w:val="left"/>
              <w:rPr>
                <w:rFonts w:hint="eastAsia"/>
                <w:color w:val="000000"/>
                <w:sz w:val="24"/>
              </w:rPr>
            </w:pPr>
            <w:r>
              <w:rPr>
                <w:rFonts w:hint="eastAsia"/>
                <w:color w:val="000000"/>
                <w:sz w:val="24"/>
              </w:rPr>
              <w:t>（2）监测因子：K</w:t>
            </w:r>
            <w:r>
              <w:rPr>
                <w:rFonts w:hint="eastAsia"/>
                <w:color w:val="000000"/>
                <w:sz w:val="24"/>
                <w:vertAlign w:val="superscript"/>
              </w:rPr>
              <w:t>+</w:t>
            </w:r>
            <w:r>
              <w:rPr>
                <w:rFonts w:hint="eastAsia"/>
                <w:color w:val="000000"/>
                <w:sz w:val="24"/>
              </w:rPr>
              <w:t>、Na</w:t>
            </w:r>
            <w:r>
              <w:rPr>
                <w:rFonts w:hint="eastAsia"/>
                <w:color w:val="000000"/>
                <w:sz w:val="24"/>
                <w:vertAlign w:val="superscript"/>
              </w:rPr>
              <w:t>+</w:t>
            </w:r>
            <w:r>
              <w:rPr>
                <w:rFonts w:hint="eastAsia"/>
                <w:color w:val="000000"/>
                <w:sz w:val="24"/>
              </w:rPr>
              <w:t>、Ca</w:t>
            </w:r>
            <w:r>
              <w:rPr>
                <w:rFonts w:hint="eastAsia"/>
                <w:color w:val="000000"/>
                <w:sz w:val="24"/>
                <w:vertAlign w:val="superscript"/>
              </w:rPr>
              <w:t>2+</w:t>
            </w:r>
            <w:r>
              <w:rPr>
                <w:rFonts w:hint="eastAsia"/>
                <w:color w:val="000000"/>
                <w:sz w:val="24"/>
              </w:rPr>
              <w:t>、Mg</w:t>
            </w:r>
            <w:r>
              <w:rPr>
                <w:rFonts w:hint="eastAsia"/>
                <w:color w:val="000000"/>
                <w:sz w:val="24"/>
                <w:vertAlign w:val="superscript"/>
              </w:rPr>
              <w:t>2+</w:t>
            </w:r>
            <w:r>
              <w:rPr>
                <w:rFonts w:hint="eastAsia"/>
                <w:color w:val="000000"/>
                <w:sz w:val="24"/>
              </w:rPr>
              <w:t>、CO</w:t>
            </w:r>
            <w:r>
              <w:rPr>
                <w:rFonts w:hint="eastAsia"/>
                <w:color w:val="000000"/>
                <w:sz w:val="24"/>
                <w:vertAlign w:val="subscript"/>
              </w:rPr>
              <w:t>3</w:t>
            </w:r>
            <w:r>
              <w:rPr>
                <w:rFonts w:hint="eastAsia"/>
                <w:color w:val="000000"/>
                <w:sz w:val="24"/>
                <w:vertAlign w:val="superscript"/>
              </w:rPr>
              <w:t>2-</w:t>
            </w:r>
            <w:r>
              <w:rPr>
                <w:rFonts w:hint="eastAsia"/>
                <w:color w:val="000000"/>
                <w:sz w:val="24"/>
              </w:rPr>
              <w:t>、HCO</w:t>
            </w:r>
            <w:r>
              <w:rPr>
                <w:rFonts w:hint="eastAsia"/>
                <w:color w:val="000000"/>
                <w:sz w:val="24"/>
                <w:vertAlign w:val="subscript"/>
              </w:rPr>
              <w:t>3</w:t>
            </w:r>
            <w:r>
              <w:rPr>
                <w:rFonts w:hint="eastAsia"/>
                <w:color w:val="000000"/>
                <w:sz w:val="24"/>
                <w:vertAlign w:val="superscript"/>
              </w:rPr>
              <w:t>-</w:t>
            </w:r>
            <w:r>
              <w:rPr>
                <w:rFonts w:hint="eastAsia"/>
                <w:color w:val="000000"/>
                <w:sz w:val="24"/>
              </w:rPr>
              <w:t>、Cl</w:t>
            </w:r>
            <w:r>
              <w:rPr>
                <w:rFonts w:hint="eastAsia"/>
                <w:color w:val="000000"/>
                <w:sz w:val="24"/>
                <w:vertAlign w:val="superscript"/>
              </w:rPr>
              <w:t>-</w:t>
            </w:r>
            <w:r>
              <w:rPr>
                <w:rFonts w:hint="eastAsia"/>
                <w:color w:val="000000"/>
                <w:sz w:val="24"/>
              </w:rPr>
              <w:t>、SO</w:t>
            </w:r>
            <w:r>
              <w:rPr>
                <w:rFonts w:hint="eastAsia"/>
                <w:color w:val="000000"/>
                <w:sz w:val="24"/>
                <w:vertAlign w:val="subscript"/>
              </w:rPr>
              <w:t>4</w:t>
            </w:r>
            <w:r>
              <w:rPr>
                <w:rFonts w:hint="eastAsia"/>
                <w:color w:val="000000"/>
                <w:sz w:val="24"/>
                <w:vertAlign w:val="superscript"/>
              </w:rPr>
              <w:t>2-</w:t>
            </w:r>
            <w:r>
              <w:rPr>
                <w:rFonts w:hint="eastAsia"/>
                <w:color w:val="000000"/>
                <w:sz w:val="24"/>
              </w:rPr>
              <w:t>、pH、挥发性酚类、耗氧量、氨氮、硝酸盐氮、亚硝酸盐氮、阴离子表面活性剂、硫酸盐、氰化物、氟化物、氯化物、硫化物、溶解性总固体、总大肠菌群、细菌总数、镉、汞、铅、砷、总硬度、铁、锰、六价铬、铜、锌、镍、甲苯、二甲苯。</w:t>
            </w:r>
          </w:p>
          <w:p w14:paraId="0C549EAE">
            <w:pPr>
              <w:adjustRightInd w:val="0"/>
              <w:snapToGrid w:val="0"/>
              <w:spacing w:line="360" w:lineRule="auto"/>
              <w:ind w:firstLine="454"/>
              <w:jc w:val="left"/>
              <w:rPr>
                <w:rFonts w:hint="eastAsia"/>
                <w:color w:val="000000"/>
                <w:sz w:val="24"/>
              </w:rPr>
            </w:pPr>
            <w:r>
              <w:rPr>
                <w:rFonts w:hint="eastAsia"/>
                <w:color w:val="000000"/>
                <w:sz w:val="24"/>
              </w:rPr>
              <w:t>（3）监测时间：2021年10月25日，监测1d。</w:t>
            </w:r>
          </w:p>
          <w:p w14:paraId="2845034B">
            <w:pPr>
              <w:adjustRightInd w:val="0"/>
              <w:snapToGrid w:val="0"/>
              <w:spacing w:line="360" w:lineRule="auto"/>
              <w:ind w:firstLine="454"/>
              <w:jc w:val="left"/>
              <w:rPr>
                <w:rFonts w:hint="eastAsia"/>
                <w:color w:val="000000"/>
                <w:sz w:val="24"/>
              </w:rPr>
            </w:pPr>
            <w:r>
              <w:rPr>
                <w:rFonts w:hint="eastAsia"/>
                <w:color w:val="000000"/>
                <w:sz w:val="24"/>
              </w:rPr>
              <w:t>（4）评价方法</w:t>
            </w:r>
          </w:p>
          <w:p w14:paraId="6EF826D8">
            <w:pPr>
              <w:adjustRightInd w:val="0"/>
              <w:spacing w:line="360" w:lineRule="auto"/>
              <w:ind w:firstLine="454"/>
              <w:rPr>
                <w:snapToGrid w:val="0"/>
                <w:color w:val="000000"/>
                <w:sz w:val="24"/>
              </w:rPr>
            </w:pPr>
            <w:r>
              <w:rPr>
                <w:snapToGrid w:val="0"/>
                <w:color w:val="000000"/>
                <w:sz w:val="24"/>
              </w:rPr>
              <w:t>采用标准指数法进行现状评价，其计算公式如下：</w:t>
            </w:r>
          </w:p>
          <w:p w14:paraId="19C7C757">
            <w:pPr>
              <w:adjustRightInd w:val="0"/>
              <w:spacing w:line="360" w:lineRule="auto"/>
              <w:ind w:firstLine="454"/>
              <w:jc w:val="center"/>
              <w:rPr>
                <w:snapToGrid w:val="0"/>
                <w:color w:val="000000"/>
                <w:sz w:val="24"/>
              </w:rPr>
            </w:pPr>
            <w:r>
              <w:rPr>
                <w:snapToGrid w:val="0"/>
                <w:color w:val="000000"/>
                <w:position w:val="-30"/>
                <w:sz w:val="24"/>
              </w:rPr>
              <w:object>
                <v:shape id="_x0000_i1025" o:spt="75" type="#_x0000_t75" style="height:33.3pt;width:40.75pt;" o:ole="t" filled="f" o:preferrelative="t" stroked="f" coordsize="21600,21600">
                  <v:path/>
                  <v:fill on="f" focussize="0,0"/>
                  <v:stroke on="f" joinstyle="miter"/>
                  <v:imagedata r:id="rId16" o:title=""/>
                  <o:lock v:ext="edit" aspectratio="t"/>
                  <w10:wrap type="none"/>
                  <w10:anchorlock/>
                </v:shape>
                <o:OLEObject Type="Embed" ProgID="Equation.3" ShapeID="_x0000_i1025" DrawAspect="Content" ObjectID="_1468075725" r:id="rId15">
                  <o:LockedField>false</o:LockedField>
                </o:OLEObject>
              </w:object>
            </w:r>
          </w:p>
          <w:p w14:paraId="49104311">
            <w:pPr>
              <w:adjustRightInd w:val="0"/>
              <w:spacing w:line="360" w:lineRule="auto"/>
              <w:ind w:firstLine="454"/>
              <w:rPr>
                <w:snapToGrid w:val="0"/>
                <w:color w:val="000000"/>
                <w:sz w:val="24"/>
              </w:rPr>
            </w:pPr>
            <w:r>
              <w:rPr>
                <w:snapToGrid w:val="0"/>
                <w:color w:val="000000"/>
                <w:sz w:val="24"/>
              </w:rPr>
              <w:t>式中：P</w:t>
            </w:r>
            <w:r>
              <w:rPr>
                <w:snapToGrid w:val="0"/>
                <w:color w:val="000000"/>
                <w:sz w:val="24"/>
                <w:vertAlign w:val="subscript"/>
              </w:rPr>
              <w:t>i</w:t>
            </w:r>
            <w:r>
              <w:rPr>
                <w:snapToGrid w:val="0"/>
                <w:color w:val="000000"/>
                <w:sz w:val="24"/>
              </w:rPr>
              <w:t>——第i个水质因子的标准指数；</w:t>
            </w:r>
          </w:p>
          <w:p w14:paraId="73381D98">
            <w:pPr>
              <w:adjustRightInd w:val="0"/>
              <w:spacing w:line="360" w:lineRule="auto"/>
              <w:ind w:firstLine="454"/>
              <w:rPr>
                <w:snapToGrid w:val="0"/>
                <w:color w:val="000000"/>
                <w:kern w:val="0"/>
                <w:sz w:val="24"/>
              </w:rPr>
            </w:pPr>
            <w:r>
              <w:rPr>
                <w:snapToGrid w:val="0"/>
                <w:color w:val="000000"/>
                <w:kern w:val="0"/>
                <w:sz w:val="24"/>
              </w:rPr>
              <w:t>C</w:t>
            </w:r>
            <w:r>
              <w:rPr>
                <w:snapToGrid w:val="0"/>
                <w:color w:val="000000"/>
                <w:kern w:val="0"/>
                <w:sz w:val="24"/>
                <w:vertAlign w:val="subscript"/>
              </w:rPr>
              <w:t>i</w:t>
            </w:r>
            <w:r>
              <w:rPr>
                <w:snapToGrid w:val="0"/>
                <w:color w:val="000000"/>
                <w:kern w:val="0"/>
                <w:sz w:val="24"/>
              </w:rPr>
              <w:t>——</w:t>
            </w:r>
            <w:r>
              <w:rPr>
                <w:snapToGrid w:val="0"/>
                <w:color w:val="000000"/>
                <w:sz w:val="24"/>
              </w:rPr>
              <w:t>第i个水质因子的</w:t>
            </w:r>
            <w:r>
              <w:rPr>
                <w:snapToGrid w:val="0"/>
                <w:color w:val="000000"/>
                <w:kern w:val="0"/>
                <w:sz w:val="24"/>
              </w:rPr>
              <w:t>监测浓度值（mg/L）；</w:t>
            </w:r>
          </w:p>
          <w:p w14:paraId="2BB4A3D7">
            <w:pPr>
              <w:adjustRightInd w:val="0"/>
              <w:spacing w:line="360" w:lineRule="auto"/>
              <w:ind w:firstLine="454"/>
              <w:rPr>
                <w:snapToGrid w:val="0"/>
                <w:color w:val="000000"/>
                <w:kern w:val="0"/>
                <w:sz w:val="24"/>
              </w:rPr>
            </w:pPr>
            <w:r>
              <w:rPr>
                <w:snapToGrid w:val="0"/>
                <w:color w:val="000000"/>
                <w:kern w:val="0"/>
                <w:sz w:val="24"/>
              </w:rPr>
              <w:t>C</w:t>
            </w:r>
            <w:r>
              <w:rPr>
                <w:snapToGrid w:val="0"/>
                <w:color w:val="000000"/>
                <w:kern w:val="0"/>
                <w:sz w:val="24"/>
                <w:vertAlign w:val="subscript"/>
              </w:rPr>
              <w:t>si</w:t>
            </w:r>
            <w:r>
              <w:rPr>
                <w:snapToGrid w:val="0"/>
                <w:color w:val="000000"/>
                <w:kern w:val="0"/>
                <w:sz w:val="24"/>
              </w:rPr>
              <w:t>——</w:t>
            </w:r>
            <w:r>
              <w:rPr>
                <w:snapToGrid w:val="0"/>
                <w:color w:val="000000"/>
                <w:sz w:val="24"/>
              </w:rPr>
              <w:t>第i个水质因子的</w:t>
            </w:r>
            <w:r>
              <w:rPr>
                <w:snapToGrid w:val="0"/>
                <w:color w:val="000000"/>
                <w:kern w:val="0"/>
                <w:sz w:val="24"/>
              </w:rPr>
              <w:t>标准浓度值（mg/L）。</w:t>
            </w:r>
          </w:p>
          <w:p w14:paraId="2540C194">
            <w:pPr>
              <w:adjustRightInd w:val="0"/>
              <w:spacing w:line="360" w:lineRule="auto"/>
              <w:ind w:firstLine="454"/>
              <w:rPr>
                <w:snapToGrid w:val="0"/>
                <w:color w:val="000000"/>
                <w:sz w:val="24"/>
              </w:rPr>
            </w:pPr>
            <w:r>
              <w:rPr>
                <w:snapToGrid w:val="0"/>
                <w:color w:val="000000"/>
                <w:sz w:val="24"/>
              </w:rPr>
              <w:t>pH的标准指数用下式计算：</w:t>
            </w:r>
          </w:p>
          <w:p w14:paraId="6CAF406C">
            <w:pPr>
              <w:adjustRightInd w:val="0"/>
              <w:spacing w:line="360" w:lineRule="auto"/>
              <w:ind w:firstLine="454"/>
              <w:jc w:val="center"/>
              <w:rPr>
                <w:snapToGrid w:val="0"/>
                <w:color w:val="000000"/>
                <w:kern w:val="0"/>
                <w:sz w:val="24"/>
              </w:rPr>
            </w:pPr>
            <w:r>
              <w:rPr>
                <w:snapToGrid w:val="0"/>
                <w:color w:val="000000"/>
                <w:kern w:val="0"/>
                <w:position w:val="-30"/>
                <w:sz w:val="24"/>
              </w:rPr>
              <w:object>
                <v:shape id="_x0000_i1026" o:spt="75" type="#_x0000_t75" style="height:36pt;width:74.05pt;" o:ole="t" filled="f" o:preferrelative="t" stroked="f" coordsize="21600,21600">
                  <v:path/>
                  <v:fill on="f" focussize="0,0"/>
                  <v:stroke on="f" joinstyle="miter"/>
                  <v:imagedata r:id="rId18" o:title=""/>
                  <o:lock v:ext="edit" aspectratio="t"/>
                  <w10:wrap type="none"/>
                  <w10:anchorlock/>
                </v:shape>
                <o:OLEObject Type="Embed" ProgID="Equation.3" ShapeID="_x0000_i1026" DrawAspect="Content" ObjectID="_1468075726" r:id="rId17">
                  <o:LockedField>false</o:LockedField>
                </o:OLEObject>
              </w:object>
            </w:r>
            <w:r>
              <w:rPr>
                <w:snapToGrid w:val="0"/>
                <w:color w:val="000000"/>
                <w:kern w:val="0"/>
                <w:sz w:val="24"/>
              </w:rPr>
              <w:t xml:space="preserve">     （pH≤7.0）</w:t>
            </w:r>
          </w:p>
          <w:p w14:paraId="0B5AFD13">
            <w:pPr>
              <w:adjustRightInd w:val="0"/>
              <w:spacing w:line="360" w:lineRule="auto"/>
              <w:ind w:firstLine="454"/>
              <w:jc w:val="center"/>
              <w:rPr>
                <w:snapToGrid w:val="0"/>
                <w:color w:val="000000"/>
                <w:kern w:val="0"/>
                <w:sz w:val="24"/>
              </w:rPr>
            </w:pPr>
            <w:r>
              <w:rPr>
                <w:snapToGrid w:val="0"/>
                <w:color w:val="000000"/>
                <w:kern w:val="0"/>
                <w:position w:val="-30"/>
                <w:sz w:val="24"/>
              </w:rPr>
              <w:object>
                <v:shape id="_x0000_i1027" o:spt="75" type="#_x0000_t75" style="height:32.6pt;width:78.1pt;" o:ole="t" filled="f" o:preferrelative="t" stroked="f" coordsize="21600,21600">
                  <v:path/>
                  <v:fill on="f" focussize="0,0"/>
                  <v:stroke on="f" joinstyle="miter"/>
                  <v:imagedata r:id="rId20" o:title=""/>
                  <o:lock v:ext="edit" aspectratio="t"/>
                  <w10:wrap type="none"/>
                  <w10:anchorlock/>
                </v:shape>
                <o:OLEObject Type="Embed" ProgID="Equation.3" ShapeID="_x0000_i1027" DrawAspect="Content" ObjectID="_1468075727" r:id="rId19">
                  <o:LockedField>false</o:LockedField>
                </o:OLEObject>
              </w:object>
            </w:r>
            <w:r>
              <w:rPr>
                <w:snapToGrid w:val="0"/>
                <w:color w:val="000000"/>
                <w:kern w:val="0"/>
                <w:sz w:val="24"/>
              </w:rPr>
              <w:t xml:space="preserve">     （pH&gt;7.0）</w:t>
            </w:r>
          </w:p>
          <w:p w14:paraId="394BCD1A">
            <w:pPr>
              <w:adjustRightInd w:val="0"/>
              <w:spacing w:line="360" w:lineRule="auto"/>
              <w:ind w:firstLine="454"/>
              <w:rPr>
                <w:snapToGrid w:val="0"/>
                <w:color w:val="000000"/>
                <w:sz w:val="24"/>
              </w:rPr>
            </w:pPr>
            <w:r>
              <w:rPr>
                <w:snapToGrid w:val="0"/>
                <w:color w:val="000000"/>
                <w:sz w:val="24"/>
              </w:rPr>
              <w:t>式中：P</w:t>
            </w:r>
            <w:r>
              <w:rPr>
                <w:snapToGrid w:val="0"/>
                <w:color w:val="000000"/>
                <w:sz w:val="24"/>
                <w:vertAlign w:val="subscript"/>
              </w:rPr>
              <w:t>PH</w:t>
            </w:r>
            <w:r>
              <w:rPr>
                <w:snapToGrid w:val="0"/>
                <w:color w:val="000000"/>
                <w:sz w:val="24"/>
              </w:rPr>
              <w:t>——pH的标准指数，无量纲；</w:t>
            </w:r>
          </w:p>
          <w:p w14:paraId="235B9F0A">
            <w:pPr>
              <w:adjustRightInd w:val="0"/>
              <w:spacing w:line="360" w:lineRule="auto"/>
              <w:ind w:firstLine="454"/>
              <w:rPr>
                <w:snapToGrid w:val="0"/>
                <w:color w:val="000000"/>
                <w:kern w:val="0"/>
                <w:sz w:val="24"/>
              </w:rPr>
            </w:pPr>
            <w:r>
              <w:rPr>
                <w:snapToGrid w:val="0"/>
                <w:color w:val="000000"/>
                <w:kern w:val="0"/>
                <w:sz w:val="24"/>
              </w:rPr>
              <w:t>pH</w:t>
            </w:r>
            <w:r>
              <w:rPr>
                <w:snapToGrid w:val="0"/>
                <w:color w:val="000000"/>
                <w:kern w:val="0"/>
                <w:sz w:val="24"/>
                <w:vertAlign w:val="subscript"/>
              </w:rPr>
              <w:t>Sd</w:t>
            </w:r>
            <w:r>
              <w:rPr>
                <w:snapToGrid w:val="0"/>
                <w:color w:val="000000"/>
                <w:kern w:val="0"/>
                <w:sz w:val="24"/>
              </w:rPr>
              <w:t>——水质标准中pH值的下限；</w:t>
            </w:r>
          </w:p>
          <w:p w14:paraId="777E5926">
            <w:pPr>
              <w:adjustRightInd w:val="0"/>
              <w:spacing w:line="360" w:lineRule="auto"/>
              <w:ind w:firstLine="454"/>
              <w:rPr>
                <w:snapToGrid w:val="0"/>
                <w:color w:val="000000"/>
                <w:kern w:val="0"/>
                <w:sz w:val="24"/>
              </w:rPr>
            </w:pPr>
            <w:r>
              <w:rPr>
                <w:snapToGrid w:val="0"/>
                <w:color w:val="000000"/>
                <w:kern w:val="0"/>
                <w:sz w:val="24"/>
              </w:rPr>
              <w:t>pH</w:t>
            </w:r>
            <w:r>
              <w:rPr>
                <w:snapToGrid w:val="0"/>
                <w:color w:val="000000"/>
                <w:kern w:val="0"/>
                <w:sz w:val="24"/>
                <w:vertAlign w:val="subscript"/>
              </w:rPr>
              <w:t>SU</w:t>
            </w:r>
            <w:r>
              <w:rPr>
                <w:snapToGrid w:val="0"/>
                <w:color w:val="000000"/>
                <w:kern w:val="0"/>
                <w:sz w:val="24"/>
              </w:rPr>
              <w:t>——水质标准中pH值的上限；</w:t>
            </w:r>
          </w:p>
          <w:p w14:paraId="5B0FBE0D">
            <w:pPr>
              <w:adjustRightInd w:val="0"/>
              <w:spacing w:line="360" w:lineRule="auto"/>
              <w:ind w:firstLine="454"/>
              <w:rPr>
                <w:snapToGrid w:val="0"/>
                <w:color w:val="000000"/>
                <w:kern w:val="0"/>
                <w:sz w:val="24"/>
              </w:rPr>
            </w:pPr>
            <w:r>
              <w:rPr>
                <w:snapToGrid w:val="0"/>
                <w:color w:val="000000"/>
                <w:kern w:val="0"/>
                <w:sz w:val="24"/>
              </w:rPr>
              <w:t>pH——pH值的监测值。</w:t>
            </w:r>
          </w:p>
          <w:p w14:paraId="54C141A9">
            <w:pPr>
              <w:adjustRightInd w:val="0"/>
              <w:spacing w:line="360" w:lineRule="auto"/>
              <w:ind w:firstLine="454"/>
              <w:rPr>
                <w:color w:val="000000"/>
                <w:sz w:val="24"/>
              </w:rPr>
            </w:pPr>
            <w:r>
              <w:rPr>
                <w:rFonts w:hint="eastAsia"/>
                <w:color w:val="000000"/>
                <w:sz w:val="24"/>
              </w:rPr>
              <w:t>④</w:t>
            </w:r>
            <w:r>
              <w:rPr>
                <w:color w:val="000000"/>
                <w:sz w:val="24"/>
              </w:rPr>
              <w:t>监测结果及分析</w:t>
            </w:r>
          </w:p>
          <w:p w14:paraId="5ABB41EE">
            <w:pPr>
              <w:adjustRightInd w:val="0"/>
              <w:spacing w:line="360" w:lineRule="auto"/>
              <w:ind w:firstLine="454"/>
              <w:rPr>
                <w:snapToGrid w:val="0"/>
                <w:color w:val="000000"/>
                <w:sz w:val="24"/>
              </w:rPr>
            </w:pPr>
            <w:r>
              <w:rPr>
                <w:snapToGrid w:val="0"/>
                <w:color w:val="000000"/>
                <w:sz w:val="24"/>
              </w:rPr>
              <w:t>地下水现状监测值和评价结果见表</w:t>
            </w:r>
            <w:r>
              <w:rPr>
                <w:rFonts w:hint="eastAsia"/>
                <w:snapToGrid w:val="0"/>
                <w:color w:val="000000"/>
                <w:sz w:val="24"/>
              </w:rPr>
              <w:t>3-3</w:t>
            </w:r>
            <w:r>
              <w:rPr>
                <w:snapToGrid w:val="0"/>
                <w:color w:val="000000"/>
                <w:sz w:val="24"/>
              </w:rPr>
              <w:t>。</w:t>
            </w:r>
          </w:p>
          <w:p w14:paraId="1A8765F2">
            <w:pPr>
              <w:pStyle w:val="68"/>
              <w:spacing w:line="240" w:lineRule="auto"/>
              <w:rPr>
                <w:rFonts w:ascii="黑体" w:hAnsi="黑体" w:eastAsia="黑体" w:cs="黑体"/>
                <w:b w:val="0"/>
                <w:bCs w:val="0"/>
              </w:rPr>
            </w:pPr>
            <w:r>
              <w:rPr>
                <w:rFonts w:ascii="黑体" w:hAnsi="黑体" w:eastAsia="黑体" w:cs="黑体"/>
                <w:b w:val="0"/>
                <w:bCs w:val="0"/>
              </w:rPr>
              <w:t>表</w:t>
            </w:r>
            <w:r>
              <w:rPr>
                <w:rFonts w:hint="eastAsia" w:ascii="黑体" w:hAnsi="黑体" w:eastAsia="黑体" w:cs="黑体"/>
                <w:b w:val="0"/>
                <w:bCs w:val="0"/>
              </w:rPr>
              <w:t>3-3</w:t>
            </w:r>
            <w:r>
              <w:rPr>
                <w:rFonts w:ascii="黑体" w:hAnsi="黑体" w:eastAsia="黑体" w:cs="黑体"/>
                <w:b w:val="0"/>
                <w:bCs w:val="0"/>
              </w:rPr>
              <w:t xml:space="preserve"> </w:t>
            </w:r>
            <w:r>
              <w:rPr>
                <w:rFonts w:hint="eastAsia" w:ascii="黑体" w:hAnsi="黑体" w:eastAsia="黑体" w:cs="黑体"/>
                <w:b w:val="0"/>
                <w:bCs w:val="0"/>
              </w:rPr>
              <w:t xml:space="preserve"> </w:t>
            </w:r>
            <w:r>
              <w:rPr>
                <w:rFonts w:ascii="黑体" w:hAnsi="黑体" w:eastAsia="黑体" w:cs="黑体"/>
                <w:b w:val="0"/>
                <w:bCs w:val="0"/>
              </w:rPr>
              <w:t>地下水监测结果统计表</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481"/>
              <w:gridCol w:w="1595"/>
              <w:gridCol w:w="1766"/>
              <w:gridCol w:w="2295"/>
            </w:tblGrid>
            <w:tr w14:paraId="26AC12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1525" w:type="pct"/>
                  <w:vMerge w:val="restart"/>
                  <w:vAlign w:val="center"/>
                </w:tcPr>
                <w:p w14:paraId="3D146959">
                  <w:pPr>
                    <w:ind w:left="-155" w:leftChars="-74" w:right="-29" w:rightChars="-14"/>
                    <w:jc w:val="center"/>
                    <w:rPr>
                      <w:rFonts w:hint="eastAsia" w:ascii="宋体" w:hAnsi="宋体" w:cs="宋体"/>
                      <w:color w:val="000000"/>
                      <w:szCs w:val="21"/>
                    </w:rPr>
                  </w:pPr>
                  <w:r>
                    <w:rPr>
                      <w:rFonts w:hint="eastAsia" w:ascii="宋体" w:hAnsi="宋体" w:cs="宋体"/>
                      <w:color w:val="000000"/>
                      <w:szCs w:val="21"/>
                    </w:rPr>
                    <w:t>监测因子</w:t>
                  </w:r>
                </w:p>
              </w:tc>
              <w:tc>
                <w:tcPr>
                  <w:tcW w:w="980" w:type="pct"/>
                  <w:vMerge w:val="restart"/>
                  <w:vAlign w:val="center"/>
                </w:tcPr>
                <w:p w14:paraId="6BCE5EE2">
                  <w:pPr>
                    <w:jc w:val="center"/>
                    <w:rPr>
                      <w:rFonts w:hint="eastAsia" w:ascii="宋体" w:hAnsi="宋体" w:cs="宋体"/>
                      <w:color w:val="000000"/>
                      <w:szCs w:val="21"/>
                    </w:rPr>
                  </w:pPr>
                  <w:r>
                    <w:rPr>
                      <w:rFonts w:hint="eastAsia"/>
                    </w:rPr>
                    <w:t>Ⅲ</w:t>
                  </w:r>
                  <w:r>
                    <w:rPr>
                      <w:rFonts w:hint="eastAsia" w:ascii="宋体" w:hAnsi="宋体" w:cs="宋体"/>
                      <w:color w:val="000000"/>
                      <w:szCs w:val="21"/>
                    </w:rPr>
                    <w:t>类标准值</w:t>
                  </w:r>
                </w:p>
              </w:tc>
              <w:tc>
                <w:tcPr>
                  <w:tcW w:w="2494" w:type="pct"/>
                  <w:gridSpan w:val="2"/>
                  <w:vAlign w:val="center"/>
                </w:tcPr>
                <w:p w14:paraId="3E74A069">
                  <w:pPr>
                    <w:adjustRightInd w:val="0"/>
                    <w:snapToGrid w:val="0"/>
                    <w:jc w:val="center"/>
                    <w:rPr>
                      <w:rFonts w:hint="eastAsia" w:ascii="宋体" w:hAnsi="宋体" w:cs="宋体"/>
                      <w:color w:val="000000"/>
                      <w:szCs w:val="21"/>
                    </w:rPr>
                  </w:pPr>
                  <w:r>
                    <w:rPr>
                      <w:rFonts w:hint="eastAsia" w:ascii="宋体" w:hAnsi="宋体" w:cs="宋体"/>
                      <w:color w:val="000000"/>
                      <w:szCs w:val="21"/>
                    </w:rPr>
                    <w:t>监测点位</w:t>
                  </w:r>
                </w:p>
              </w:tc>
            </w:tr>
            <w:tr w14:paraId="5A3C27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1525" w:type="pct"/>
                  <w:vMerge w:val="continue"/>
                  <w:vAlign w:val="center"/>
                </w:tcPr>
                <w:p w14:paraId="187522ED">
                  <w:pPr>
                    <w:adjustRightInd w:val="0"/>
                    <w:snapToGrid w:val="0"/>
                    <w:jc w:val="center"/>
                    <w:rPr>
                      <w:rFonts w:hint="eastAsia" w:ascii="宋体" w:hAnsi="宋体" w:cs="宋体"/>
                      <w:color w:val="000000"/>
                      <w:szCs w:val="21"/>
                    </w:rPr>
                  </w:pPr>
                </w:p>
              </w:tc>
              <w:tc>
                <w:tcPr>
                  <w:tcW w:w="980" w:type="pct"/>
                  <w:vMerge w:val="continue"/>
                  <w:vAlign w:val="center"/>
                </w:tcPr>
                <w:p w14:paraId="7CBFDA26">
                  <w:pPr>
                    <w:adjustRightInd w:val="0"/>
                    <w:snapToGrid w:val="0"/>
                    <w:jc w:val="center"/>
                    <w:rPr>
                      <w:rFonts w:hint="eastAsia" w:ascii="宋体" w:hAnsi="宋体" w:cs="宋体"/>
                      <w:color w:val="000000"/>
                      <w:szCs w:val="21"/>
                    </w:rPr>
                  </w:pPr>
                </w:p>
              </w:tc>
              <w:tc>
                <w:tcPr>
                  <w:tcW w:w="2494" w:type="pct"/>
                  <w:gridSpan w:val="2"/>
                  <w:vAlign w:val="center"/>
                </w:tcPr>
                <w:p w14:paraId="6A384B5F">
                  <w:pPr>
                    <w:adjustRightInd w:val="0"/>
                    <w:snapToGrid w:val="0"/>
                    <w:jc w:val="center"/>
                    <w:rPr>
                      <w:rFonts w:hint="eastAsia" w:ascii="宋体" w:hAnsi="宋体" w:cs="宋体"/>
                      <w:color w:val="000000"/>
                      <w:szCs w:val="21"/>
                    </w:rPr>
                  </w:pPr>
                  <w:r>
                    <w:rPr>
                      <w:rFonts w:hint="eastAsia" w:ascii="宋体" w:hAnsi="宋体" w:cs="宋体"/>
                      <w:color w:val="000000"/>
                      <w:szCs w:val="21"/>
                    </w:rPr>
                    <w:t>S1</w:t>
                  </w:r>
                </w:p>
              </w:tc>
            </w:tr>
            <w:tr w14:paraId="2004A3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25" w:type="pct"/>
                  <w:vMerge w:val="continue"/>
                  <w:vAlign w:val="center"/>
                </w:tcPr>
                <w:p w14:paraId="0D97470C">
                  <w:pPr>
                    <w:ind w:left="-155" w:leftChars="-74" w:right="-29" w:rightChars="-14"/>
                    <w:jc w:val="center"/>
                    <w:rPr>
                      <w:rFonts w:hint="eastAsia" w:ascii="宋体" w:hAnsi="宋体" w:cs="宋体"/>
                      <w:color w:val="000000"/>
                      <w:szCs w:val="21"/>
                    </w:rPr>
                  </w:pPr>
                </w:p>
              </w:tc>
              <w:tc>
                <w:tcPr>
                  <w:tcW w:w="980" w:type="pct"/>
                  <w:vMerge w:val="continue"/>
                  <w:vAlign w:val="center"/>
                </w:tcPr>
                <w:p w14:paraId="37214BA5">
                  <w:pPr>
                    <w:jc w:val="center"/>
                    <w:rPr>
                      <w:rFonts w:hint="eastAsia" w:ascii="宋体" w:hAnsi="宋体" w:cs="宋体"/>
                      <w:color w:val="000000"/>
                      <w:szCs w:val="21"/>
                    </w:rPr>
                  </w:pPr>
                </w:p>
              </w:tc>
              <w:tc>
                <w:tcPr>
                  <w:tcW w:w="1085" w:type="pct"/>
                  <w:vAlign w:val="center"/>
                </w:tcPr>
                <w:p w14:paraId="60CCE266">
                  <w:pPr>
                    <w:adjustRightInd w:val="0"/>
                    <w:snapToGrid w:val="0"/>
                    <w:jc w:val="center"/>
                    <w:rPr>
                      <w:rFonts w:hint="eastAsia" w:ascii="宋体" w:hAnsi="宋体" w:cs="宋体"/>
                      <w:color w:val="000000"/>
                      <w:szCs w:val="21"/>
                    </w:rPr>
                  </w:pPr>
                  <w:r>
                    <w:rPr>
                      <w:rFonts w:hint="eastAsia" w:ascii="宋体" w:hAnsi="宋体" w:cs="宋体"/>
                      <w:color w:val="000000"/>
                      <w:szCs w:val="21"/>
                    </w:rPr>
                    <w:t>监测值</w:t>
                  </w:r>
                </w:p>
              </w:tc>
              <w:tc>
                <w:tcPr>
                  <w:tcW w:w="1408" w:type="pct"/>
                  <w:vAlign w:val="center"/>
                </w:tcPr>
                <w:p w14:paraId="7AECE665">
                  <w:pPr>
                    <w:adjustRightInd w:val="0"/>
                    <w:snapToGrid w:val="0"/>
                    <w:jc w:val="center"/>
                    <w:rPr>
                      <w:rFonts w:hint="eastAsia" w:ascii="宋体" w:hAnsi="宋体" w:cs="宋体"/>
                      <w:color w:val="000000"/>
                      <w:szCs w:val="21"/>
                    </w:rPr>
                  </w:pPr>
                  <w:r>
                    <w:rPr>
                      <w:rFonts w:hint="eastAsia" w:ascii="宋体" w:hAnsi="宋体" w:cs="宋体"/>
                      <w:color w:val="000000"/>
                      <w:szCs w:val="21"/>
                    </w:rPr>
                    <w:t>Sij</w:t>
                  </w:r>
                </w:p>
              </w:tc>
            </w:tr>
            <w:tr w14:paraId="401D87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25" w:type="pct"/>
                  <w:vAlign w:val="center"/>
                </w:tcPr>
                <w:p w14:paraId="7C9D45E6">
                  <w:pPr>
                    <w:adjustRightInd w:val="0"/>
                    <w:snapToGrid w:val="0"/>
                    <w:ind w:left="-155" w:leftChars="-74" w:right="-29" w:rightChars="-14"/>
                    <w:jc w:val="center"/>
                    <w:rPr>
                      <w:rFonts w:hint="eastAsia" w:ascii="宋体" w:hAnsi="宋体" w:cs="宋体"/>
                      <w:color w:val="000000"/>
                      <w:szCs w:val="21"/>
                    </w:rPr>
                  </w:pPr>
                  <w:r>
                    <w:rPr>
                      <w:rFonts w:hint="eastAsia" w:ascii="宋体" w:hAnsi="宋体" w:cs="宋体"/>
                      <w:color w:val="000000"/>
                      <w:szCs w:val="21"/>
                    </w:rPr>
                    <w:t>pH</w:t>
                  </w:r>
                </w:p>
              </w:tc>
              <w:tc>
                <w:tcPr>
                  <w:tcW w:w="980" w:type="pct"/>
                  <w:vAlign w:val="center"/>
                </w:tcPr>
                <w:p w14:paraId="2F2FA5F4">
                  <w:pPr>
                    <w:adjustRightInd w:val="0"/>
                    <w:snapToGrid w:val="0"/>
                    <w:ind w:left="-50" w:leftChars="-24" w:right="-61" w:rightChars="-29"/>
                    <w:jc w:val="center"/>
                    <w:rPr>
                      <w:rFonts w:hint="eastAsia" w:ascii="宋体" w:hAnsi="宋体" w:cs="宋体"/>
                      <w:color w:val="000000"/>
                      <w:szCs w:val="21"/>
                    </w:rPr>
                  </w:pPr>
                  <w:r>
                    <w:rPr>
                      <w:rFonts w:hint="eastAsia" w:ascii="宋体" w:hAnsi="宋体" w:cs="宋体"/>
                      <w:color w:val="000000"/>
                      <w:szCs w:val="21"/>
                    </w:rPr>
                    <w:t>6.5</w:t>
                  </w:r>
                  <w:r>
                    <w:rPr>
                      <w:rFonts w:ascii="Cambria" w:hAnsi="Cambria" w:cs="宋体"/>
                      <w:color w:val="000000"/>
                      <w:szCs w:val="21"/>
                    </w:rPr>
                    <w:t>~</w:t>
                  </w:r>
                  <w:r>
                    <w:rPr>
                      <w:rFonts w:hint="eastAsia" w:ascii="宋体" w:hAnsi="宋体" w:cs="宋体"/>
                      <w:color w:val="000000"/>
                      <w:szCs w:val="21"/>
                    </w:rPr>
                    <w:t>8.5</w:t>
                  </w:r>
                </w:p>
              </w:tc>
              <w:tc>
                <w:tcPr>
                  <w:tcW w:w="1085" w:type="pct"/>
                  <w:vAlign w:val="center"/>
                </w:tcPr>
                <w:p w14:paraId="1AA9707C">
                  <w:pPr>
                    <w:jc w:val="center"/>
                    <w:rPr>
                      <w:rFonts w:hint="eastAsia" w:ascii="宋体" w:hAnsi="宋体" w:cs="宋体"/>
                      <w:color w:val="000000"/>
                      <w:szCs w:val="21"/>
                    </w:rPr>
                  </w:pPr>
                  <w:r>
                    <w:rPr>
                      <w:rFonts w:hint="eastAsia" w:ascii="宋体" w:hAnsi="宋体" w:cs="宋体"/>
                      <w:color w:val="000000"/>
                      <w:szCs w:val="21"/>
                    </w:rPr>
                    <w:t>7.8</w:t>
                  </w:r>
                </w:p>
              </w:tc>
              <w:tc>
                <w:tcPr>
                  <w:tcW w:w="1408" w:type="pct"/>
                  <w:vAlign w:val="center"/>
                </w:tcPr>
                <w:p w14:paraId="2222D320">
                  <w:pPr>
                    <w:jc w:val="center"/>
                    <w:rPr>
                      <w:rFonts w:hint="eastAsia" w:ascii="宋体" w:hAnsi="宋体" w:cs="宋体"/>
                      <w:color w:val="000000"/>
                      <w:szCs w:val="21"/>
                    </w:rPr>
                  </w:pPr>
                  <w:r>
                    <w:rPr>
                      <w:rFonts w:hint="eastAsia" w:ascii="宋体" w:hAnsi="宋体" w:cs="宋体"/>
                      <w:color w:val="000000"/>
                      <w:szCs w:val="21"/>
                    </w:rPr>
                    <w:t>0.53</w:t>
                  </w:r>
                </w:p>
              </w:tc>
            </w:tr>
            <w:tr w14:paraId="76FE2B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25" w:type="pct"/>
                  <w:vAlign w:val="center"/>
                </w:tcPr>
                <w:p w14:paraId="5047CE23">
                  <w:pPr>
                    <w:adjustRightInd w:val="0"/>
                    <w:snapToGrid w:val="0"/>
                    <w:ind w:left="-155" w:leftChars="-74" w:right="-29" w:rightChars="-14"/>
                    <w:jc w:val="center"/>
                    <w:rPr>
                      <w:rFonts w:hint="eastAsia" w:ascii="宋体" w:hAnsi="宋体" w:cs="宋体"/>
                      <w:color w:val="000000"/>
                      <w:szCs w:val="21"/>
                    </w:rPr>
                  </w:pPr>
                  <w:r>
                    <w:rPr>
                      <w:rFonts w:hint="eastAsia" w:ascii="宋体" w:hAnsi="宋体" w:cs="宋体"/>
                      <w:color w:val="000000"/>
                      <w:szCs w:val="21"/>
                    </w:rPr>
                    <w:t>氨氮</w:t>
                  </w:r>
                </w:p>
              </w:tc>
              <w:tc>
                <w:tcPr>
                  <w:tcW w:w="980" w:type="pct"/>
                  <w:vAlign w:val="center"/>
                </w:tcPr>
                <w:p w14:paraId="295C372A">
                  <w:pPr>
                    <w:adjustRightInd w:val="0"/>
                    <w:snapToGrid w:val="0"/>
                    <w:jc w:val="center"/>
                    <w:rPr>
                      <w:rFonts w:hint="eastAsia" w:ascii="宋体" w:hAnsi="宋体" w:cs="宋体"/>
                      <w:color w:val="000000"/>
                      <w:szCs w:val="21"/>
                    </w:rPr>
                  </w:pPr>
                  <w:r>
                    <w:rPr>
                      <w:rFonts w:hint="eastAsia" w:ascii="宋体" w:hAnsi="宋体" w:cs="宋体"/>
                      <w:color w:val="000000"/>
                      <w:szCs w:val="21"/>
                    </w:rPr>
                    <w:t>0.5（mg/L）</w:t>
                  </w:r>
                </w:p>
              </w:tc>
              <w:tc>
                <w:tcPr>
                  <w:tcW w:w="1085" w:type="pct"/>
                  <w:vAlign w:val="center"/>
                </w:tcPr>
                <w:p w14:paraId="2BB0E141">
                  <w:pPr>
                    <w:jc w:val="center"/>
                    <w:rPr>
                      <w:rFonts w:hint="eastAsia" w:ascii="宋体" w:hAnsi="宋体" w:cs="宋体"/>
                      <w:color w:val="000000"/>
                      <w:szCs w:val="21"/>
                    </w:rPr>
                  </w:pPr>
                  <w:r>
                    <w:rPr>
                      <w:rFonts w:hint="eastAsia" w:ascii="宋体" w:hAnsi="宋体" w:cs="宋体"/>
                      <w:color w:val="000000"/>
                      <w:szCs w:val="21"/>
                    </w:rPr>
                    <w:t>0.1</w:t>
                  </w:r>
                </w:p>
              </w:tc>
              <w:tc>
                <w:tcPr>
                  <w:tcW w:w="1408" w:type="pct"/>
                  <w:vAlign w:val="center"/>
                </w:tcPr>
                <w:p w14:paraId="0B1A2B0F">
                  <w:pPr>
                    <w:jc w:val="center"/>
                    <w:rPr>
                      <w:rFonts w:hint="eastAsia" w:ascii="宋体" w:hAnsi="宋体" w:cs="宋体"/>
                      <w:color w:val="000000"/>
                      <w:szCs w:val="21"/>
                    </w:rPr>
                  </w:pPr>
                  <w:r>
                    <w:rPr>
                      <w:rFonts w:hint="eastAsia" w:ascii="宋体" w:hAnsi="宋体" w:cs="宋体"/>
                      <w:color w:val="000000"/>
                      <w:szCs w:val="21"/>
                    </w:rPr>
                    <w:t>0.2</w:t>
                  </w:r>
                </w:p>
              </w:tc>
            </w:tr>
            <w:tr w14:paraId="5F4950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25" w:type="pct"/>
                  <w:vAlign w:val="center"/>
                </w:tcPr>
                <w:p w14:paraId="67050F35">
                  <w:pPr>
                    <w:adjustRightInd w:val="0"/>
                    <w:snapToGrid w:val="0"/>
                    <w:ind w:left="-155" w:leftChars="-74" w:right="-29" w:rightChars="-14"/>
                    <w:jc w:val="center"/>
                    <w:rPr>
                      <w:rFonts w:hint="eastAsia" w:ascii="宋体" w:hAnsi="宋体" w:cs="宋体"/>
                      <w:color w:val="000000"/>
                      <w:szCs w:val="21"/>
                    </w:rPr>
                  </w:pPr>
                  <w:r>
                    <w:rPr>
                      <w:rFonts w:hint="eastAsia" w:ascii="宋体" w:hAnsi="宋体" w:cs="宋体"/>
                      <w:color w:val="000000"/>
                      <w:szCs w:val="21"/>
                    </w:rPr>
                    <w:t>亚硝酸盐</w:t>
                  </w:r>
                </w:p>
              </w:tc>
              <w:tc>
                <w:tcPr>
                  <w:tcW w:w="980" w:type="pct"/>
                  <w:vAlign w:val="center"/>
                </w:tcPr>
                <w:p w14:paraId="0A42CCCF">
                  <w:pPr>
                    <w:adjustRightInd w:val="0"/>
                    <w:snapToGrid w:val="0"/>
                    <w:jc w:val="center"/>
                    <w:rPr>
                      <w:rFonts w:hint="eastAsia" w:ascii="宋体" w:hAnsi="宋体" w:cs="宋体"/>
                      <w:color w:val="000000"/>
                      <w:szCs w:val="21"/>
                    </w:rPr>
                  </w:pPr>
                  <w:r>
                    <w:rPr>
                      <w:rFonts w:hint="eastAsia" w:ascii="宋体" w:hAnsi="宋体" w:cs="宋体"/>
                      <w:color w:val="000000"/>
                      <w:szCs w:val="21"/>
                    </w:rPr>
                    <w:t>1.00（mg/L）</w:t>
                  </w:r>
                </w:p>
              </w:tc>
              <w:tc>
                <w:tcPr>
                  <w:tcW w:w="1085" w:type="pct"/>
                  <w:vAlign w:val="center"/>
                </w:tcPr>
                <w:p w14:paraId="116FF08E">
                  <w:pPr>
                    <w:jc w:val="center"/>
                    <w:rPr>
                      <w:rFonts w:hint="eastAsia" w:ascii="宋体" w:hAnsi="宋体" w:cs="宋体"/>
                      <w:color w:val="000000"/>
                      <w:szCs w:val="21"/>
                    </w:rPr>
                  </w:pPr>
                  <w:r>
                    <w:rPr>
                      <w:rFonts w:hint="eastAsia" w:ascii="宋体" w:hAnsi="宋体" w:cs="宋体"/>
                      <w:color w:val="000000"/>
                      <w:szCs w:val="21"/>
                    </w:rPr>
                    <w:t>0.016L</w:t>
                  </w:r>
                </w:p>
              </w:tc>
              <w:tc>
                <w:tcPr>
                  <w:tcW w:w="1408" w:type="pct"/>
                  <w:vAlign w:val="center"/>
                </w:tcPr>
                <w:p w14:paraId="4AAC55CB">
                  <w:pPr>
                    <w:jc w:val="center"/>
                    <w:rPr>
                      <w:rFonts w:hint="eastAsia" w:ascii="宋体" w:hAnsi="宋体" w:cs="宋体"/>
                      <w:color w:val="000000"/>
                      <w:szCs w:val="21"/>
                    </w:rPr>
                  </w:pPr>
                  <w:r>
                    <w:rPr>
                      <w:rFonts w:hint="eastAsia" w:ascii="宋体" w:hAnsi="宋体" w:cs="宋体"/>
                      <w:color w:val="000000"/>
                      <w:szCs w:val="21"/>
                    </w:rPr>
                    <w:t>/</w:t>
                  </w:r>
                </w:p>
              </w:tc>
            </w:tr>
            <w:tr w14:paraId="0217B7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25" w:type="pct"/>
                  <w:vAlign w:val="center"/>
                </w:tcPr>
                <w:p w14:paraId="1DF526AC">
                  <w:pPr>
                    <w:adjustRightInd w:val="0"/>
                    <w:snapToGrid w:val="0"/>
                    <w:ind w:left="-155" w:leftChars="-74" w:right="-29" w:rightChars="-14"/>
                    <w:jc w:val="center"/>
                    <w:rPr>
                      <w:rFonts w:hint="eastAsia" w:ascii="宋体" w:hAnsi="宋体" w:cs="宋体"/>
                      <w:color w:val="000000"/>
                      <w:szCs w:val="21"/>
                    </w:rPr>
                  </w:pPr>
                  <w:r>
                    <w:rPr>
                      <w:rFonts w:hint="eastAsia" w:ascii="宋体" w:hAnsi="宋体" w:cs="宋体"/>
                      <w:color w:val="000000"/>
                      <w:szCs w:val="21"/>
                    </w:rPr>
                    <w:t>挥发酚</w:t>
                  </w:r>
                </w:p>
              </w:tc>
              <w:tc>
                <w:tcPr>
                  <w:tcW w:w="980" w:type="pct"/>
                  <w:vAlign w:val="center"/>
                </w:tcPr>
                <w:p w14:paraId="57622462">
                  <w:pPr>
                    <w:adjustRightInd w:val="0"/>
                    <w:snapToGrid w:val="0"/>
                    <w:jc w:val="center"/>
                    <w:rPr>
                      <w:rFonts w:hint="eastAsia" w:ascii="宋体" w:hAnsi="宋体" w:cs="宋体"/>
                      <w:color w:val="000000"/>
                      <w:szCs w:val="21"/>
                    </w:rPr>
                  </w:pPr>
                  <w:r>
                    <w:rPr>
                      <w:rFonts w:hint="eastAsia" w:ascii="宋体" w:hAnsi="宋体" w:cs="宋体"/>
                      <w:color w:val="000000"/>
                      <w:szCs w:val="21"/>
                    </w:rPr>
                    <w:t>0.002（mg/L）</w:t>
                  </w:r>
                </w:p>
              </w:tc>
              <w:tc>
                <w:tcPr>
                  <w:tcW w:w="1085" w:type="pct"/>
                  <w:vAlign w:val="center"/>
                </w:tcPr>
                <w:p w14:paraId="692A31F4">
                  <w:pPr>
                    <w:jc w:val="center"/>
                    <w:rPr>
                      <w:rFonts w:hint="eastAsia" w:ascii="宋体" w:hAnsi="宋体" w:cs="宋体"/>
                      <w:color w:val="000000"/>
                      <w:szCs w:val="21"/>
                    </w:rPr>
                  </w:pPr>
                  <w:r>
                    <w:rPr>
                      <w:rFonts w:hint="eastAsia" w:ascii="宋体" w:hAnsi="宋体" w:cs="宋体"/>
                      <w:color w:val="000000"/>
                      <w:szCs w:val="21"/>
                    </w:rPr>
                    <w:t>0.0003L</w:t>
                  </w:r>
                </w:p>
              </w:tc>
              <w:tc>
                <w:tcPr>
                  <w:tcW w:w="1408" w:type="pct"/>
                  <w:vAlign w:val="center"/>
                </w:tcPr>
                <w:p w14:paraId="0060E464">
                  <w:pPr>
                    <w:jc w:val="center"/>
                    <w:rPr>
                      <w:rFonts w:hint="eastAsia" w:ascii="宋体" w:hAnsi="宋体" w:cs="宋体"/>
                      <w:color w:val="000000"/>
                      <w:szCs w:val="21"/>
                    </w:rPr>
                  </w:pPr>
                  <w:r>
                    <w:rPr>
                      <w:rFonts w:hint="eastAsia" w:ascii="宋体" w:hAnsi="宋体" w:cs="宋体"/>
                      <w:color w:val="000000"/>
                      <w:szCs w:val="21"/>
                    </w:rPr>
                    <w:t>/</w:t>
                  </w:r>
                </w:p>
              </w:tc>
            </w:tr>
            <w:tr w14:paraId="67A868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25" w:type="pct"/>
                  <w:vAlign w:val="center"/>
                </w:tcPr>
                <w:p w14:paraId="66F75833">
                  <w:pPr>
                    <w:adjustRightInd w:val="0"/>
                    <w:snapToGrid w:val="0"/>
                    <w:ind w:left="-155" w:leftChars="-74" w:right="-29" w:rightChars="-14"/>
                    <w:jc w:val="center"/>
                    <w:rPr>
                      <w:rFonts w:hint="eastAsia" w:ascii="宋体" w:hAnsi="宋体" w:cs="宋体"/>
                      <w:color w:val="000000"/>
                      <w:szCs w:val="21"/>
                    </w:rPr>
                  </w:pPr>
                  <w:r>
                    <w:rPr>
                      <w:rFonts w:hint="eastAsia" w:ascii="宋体" w:hAnsi="宋体" w:cs="宋体"/>
                      <w:color w:val="000000"/>
                      <w:szCs w:val="21"/>
                    </w:rPr>
                    <w:t>耗氧量</w:t>
                  </w:r>
                </w:p>
              </w:tc>
              <w:tc>
                <w:tcPr>
                  <w:tcW w:w="980" w:type="pct"/>
                  <w:vAlign w:val="center"/>
                </w:tcPr>
                <w:p w14:paraId="300705D2">
                  <w:pPr>
                    <w:adjustRightInd w:val="0"/>
                    <w:snapToGrid w:val="0"/>
                    <w:jc w:val="center"/>
                    <w:rPr>
                      <w:rFonts w:hint="eastAsia" w:ascii="宋体" w:hAnsi="宋体" w:cs="宋体"/>
                      <w:color w:val="000000"/>
                      <w:szCs w:val="21"/>
                    </w:rPr>
                  </w:pPr>
                  <w:r>
                    <w:rPr>
                      <w:rFonts w:hint="eastAsia" w:ascii="宋体" w:hAnsi="宋体" w:cs="宋体"/>
                      <w:color w:val="000000"/>
                      <w:szCs w:val="21"/>
                    </w:rPr>
                    <w:t>3.0（mg/L）</w:t>
                  </w:r>
                </w:p>
              </w:tc>
              <w:tc>
                <w:tcPr>
                  <w:tcW w:w="1085" w:type="pct"/>
                  <w:vAlign w:val="center"/>
                </w:tcPr>
                <w:p w14:paraId="72B35B2A">
                  <w:pPr>
                    <w:jc w:val="center"/>
                    <w:rPr>
                      <w:rFonts w:hint="eastAsia" w:ascii="宋体" w:hAnsi="宋体" w:cs="宋体"/>
                      <w:color w:val="000000"/>
                      <w:szCs w:val="21"/>
                    </w:rPr>
                  </w:pPr>
                  <w:r>
                    <w:rPr>
                      <w:rFonts w:hint="eastAsia" w:ascii="宋体" w:hAnsi="宋体" w:cs="宋体"/>
                      <w:color w:val="000000"/>
                      <w:szCs w:val="21"/>
                    </w:rPr>
                    <w:t>0.95</w:t>
                  </w:r>
                </w:p>
              </w:tc>
              <w:tc>
                <w:tcPr>
                  <w:tcW w:w="1408" w:type="pct"/>
                  <w:vAlign w:val="center"/>
                </w:tcPr>
                <w:p w14:paraId="04E3DC7D">
                  <w:pPr>
                    <w:jc w:val="center"/>
                    <w:rPr>
                      <w:rFonts w:hint="eastAsia" w:ascii="宋体" w:hAnsi="宋体" w:cs="宋体"/>
                      <w:color w:val="000000"/>
                      <w:szCs w:val="21"/>
                    </w:rPr>
                  </w:pPr>
                  <w:r>
                    <w:rPr>
                      <w:rFonts w:hint="eastAsia" w:ascii="宋体" w:hAnsi="宋体" w:cs="宋体"/>
                      <w:color w:val="000000"/>
                      <w:szCs w:val="21"/>
                    </w:rPr>
                    <w:t>0.32</w:t>
                  </w:r>
                </w:p>
              </w:tc>
            </w:tr>
            <w:tr w14:paraId="0DFC05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25" w:type="pct"/>
                  <w:vAlign w:val="center"/>
                </w:tcPr>
                <w:p w14:paraId="49B5184B">
                  <w:pPr>
                    <w:adjustRightInd w:val="0"/>
                    <w:snapToGrid w:val="0"/>
                    <w:ind w:left="-155" w:leftChars="-74" w:right="-29" w:rightChars="-14"/>
                    <w:jc w:val="center"/>
                    <w:rPr>
                      <w:rFonts w:hint="eastAsia" w:ascii="宋体" w:hAnsi="宋体" w:cs="宋体"/>
                      <w:color w:val="000000"/>
                      <w:szCs w:val="21"/>
                    </w:rPr>
                  </w:pPr>
                  <w:r>
                    <w:rPr>
                      <w:rFonts w:hint="eastAsia" w:ascii="宋体" w:hAnsi="宋体" w:cs="宋体"/>
                      <w:color w:val="000000"/>
                      <w:szCs w:val="21"/>
                    </w:rPr>
                    <w:t>氰化物</w:t>
                  </w:r>
                </w:p>
              </w:tc>
              <w:tc>
                <w:tcPr>
                  <w:tcW w:w="980" w:type="pct"/>
                  <w:vAlign w:val="center"/>
                </w:tcPr>
                <w:p w14:paraId="289636F1">
                  <w:pPr>
                    <w:adjustRightInd w:val="0"/>
                    <w:snapToGrid w:val="0"/>
                    <w:jc w:val="center"/>
                    <w:rPr>
                      <w:rFonts w:hint="eastAsia" w:ascii="宋体" w:hAnsi="宋体" w:cs="宋体"/>
                      <w:color w:val="000000"/>
                      <w:szCs w:val="21"/>
                    </w:rPr>
                  </w:pPr>
                  <w:r>
                    <w:rPr>
                      <w:rFonts w:hint="eastAsia" w:ascii="宋体" w:hAnsi="宋体" w:cs="宋体"/>
                      <w:color w:val="000000"/>
                      <w:szCs w:val="21"/>
                    </w:rPr>
                    <w:t>0.05（mg/L）</w:t>
                  </w:r>
                </w:p>
              </w:tc>
              <w:tc>
                <w:tcPr>
                  <w:tcW w:w="1085" w:type="pct"/>
                  <w:vAlign w:val="center"/>
                </w:tcPr>
                <w:p w14:paraId="3B96B0CC">
                  <w:pPr>
                    <w:jc w:val="center"/>
                    <w:rPr>
                      <w:rFonts w:hint="eastAsia" w:ascii="宋体" w:hAnsi="宋体" w:cs="宋体"/>
                      <w:color w:val="000000"/>
                      <w:szCs w:val="21"/>
                    </w:rPr>
                  </w:pPr>
                  <w:r>
                    <w:rPr>
                      <w:rFonts w:hint="eastAsia" w:ascii="宋体" w:hAnsi="宋体" w:cs="宋体"/>
                      <w:color w:val="000000"/>
                      <w:szCs w:val="21"/>
                    </w:rPr>
                    <w:t>0.002L</w:t>
                  </w:r>
                </w:p>
              </w:tc>
              <w:tc>
                <w:tcPr>
                  <w:tcW w:w="1408" w:type="pct"/>
                  <w:vAlign w:val="center"/>
                </w:tcPr>
                <w:p w14:paraId="75F9B099">
                  <w:pPr>
                    <w:jc w:val="center"/>
                    <w:rPr>
                      <w:rFonts w:hint="eastAsia" w:ascii="宋体" w:hAnsi="宋体" w:cs="宋体"/>
                      <w:color w:val="000000"/>
                      <w:szCs w:val="21"/>
                    </w:rPr>
                  </w:pPr>
                  <w:r>
                    <w:rPr>
                      <w:rFonts w:hint="eastAsia" w:ascii="宋体" w:hAnsi="宋体" w:cs="宋体"/>
                      <w:color w:val="000000"/>
                      <w:szCs w:val="21"/>
                    </w:rPr>
                    <w:t>/</w:t>
                  </w:r>
                </w:p>
              </w:tc>
            </w:tr>
            <w:tr w14:paraId="698B78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25" w:type="pct"/>
                  <w:vAlign w:val="center"/>
                </w:tcPr>
                <w:p w14:paraId="227792B7">
                  <w:pPr>
                    <w:adjustRightInd w:val="0"/>
                    <w:snapToGrid w:val="0"/>
                    <w:ind w:left="-155" w:leftChars="-74" w:right="-29" w:rightChars="-14"/>
                    <w:jc w:val="center"/>
                    <w:rPr>
                      <w:rFonts w:hint="eastAsia" w:ascii="宋体" w:hAnsi="宋体" w:cs="宋体"/>
                      <w:color w:val="000000"/>
                      <w:szCs w:val="21"/>
                    </w:rPr>
                  </w:pPr>
                  <w:r>
                    <w:rPr>
                      <w:rFonts w:hint="eastAsia" w:ascii="宋体" w:hAnsi="宋体" w:cs="宋体"/>
                      <w:color w:val="000000"/>
                      <w:szCs w:val="21"/>
                    </w:rPr>
                    <w:t>汞</w:t>
                  </w:r>
                </w:p>
              </w:tc>
              <w:tc>
                <w:tcPr>
                  <w:tcW w:w="980" w:type="pct"/>
                  <w:vAlign w:val="center"/>
                </w:tcPr>
                <w:p w14:paraId="2B496B5F">
                  <w:pPr>
                    <w:adjustRightInd w:val="0"/>
                    <w:snapToGrid w:val="0"/>
                    <w:jc w:val="center"/>
                    <w:rPr>
                      <w:rFonts w:hint="eastAsia" w:ascii="宋体" w:hAnsi="宋体" w:cs="宋体"/>
                      <w:color w:val="000000"/>
                      <w:szCs w:val="21"/>
                    </w:rPr>
                  </w:pPr>
                  <w:r>
                    <w:rPr>
                      <w:rFonts w:hint="eastAsia" w:ascii="宋体" w:hAnsi="宋体" w:cs="宋体"/>
                      <w:color w:val="000000"/>
                      <w:szCs w:val="21"/>
                    </w:rPr>
                    <w:t>0.001（mg/L）</w:t>
                  </w:r>
                </w:p>
              </w:tc>
              <w:tc>
                <w:tcPr>
                  <w:tcW w:w="1085" w:type="pct"/>
                  <w:vAlign w:val="center"/>
                </w:tcPr>
                <w:p w14:paraId="7F1D7634">
                  <w:pPr>
                    <w:jc w:val="center"/>
                    <w:rPr>
                      <w:rFonts w:hint="eastAsia" w:ascii="宋体" w:hAnsi="宋体" w:cs="宋体"/>
                      <w:color w:val="000000"/>
                      <w:szCs w:val="21"/>
                    </w:rPr>
                  </w:pPr>
                  <w:r>
                    <w:rPr>
                      <w:rFonts w:hint="eastAsia" w:ascii="宋体" w:hAnsi="宋体" w:cs="宋体"/>
                      <w:color w:val="000000"/>
                      <w:szCs w:val="21"/>
                    </w:rPr>
                    <w:t>0.00004L</w:t>
                  </w:r>
                </w:p>
              </w:tc>
              <w:tc>
                <w:tcPr>
                  <w:tcW w:w="1408" w:type="pct"/>
                  <w:vAlign w:val="center"/>
                </w:tcPr>
                <w:p w14:paraId="70E00F11">
                  <w:pPr>
                    <w:jc w:val="center"/>
                    <w:rPr>
                      <w:rFonts w:hint="eastAsia" w:ascii="宋体" w:hAnsi="宋体" w:cs="宋体"/>
                      <w:color w:val="000000"/>
                      <w:szCs w:val="21"/>
                    </w:rPr>
                  </w:pPr>
                  <w:r>
                    <w:rPr>
                      <w:rFonts w:hint="eastAsia" w:ascii="宋体" w:hAnsi="宋体" w:cs="宋体"/>
                      <w:color w:val="000000"/>
                      <w:szCs w:val="21"/>
                    </w:rPr>
                    <w:t>/</w:t>
                  </w:r>
                </w:p>
              </w:tc>
            </w:tr>
            <w:tr w14:paraId="25B078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25" w:type="pct"/>
                  <w:vAlign w:val="center"/>
                </w:tcPr>
                <w:p w14:paraId="02465F91">
                  <w:pPr>
                    <w:adjustRightInd w:val="0"/>
                    <w:snapToGrid w:val="0"/>
                    <w:ind w:left="-155" w:leftChars="-74" w:right="-29" w:rightChars="-14"/>
                    <w:jc w:val="center"/>
                    <w:rPr>
                      <w:rFonts w:hint="eastAsia" w:ascii="宋体" w:hAnsi="宋体" w:cs="宋体"/>
                      <w:color w:val="000000"/>
                      <w:szCs w:val="21"/>
                    </w:rPr>
                  </w:pPr>
                  <w:r>
                    <w:rPr>
                      <w:rFonts w:hint="eastAsia" w:ascii="宋体" w:hAnsi="宋体" w:cs="宋体"/>
                      <w:color w:val="000000"/>
                      <w:szCs w:val="21"/>
                    </w:rPr>
                    <w:t>砷</w:t>
                  </w:r>
                </w:p>
              </w:tc>
              <w:tc>
                <w:tcPr>
                  <w:tcW w:w="980" w:type="pct"/>
                  <w:vAlign w:val="center"/>
                </w:tcPr>
                <w:p w14:paraId="2BD54F7E">
                  <w:pPr>
                    <w:adjustRightInd w:val="0"/>
                    <w:snapToGrid w:val="0"/>
                    <w:jc w:val="center"/>
                    <w:rPr>
                      <w:rFonts w:hint="eastAsia" w:ascii="宋体" w:hAnsi="宋体" w:cs="宋体"/>
                      <w:color w:val="000000"/>
                      <w:szCs w:val="21"/>
                    </w:rPr>
                  </w:pPr>
                  <w:r>
                    <w:rPr>
                      <w:rFonts w:hint="eastAsia" w:ascii="宋体" w:hAnsi="宋体" w:cs="宋体"/>
                      <w:color w:val="000000"/>
                      <w:szCs w:val="21"/>
                    </w:rPr>
                    <w:t>0.01（mg/L）</w:t>
                  </w:r>
                </w:p>
              </w:tc>
              <w:tc>
                <w:tcPr>
                  <w:tcW w:w="1085" w:type="pct"/>
                  <w:vAlign w:val="center"/>
                </w:tcPr>
                <w:p w14:paraId="1B12AC75">
                  <w:pPr>
                    <w:jc w:val="center"/>
                    <w:rPr>
                      <w:rFonts w:hint="eastAsia" w:ascii="宋体" w:hAnsi="宋体" w:cs="宋体"/>
                      <w:color w:val="000000"/>
                      <w:szCs w:val="21"/>
                    </w:rPr>
                  </w:pPr>
                  <w:r>
                    <w:rPr>
                      <w:rFonts w:hint="eastAsia" w:ascii="宋体" w:hAnsi="宋体" w:cs="宋体"/>
                      <w:color w:val="000000"/>
                      <w:szCs w:val="21"/>
                    </w:rPr>
                    <w:t>0.0004</w:t>
                  </w:r>
                </w:p>
              </w:tc>
              <w:tc>
                <w:tcPr>
                  <w:tcW w:w="1408" w:type="pct"/>
                  <w:vAlign w:val="center"/>
                </w:tcPr>
                <w:p w14:paraId="3E13E381">
                  <w:pPr>
                    <w:jc w:val="center"/>
                    <w:rPr>
                      <w:rFonts w:hint="eastAsia" w:ascii="宋体" w:hAnsi="宋体" w:cs="宋体"/>
                      <w:color w:val="000000"/>
                      <w:szCs w:val="21"/>
                    </w:rPr>
                  </w:pPr>
                  <w:r>
                    <w:rPr>
                      <w:rFonts w:hint="eastAsia" w:ascii="宋体" w:hAnsi="宋体" w:cs="宋体"/>
                      <w:color w:val="000000"/>
                      <w:szCs w:val="21"/>
                    </w:rPr>
                    <w:t>0.04</w:t>
                  </w:r>
                </w:p>
              </w:tc>
            </w:tr>
            <w:tr w14:paraId="79169F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25" w:type="pct"/>
                  <w:vAlign w:val="center"/>
                </w:tcPr>
                <w:p w14:paraId="176CBC3A">
                  <w:pPr>
                    <w:adjustRightInd w:val="0"/>
                    <w:snapToGrid w:val="0"/>
                    <w:ind w:left="-155" w:leftChars="-74" w:right="-29" w:rightChars="-14"/>
                    <w:jc w:val="center"/>
                    <w:rPr>
                      <w:rFonts w:hint="eastAsia" w:ascii="宋体" w:hAnsi="宋体" w:cs="宋体"/>
                      <w:color w:val="000000"/>
                      <w:szCs w:val="21"/>
                    </w:rPr>
                  </w:pPr>
                  <w:r>
                    <w:rPr>
                      <w:rFonts w:hint="eastAsia" w:ascii="宋体" w:hAnsi="宋体" w:cs="宋体"/>
                      <w:color w:val="000000"/>
                      <w:szCs w:val="21"/>
                    </w:rPr>
                    <w:t>六价铬</w:t>
                  </w:r>
                </w:p>
              </w:tc>
              <w:tc>
                <w:tcPr>
                  <w:tcW w:w="980" w:type="pct"/>
                  <w:vAlign w:val="center"/>
                </w:tcPr>
                <w:p w14:paraId="3E0539BF">
                  <w:pPr>
                    <w:adjustRightInd w:val="0"/>
                    <w:snapToGrid w:val="0"/>
                    <w:jc w:val="center"/>
                    <w:rPr>
                      <w:rFonts w:hint="eastAsia" w:ascii="宋体" w:hAnsi="宋体" w:cs="宋体"/>
                      <w:color w:val="000000"/>
                      <w:szCs w:val="21"/>
                    </w:rPr>
                  </w:pPr>
                  <w:r>
                    <w:rPr>
                      <w:rFonts w:hint="eastAsia" w:ascii="宋体" w:hAnsi="宋体" w:cs="宋体"/>
                      <w:color w:val="000000"/>
                      <w:szCs w:val="21"/>
                    </w:rPr>
                    <w:t>0.05（mg/L）</w:t>
                  </w:r>
                </w:p>
              </w:tc>
              <w:tc>
                <w:tcPr>
                  <w:tcW w:w="1085" w:type="pct"/>
                  <w:vAlign w:val="center"/>
                </w:tcPr>
                <w:p w14:paraId="65770355">
                  <w:pPr>
                    <w:jc w:val="center"/>
                    <w:rPr>
                      <w:rFonts w:hint="eastAsia" w:ascii="宋体" w:hAnsi="宋体" w:cs="宋体"/>
                      <w:color w:val="000000"/>
                      <w:szCs w:val="21"/>
                    </w:rPr>
                  </w:pPr>
                  <w:r>
                    <w:rPr>
                      <w:rFonts w:hint="eastAsia" w:ascii="宋体" w:hAnsi="宋体" w:cs="宋体"/>
                      <w:color w:val="000000"/>
                      <w:szCs w:val="21"/>
                    </w:rPr>
                    <w:t>0.004L</w:t>
                  </w:r>
                </w:p>
              </w:tc>
              <w:tc>
                <w:tcPr>
                  <w:tcW w:w="1408" w:type="pct"/>
                  <w:vAlign w:val="center"/>
                </w:tcPr>
                <w:p w14:paraId="7462784B">
                  <w:pPr>
                    <w:jc w:val="center"/>
                    <w:rPr>
                      <w:rFonts w:hint="eastAsia" w:ascii="宋体" w:hAnsi="宋体" w:cs="宋体"/>
                      <w:color w:val="000000"/>
                      <w:szCs w:val="21"/>
                    </w:rPr>
                  </w:pPr>
                  <w:r>
                    <w:rPr>
                      <w:rFonts w:hint="eastAsia" w:ascii="宋体" w:hAnsi="宋体" w:cs="宋体"/>
                      <w:color w:val="000000"/>
                      <w:szCs w:val="21"/>
                    </w:rPr>
                    <w:t>/</w:t>
                  </w:r>
                </w:p>
              </w:tc>
            </w:tr>
            <w:tr w14:paraId="5E7214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25" w:type="pct"/>
                  <w:vAlign w:val="center"/>
                </w:tcPr>
                <w:p w14:paraId="578F861E">
                  <w:pPr>
                    <w:adjustRightInd w:val="0"/>
                    <w:snapToGrid w:val="0"/>
                    <w:ind w:left="-155" w:leftChars="-74" w:right="-29" w:rightChars="-14"/>
                    <w:jc w:val="center"/>
                    <w:rPr>
                      <w:rFonts w:hint="eastAsia" w:ascii="宋体" w:hAnsi="宋体" w:cs="宋体"/>
                      <w:color w:val="000000"/>
                      <w:szCs w:val="21"/>
                    </w:rPr>
                  </w:pPr>
                  <w:r>
                    <w:rPr>
                      <w:rFonts w:hint="eastAsia" w:ascii="宋体" w:hAnsi="宋体" w:cs="宋体"/>
                      <w:color w:val="000000"/>
                      <w:szCs w:val="21"/>
                    </w:rPr>
                    <w:t>总硬度</w:t>
                  </w:r>
                </w:p>
              </w:tc>
              <w:tc>
                <w:tcPr>
                  <w:tcW w:w="980" w:type="pct"/>
                  <w:vAlign w:val="center"/>
                </w:tcPr>
                <w:p w14:paraId="5F45C0FA">
                  <w:pPr>
                    <w:adjustRightInd w:val="0"/>
                    <w:snapToGrid w:val="0"/>
                    <w:jc w:val="center"/>
                    <w:rPr>
                      <w:rFonts w:hint="eastAsia" w:ascii="宋体" w:hAnsi="宋体" w:cs="宋体"/>
                      <w:color w:val="000000"/>
                      <w:szCs w:val="21"/>
                    </w:rPr>
                  </w:pPr>
                  <w:r>
                    <w:rPr>
                      <w:rFonts w:hint="eastAsia" w:ascii="宋体" w:hAnsi="宋体" w:cs="宋体"/>
                      <w:color w:val="000000"/>
                      <w:szCs w:val="21"/>
                    </w:rPr>
                    <w:t>450（mg/L）</w:t>
                  </w:r>
                </w:p>
              </w:tc>
              <w:tc>
                <w:tcPr>
                  <w:tcW w:w="1085" w:type="pct"/>
                  <w:vAlign w:val="center"/>
                </w:tcPr>
                <w:p w14:paraId="1D261705">
                  <w:pPr>
                    <w:jc w:val="center"/>
                    <w:rPr>
                      <w:rFonts w:hint="eastAsia" w:ascii="宋体" w:hAnsi="宋体" w:cs="宋体"/>
                      <w:color w:val="000000"/>
                      <w:szCs w:val="21"/>
                    </w:rPr>
                  </w:pPr>
                  <w:r>
                    <w:rPr>
                      <w:rFonts w:hint="eastAsia" w:ascii="宋体" w:hAnsi="宋体" w:cs="宋体"/>
                      <w:color w:val="000000"/>
                      <w:szCs w:val="21"/>
                    </w:rPr>
                    <w:t>170</w:t>
                  </w:r>
                </w:p>
              </w:tc>
              <w:tc>
                <w:tcPr>
                  <w:tcW w:w="1408" w:type="pct"/>
                  <w:vAlign w:val="center"/>
                </w:tcPr>
                <w:p w14:paraId="4270FC05">
                  <w:pPr>
                    <w:jc w:val="center"/>
                    <w:rPr>
                      <w:rFonts w:hint="eastAsia" w:ascii="宋体" w:hAnsi="宋体" w:cs="宋体"/>
                      <w:color w:val="000000"/>
                      <w:szCs w:val="21"/>
                    </w:rPr>
                  </w:pPr>
                  <w:r>
                    <w:rPr>
                      <w:rFonts w:hint="eastAsia" w:ascii="宋体" w:hAnsi="宋体" w:cs="宋体"/>
                      <w:color w:val="000000"/>
                      <w:szCs w:val="21"/>
                    </w:rPr>
                    <w:t>0.378</w:t>
                  </w:r>
                </w:p>
              </w:tc>
            </w:tr>
            <w:tr w14:paraId="20966E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25" w:type="pct"/>
                  <w:vAlign w:val="center"/>
                </w:tcPr>
                <w:p w14:paraId="32FE391A">
                  <w:pPr>
                    <w:adjustRightInd w:val="0"/>
                    <w:snapToGrid w:val="0"/>
                    <w:ind w:left="-155" w:leftChars="-74" w:right="-29" w:rightChars="-14"/>
                    <w:jc w:val="center"/>
                    <w:rPr>
                      <w:rFonts w:hint="eastAsia" w:ascii="宋体" w:hAnsi="宋体" w:cs="宋体"/>
                      <w:color w:val="000000"/>
                      <w:szCs w:val="21"/>
                    </w:rPr>
                  </w:pPr>
                  <w:r>
                    <w:rPr>
                      <w:rFonts w:hint="eastAsia" w:ascii="宋体" w:hAnsi="宋体" w:cs="宋体"/>
                      <w:color w:val="000000"/>
                      <w:szCs w:val="21"/>
                    </w:rPr>
                    <w:t>镉</w:t>
                  </w:r>
                </w:p>
              </w:tc>
              <w:tc>
                <w:tcPr>
                  <w:tcW w:w="980" w:type="pct"/>
                  <w:vAlign w:val="center"/>
                </w:tcPr>
                <w:p w14:paraId="4C42DA58">
                  <w:pPr>
                    <w:adjustRightInd w:val="0"/>
                    <w:snapToGrid w:val="0"/>
                    <w:jc w:val="center"/>
                    <w:rPr>
                      <w:rFonts w:hint="eastAsia" w:ascii="宋体" w:hAnsi="宋体" w:cs="宋体"/>
                      <w:color w:val="000000"/>
                      <w:szCs w:val="21"/>
                    </w:rPr>
                  </w:pPr>
                  <w:r>
                    <w:rPr>
                      <w:rFonts w:hint="eastAsia" w:ascii="宋体" w:hAnsi="宋体" w:cs="宋体"/>
                      <w:color w:val="000000"/>
                      <w:szCs w:val="21"/>
                    </w:rPr>
                    <w:t>0.005（mg/L）</w:t>
                  </w:r>
                </w:p>
              </w:tc>
              <w:tc>
                <w:tcPr>
                  <w:tcW w:w="1085" w:type="pct"/>
                  <w:vAlign w:val="center"/>
                </w:tcPr>
                <w:p w14:paraId="2178885F">
                  <w:pPr>
                    <w:jc w:val="center"/>
                    <w:rPr>
                      <w:rFonts w:hint="eastAsia" w:ascii="宋体" w:hAnsi="宋体" w:cs="宋体"/>
                      <w:color w:val="000000"/>
                      <w:szCs w:val="21"/>
                    </w:rPr>
                  </w:pPr>
                  <w:r>
                    <w:rPr>
                      <w:rFonts w:hint="eastAsia" w:ascii="宋体" w:hAnsi="宋体" w:cs="宋体"/>
                      <w:color w:val="000000"/>
                      <w:szCs w:val="21"/>
                    </w:rPr>
                    <w:t>0.001L</w:t>
                  </w:r>
                </w:p>
              </w:tc>
              <w:tc>
                <w:tcPr>
                  <w:tcW w:w="1408" w:type="pct"/>
                  <w:vAlign w:val="center"/>
                </w:tcPr>
                <w:p w14:paraId="0D0F6646">
                  <w:pPr>
                    <w:jc w:val="center"/>
                    <w:rPr>
                      <w:rFonts w:hint="eastAsia" w:ascii="宋体" w:hAnsi="宋体" w:cs="宋体"/>
                      <w:color w:val="000000"/>
                      <w:szCs w:val="21"/>
                    </w:rPr>
                  </w:pPr>
                  <w:r>
                    <w:rPr>
                      <w:rFonts w:hint="eastAsia" w:ascii="宋体" w:hAnsi="宋体" w:cs="宋体"/>
                      <w:color w:val="000000"/>
                      <w:szCs w:val="21"/>
                    </w:rPr>
                    <w:t>/</w:t>
                  </w:r>
                </w:p>
              </w:tc>
            </w:tr>
            <w:tr w14:paraId="219289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25" w:type="pct"/>
                  <w:vAlign w:val="center"/>
                </w:tcPr>
                <w:p w14:paraId="34970AD7">
                  <w:pPr>
                    <w:adjustRightInd w:val="0"/>
                    <w:snapToGrid w:val="0"/>
                    <w:ind w:left="-155" w:leftChars="-74" w:right="-29" w:rightChars="-14"/>
                    <w:jc w:val="center"/>
                    <w:rPr>
                      <w:rFonts w:hint="eastAsia" w:ascii="宋体" w:hAnsi="宋体" w:cs="宋体"/>
                      <w:color w:val="000000"/>
                      <w:szCs w:val="21"/>
                    </w:rPr>
                  </w:pPr>
                  <w:r>
                    <w:rPr>
                      <w:rFonts w:hint="eastAsia" w:ascii="宋体" w:hAnsi="宋体" w:cs="宋体"/>
                      <w:color w:val="000000"/>
                      <w:szCs w:val="21"/>
                    </w:rPr>
                    <w:t>铅</w:t>
                  </w:r>
                </w:p>
              </w:tc>
              <w:tc>
                <w:tcPr>
                  <w:tcW w:w="980" w:type="pct"/>
                  <w:vAlign w:val="center"/>
                </w:tcPr>
                <w:p w14:paraId="7A5B0DE4">
                  <w:pPr>
                    <w:adjustRightInd w:val="0"/>
                    <w:snapToGrid w:val="0"/>
                    <w:jc w:val="center"/>
                    <w:rPr>
                      <w:rFonts w:hint="eastAsia" w:ascii="宋体" w:hAnsi="宋体" w:cs="宋体"/>
                      <w:color w:val="000000"/>
                      <w:szCs w:val="21"/>
                    </w:rPr>
                  </w:pPr>
                  <w:r>
                    <w:rPr>
                      <w:rFonts w:hint="eastAsia" w:ascii="宋体" w:hAnsi="宋体" w:cs="宋体"/>
                      <w:color w:val="000000"/>
                      <w:szCs w:val="21"/>
                    </w:rPr>
                    <w:t>0.01（ug/L）</w:t>
                  </w:r>
                </w:p>
              </w:tc>
              <w:tc>
                <w:tcPr>
                  <w:tcW w:w="1085" w:type="pct"/>
                  <w:vAlign w:val="center"/>
                </w:tcPr>
                <w:p w14:paraId="2699825C">
                  <w:pPr>
                    <w:jc w:val="center"/>
                    <w:rPr>
                      <w:rFonts w:hint="eastAsia" w:ascii="宋体" w:hAnsi="宋体" w:cs="宋体"/>
                      <w:color w:val="000000"/>
                      <w:szCs w:val="21"/>
                    </w:rPr>
                  </w:pPr>
                  <w:r>
                    <w:rPr>
                      <w:rFonts w:hint="eastAsia" w:ascii="宋体" w:hAnsi="宋体" w:cs="宋体"/>
                      <w:color w:val="000000"/>
                      <w:szCs w:val="21"/>
                    </w:rPr>
                    <w:t>0.0025L</w:t>
                  </w:r>
                </w:p>
              </w:tc>
              <w:tc>
                <w:tcPr>
                  <w:tcW w:w="1408" w:type="pct"/>
                  <w:vAlign w:val="center"/>
                </w:tcPr>
                <w:p w14:paraId="555719CF">
                  <w:pPr>
                    <w:jc w:val="center"/>
                    <w:rPr>
                      <w:rFonts w:hint="eastAsia" w:ascii="宋体" w:hAnsi="宋体" w:cs="宋体"/>
                      <w:color w:val="000000"/>
                      <w:szCs w:val="21"/>
                    </w:rPr>
                  </w:pPr>
                  <w:r>
                    <w:rPr>
                      <w:rFonts w:hint="eastAsia" w:ascii="宋体" w:hAnsi="宋体" w:cs="宋体"/>
                      <w:color w:val="000000"/>
                      <w:szCs w:val="21"/>
                    </w:rPr>
                    <w:t>/</w:t>
                  </w:r>
                </w:p>
              </w:tc>
            </w:tr>
            <w:tr w14:paraId="45DAFA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25" w:type="pct"/>
                  <w:vAlign w:val="center"/>
                </w:tcPr>
                <w:p w14:paraId="6A4B60CD">
                  <w:pPr>
                    <w:adjustRightInd w:val="0"/>
                    <w:snapToGrid w:val="0"/>
                    <w:ind w:left="-155" w:leftChars="-74" w:right="-29" w:rightChars="-14"/>
                    <w:jc w:val="center"/>
                    <w:rPr>
                      <w:rFonts w:hint="eastAsia" w:ascii="宋体" w:hAnsi="宋体" w:cs="宋体"/>
                      <w:color w:val="000000"/>
                      <w:szCs w:val="21"/>
                    </w:rPr>
                  </w:pPr>
                  <w:r>
                    <w:rPr>
                      <w:rFonts w:hint="eastAsia" w:ascii="宋体" w:hAnsi="宋体" w:cs="宋体"/>
                      <w:color w:val="000000"/>
                      <w:szCs w:val="21"/>
                    </w:rPr>
                    <w:t>铁</w:t>
                  </w:r>
                </w:p>
              </w:tc>
              <w:tc>
                <w:tcPr>
                  <w:tcW w:w="980" w:type="pct"/>
                  <w:vAlign w:val="center"/>
                </w:tcPr>
                <w:p w14:paraId="1CE1DFAB">
                  <w:pPr>
                    <w:adjustRightInd w:val="0"/>
                    <w:snapToGrid w:val="0"/>
                    <w:jc w:val="center"/>
                    <w:rPr>
                      <w:rFonts w:hint="eastAsia" w:ascii="宋体" w:hAnsi="宋体" w:cs="宋体"/>
                      <w:color w:val="000000"/>
                      <w:szCs w:val="21"/>
                    </w:rPr>
                  </w:pPr>
                  <w:r>
                    <w:rPr>
                      <w:rFonts w:hint="eastAsia" w:ascii="宋体" w:hAnsi="宋体" w:cs="宋体"/>
                      <w:color w:val="000000"/>
                      <w:szCs w:val="21"/>
                    </w:rPr>
                    <w:t>0.3（mg/L）</w:t>
                  </w:r>
                </w:p>
              </w:tc>
              <w:tc>
                <w:tcPr>
                  <w:tcW w:w="1085" w:type="pct"/>
                  <w:vAlign w:val="center"/>
                </w:tcPr>
                <w:p w14:paraId="3FB4B7F3">
                  <w:pPr>
                    <w:jc w:val="center"/>
                    <w:rPr>
                      <w:rFonts w:hint="eastAsia" w:ascii="宋体" w:hAnsi="宋体" w:cs="宋体"/>
                      <w:color w:val="000000"/>
                      <w:szCs w:val="21"/>
                    </w:rPr>
                  </w:pPr>
                  <w:r>
                    <w:rPr>
                      <w:rFonts w:hint="eastAsia" w:ascii="宋体" w:hAnsi="宋体" w:cs="宋体"/>
                      <w:color w:val="000000"/>
                      <w:szCs w:val="21"/>
                    </w:rPr>
                    <w:t>0.03L</w:t>
                  </w:r>
                </w:p>
              </w:tc>
              <w:tc>
                <w:tcPr>
                  <w:tcW w:w="1408" w:type="pct"/>
                  <w:vAlign w:val="center"/>
                </w:tcPr>
                <w:p w14:paraId="749630F2">
                  <w:pPr>
                    <w:jc w:val="center"/>
                    <w:rPr>
                      <w:rFonts w:hint="eastAsia" w:ascii="宋体" w:hAnsi="宋体" w:cs="宋体"/>
                      <w:color w:val="000000"/>
                      <w:szCs w:val="21"/>
                    </w:rPr>
                  </w:pPr>
                  <w:r>
                    <w:rPr>
                      <w:rFonts w:hint="eastAsia" w:ascii="宋体" w:hAnsi="宋体" w:cs="宋体"/>
                      <w:color w:val="000000"/>
                      <w:szCs w:val="21"/>
                    </w:rPr>
                    <w:t>/</w:t>
                  </w:r>
                </w:p>
              </w:tc>
            </w:tr>
            <w:tr w14:paraId="5B0E38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25" w:type="pct"/>
                  <w:vAlign w:val="center"/>
                </w:tcPr>
                <w:p w14:paraId="626E2A60">
                  <w:pPr>
                    <w:adjustRightInd w:val="0"/>
                    <w:snapToGrid w:val="0"/>
                    <w:ind w:left="-155" w:leftChars="-74" w:right="-29" w:rightChars="-14"/>
                    <w:jc w:val="center"/>
                    <w:rPr>
                      <w:rFonts w:hint="eastAsia" w:ascii="宋体" w:hAnsi="宋体" w:cs="宋体"/>
                      <w:color w:val="000000"/>
                      <w:szCs w:val="21"/>
                    </w:rPr>
                  </w:pPr>
                  <w:r>
                    <w:rPr>
                      <w:rFonts w:hint="eastAsia" w:ascii="宋体" w:hAnsi="宋体" w:cs="宋体"/>
                      <w:color w:val="000000"/>
                      <w:szCs w:val="21"/>
                    </w:rPr>
                    <w:t>锰</w:t>
                  </w:r>
                </w:p>
              </w:tc>
              <w:tc>
                <w:tcPr>
                  <w:tcW w:w="980" w:type="pct"/>
                  <w:vAlign w:val="center"/>
                </w:tcPr>
                <w:p w14:paraId="38827FE0">
                  <w:pPr>
                    <w:adjustRightInd w:val="0"/>
                    <w:snapToGrid w:val="0"/>
                    <w:jc w:val="center"/>
                    <w:rPr>
                      <w:rFonts w:hint="eastAsia" w:ascii="宋体" w:hAnsi="宋体" w:cs="宋体"/>
                      <w:color w:val="000000"/>
                      <w:szCs w:val="21"/>
                    </w:rPr>
                  </w:pPr>
                  <w:r>
                    <w:rPr>
                      <w:rFonts w:hint="eastAsia" w:ascii="宋体" w:hAnsi="宋体" w:cs="宋体"/>
                      <w:color w:val="000000"/>
                      <w:szCs w:val="21"/>
                    </w:rPr>
                    <w:t>0.1（mg/L）</w:t>
                  </w:r>
                </w:p>
              </w:tc>
              <w:tc>
                <w:tcPr>
                  <w:tcW w:w="1085" w:type="pct"/>
                  <w:vAlign w:val="center"/>
                </w:tcPr>
                <w:p w14:paraId="0526FFD6">
                  <w:pPr>
                    <w:jc w:val="center"/>
                    <w:rPr>
                      <w:rFonts w:hint="eastAsia" w:ascii="宋体" w:hAnsi="宋体" w:cs="宋体"/>
                      <w:color w:val="000000"/>
                      <w:szCs w:val="21"/>
                    </w:rPr>
                  </w:pPr>
                  <w:r>
                    <w:rPr>
                      <w:rFonts w:hint="eastAsia" w:ascii="宋体" w:hAnsi="宋体" w:cs="宋体"/>
                      <w:color w:val="000000"/>
                      <w:szCs w:val="21"/>
                    </w:rPr>
                    <w:t>0.02</w:t>
                  </w:r>
                </w:p>
              </w:tc>
              <w:tc>
                <w:tcPr>
                  <w:tcW w:w="1408" w:type="pct"/>
                  <w:vAlign w:val="center"/>
                </w:tcPr>
                <w:p w14:paraId="2655AA61">
                  <w:pPr>
                    <w:jc w:val="center"/>
                    <w:rPr>
                      <w:rFonts w:hint="eastAsia" w:ascii="宋体" w:hAnsi="宋体" w:cs="宋体"/>
                      <w:color w:val="000000"/>
                      <w:szCs w:val="21"/>
                    </w:rPr>
                  </w:pPr>
                  <w:r>
                    <w:rPr>
                      <w:rFonts w:hint="eastAsia" w:ascii="宋体" w:hAnsi="宋体" w:cs="宋体"/>
                      <w:color w:val="000000"/>
                      <w:szCs w:val="21"/>
                    </w:rPr>
                    <w:t>0.2</w:t>
                  </w:r>
                </w:p>
              </w:tc>
            </w:tr>
            <w:tr w14:paraId="3048DD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25" w:type="pct"/>
                  <w:vAlign w:val="center"/>
                </w:tcPr>
                <w:p w14:paraId="300345BE">
                  <w:pPr>
                    <w:adjustRightInd w:val="0"/>
                    <w:snapToGrid w:val="0"/>
                    <w:ind w:left="-155" w:leftChars="-74" w:right="-29" w:rightChars="-14"/>
                    <w:jc w:val="center"/>
                    <w:rPr>
                      <w:rFonts w:hint="eastAsia" w:ascii="宋体" w:hAnsi="宋体" w:cs="宋体"/>
                      <w:color w:val="000000"/>
                      <w:szCs w:val="21"/>
                    </w:rPr>
                  </w:pPr>
                  <w:r>
                    <w:rPr>
                      <w:rFonts w:hint="eastAsia" w:ascii="宋体" w:hAnsi="宋体" w:cs="宋体"/>
                      <w:color w:val="000000"/>
                      <w:szCs w:val="21"/>
                    </w:rPr>
                    <w:t>铜</w:t>
                  </w:r>
                </w:p>
              </w:tc>
              <w:tc>
                <w:tcPr>
                  <w:tcW w:w="980" w:type="pct"/>
                  <w:vAlign w:val="center"/>
                </w:tcPr>
                <w:p w14:paraId="7E2E272D">
                  <w:pPr>
                    <w:adjustRightInd w:val="0"/>
                    <w:snapToGrid w:val="0"/>
                    <w:jc w:val="center"/>
                    <w:rPr>
                      <w:rFonts w:hint="eastAsia" w:ascii="宋体" w:hAnsi="宋体" w:cs="宋体"/>
                      <w:color w:val="000000"/>
                      <w:szCs w:val="21"/>
                    </w:rPr>
                  </w:pPr>
                  <w:r>
                    <w:rPr>
                      <w:rFonts w:hint="eastAsia" w:ascii="宋体" w:hAnsi="宋体" w:cs="宋体"/>
                      <w:color w:val="000000"/>
                      <w:szCs w:val="21"/>
                    </w:rPr>
                    <w:t>1.0（mg/L）</w:t>
                  </w:r>
                </w:p>
              </w:tc>
              <w:tc>
                <w:tcPr>
                  <w:tcW w:w="1085" w:type="pct"/>
                  <w:vAlign w:val="center"/>
                </w:tcPr>
                <w:p w14:paraId="0BBCFF24">
                  <w:pPr>
                    <w:jc w:val="center"/>
                    <w:rPr>
                      <w:rFonts w:hint="eastAsia" w:ascii="宋体" w:hAnsi="宋体" w:cs="宋体"/>
                      <w:color w:val="000000"/>
                      <w:szCs w:val="21"/>
                    </w:rPr>
                  </w:pPr>
                  <w:r>
                    <w:rPr>
                      <w:rFonts w:hint="eastAsia" w:ascii="宋体" w:hAnsi="宋体" w:cs="宋体"/>
                      <w:color w:val="000000"/>
                      <w:szCs w:val="21"/>
                    </w:rPr>
                    <w:t>0.02L</w:t>
                  </w:r>
                </w:p>
              </w:tc>
              <w:tc>
                <w:tcPr>
                  <w:tcW w:w="1408" w:type="pct"/>
                  <w:vAlign w:val="center"/>
                </w:tcPr>
                <w:p w14:paraId="41767711">
                  <w:pPr>
                    <w:jc w:val="center"/>
                    <w:rPr>
                      <w:rFonts w:hint="eastAsia" w:ascii="宋体" w:hAnsi="宋体" w:cs="宋体"/>
                      <w:color w:val="000000"/>
                      <w:szCs w:val="21"/>
                    </w:rPr>
                  </w:pPr>
                  <w:r>
                    <w:rPr>
                      <w:rFonts w:hint="eastAsia" w:ascii="宋体" w:hAnsi="宋体" w:cs="宋体"/>
                      <w:color w:val="000000"/>
                      <w:szCs w:val="21"/>
                    </w:rPr>
                    <w:t>/</w:t>
                  </w:r>
                </w:p>
              </w:tc>
            </w:tr>
            <w:tr w14:paraId="22B86F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25" w:type="pct"/>
                  <w:vAlign w:val="center"/>
                </w:tcPr>
                <w:p w14:paraId="2FF5808A">
                  <w:pPr>
                    <w:adjustRightInd w:val="0"/>
                    <w:snapToGrid w:val="0"/>
                    <w:ind w:left="-155" w:leftChars="-74" w:right="-29" w:rightChars="-14"/>
                    <w:jc w:val="center"/>
                    <w:rPr>
                      <w:rFonts w:hint="eastAsia" w:ascii="宋体" w:hAnsi="宋体" w:cs="宋体"/>
                      <w:color w:val="000000"/>
                      <w:szCs w:val="21"/>
                    </w:rPr>
                  </w:pPr>
                  <w:r>
                    <w:rPr>
                      <w:rFonts w:hint="eastAsia" w:ascii="宋体" w:hAnsi="宋体" w:cs="宋体"/>
                      <w:color w:val="000000"/>
                      <w:szCs w:val="21"/>
                    </w:rPr>
                    <w:t>锌</w:t>
                  </w:r>
                </w:p>
              </w:tc>
              <w:tc>
                <w:tcPr>
                  <w:tcW w:w="980" w:type="pct"/>
                  <w:vAlign w:val="center"/>
                </w:tcPr>
                <w:p w14:paraId="2B8FC660">
                  <w:pPr>
                    <w:adjustRightInd w:val="0"/>
                    <w:snapToGrid w:val="0"/>
                    <w:jc w:val="center"/>
                    <w:rPr>
                      <w:rFonts w:hint="eastAsia" w:ascii="宋体" w:hAnsi="宋体" w:cs="宋体"/>
                      <w:color w:val="000000"/>
                      <w:szCs w:val="21"/>
                    </w:rPr>
                  </w:pPr>
                  <w:r>
                    <w:rPr>
                      <w:rFonts w:hint="eastAsia" w:ascii="宋体" w:hAnsi="宋体" w:cs="宋体"/>
                      <w:color w:val="000000"/>
                      <w:szCs w:val="21"/>
                    </w:rPr>
                    <w:t>1.0（mg/L）</w:t>
                  </w:r>
                </w:p>
              </w:tc>
              <w:tc>
                <w:tcPr>
                  <w:tcW w:w="1085" w:type="pct"/>
                  <w:vAlign w:val="center"/>
                </w:tcPr>
                <w:p w14:paraId="0CAB3400">
                  <w:pPr>
                    <w:jc w:val="center"/>
                    <w:rPr>
                      <w:rFonts w:hint="eastAsia" w:ascii="宋体" w:hAnsi="宋体" w:cs="宋体"/>
                      <w:color w:val="000000"/>
                      <w:szCs w:val="21"/>
                    </w:rPr>
                  </w:pPr>
                  <w:r>
                    <w:rPr>
                      <w:rFonts w:hint="eastAsia" w:ascii="宋体" w:hAnsi="宋体" w:cs="宋体"/>
                      <w:color w:val="000000"/>
                      <w:szCs w:val="21"/>
                    </w:rPr>
                    <w:t>0.02L</w:t>
                  </w:r>
                </w:p>
              </w:tc>
              <w:tc>
                <w:tcPr>
                  <w:tcW w:w="1408" w:type="pct"/>
                  <w:vAlign w:val="center"/>
                </w:tcPr>
                <w:p w14:paraId="5E743ACF">
                  <w:pPr>
                    <w:jc w:val="center"/>
                    <w:rPr>
                      <w:rFonts w:hint="eastAsia" w:ascii="宋体" w:hAnsi="宋体" w:cs="宋体"/>
                      <w:color w:val="000000"/>
                      <w:szCs w:val="21"/>
                    </w:rPr>
                  </w:pPr>
                  <w:r>
                    <w:rPr>
                      <w:rFonts w:hint="eastAsia" w:ascii="宋体" w:hAnsi="宋体" w:cs="宋体"/>
                      <w:color w:val="000000"/>
                      <w:szCs w:val="21"/>
                    </w:rPr>
                    <w:t>/</w:t>
                  </w:r>
                </w:p>
              </w:tc>
            </w:tr>
            <w:tr w14:paraId="26035F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25" w:type="pct"/>
                  <w:vAlign w:val="center"/>
                </w:tcPr>
                <w:p w14:paraId="33EA1A81">
                  <w:pPr>
                    <w:adjustRightInd w:val="0"/>
                    <w:snapToGrid w:val="0"/>
                    <w:ind w:left="-155" w:leftChars="-74" w:right="-29" w:rightChars="-14"/>
                    <w:jc w:val="center"/>
                    <w:rPr>
                      <w:rFonts w:hint="eastAsia" w:ascii="宋体" w:hAnsi="宋体" w:cs="宋体"/>
                      <w:color w:val="000000"/>
                      <w:szCs w:val="21"/>
                    </w:rPr>
                  </w:pPr>
                  <w:r>
                    <w:rPr>
                      <w:rFonts w:hint="eastAsia" w:ascii="宋体" w:hAnsi="宋体" w:cs="宋体"/>
                      <w:color w:val="000000"/>
                      <w:szCs w:val="21"/>
                    </w:rPr>
                    <w:t>镍</w:t>
                  </w:r>
                </w:p>
              </w:tc>
              <w:tc>
                <w:tcPr>
                  <w:tcW w:w="980" w:type="pct"/>
                  <w:vAlign w:val="center"/>
                </w:tcPr>
                <w:p w14:paraId="19FA31D1">
                  <w:pPr>
                    <w:adjustRightInd w:val="0"/>
                    <w:snapToGrid w:val="0"/>
                    <w:jc w:val="center"/>
                    <w:rPr>
                      <w:rFonts w:hint="eastAsia" w:ascii="宋体" w:hAnsi="宋体" w:cs="宋体"/>
                      <w:color w:val="000000"/>
                      <w:szCs w:val="21"/>
                    </w:rPr>
                  </w:pPr>
                  <w:r>
                    <w:rPr>
                      <w:rFonts w:hint="eastAsia" w:ascii="宋体" w:hAnsi="宋体" w:cs="宋体"/>
                      <w:color w:val="000000"/>
                      <w:szCs w:val="21"/>
                    </w:rPr>
                    <w:t>0.02（mg/L）</w:t>
                  </w:r>
                </w:p>
              </w:tc>
              <w:tc>
                <w:tcPr>
                  <w:tcW w:w="1085" w:type="pct"/>
                  <w:vAlign w:val="center"/>
                </w:tcPr>
                <w:p w14:paraId="026018C1">
                  <w:pPr>
                    <w:jc w:val="center"/>
                    <w:rPr>
                      <w:rFonts w:hint="eastAsia" w:ascii="宋体" w:hAnsi="宋体" w:cs="宋体"/>
                      <w:color w:val="000000"/>
                      <w:szCs w:val="21"/>
                    </w:rPr>
                  </w:pPr>
                  <w:r>
                    <w:rPr>
                      <w:rFonts w:hint="eastAsia" w:ascii="宋体" w:hAnsi="宋体" w:cs="宋体"/>
                      <w:color w:val="000000"/>
                      <w:szCs w:val="21"/>
                    </w:rPr>
                    <w:t>0.007L</w:t>
                  </w:r>
                </w:p>
              </w:tc>
              <w:tc>
                <w:tcPr>
                  <w:tcW w:w="1408" w:type="pct"/>
                  <w:vAlign w:val="center"/>
                </w:tcPr>
                <w:p w14:paraId="7663E205">
                  <w:pPr>
                    <w:jc w:val="center"/>
                    <w:rPr>
                      <w:rFonts w:hint="eastAsia" w:ascii="宋体" w:hAnsi="宋体" w:cs="宋体"/>
                      <w:color w:val="000000"/>
                      <w:szCs w:val="21"/>
                    </w:rPr>
                  </w:pPr>
                  <w:r>
                    <w:rPr>
                      <w:rFonts w:hint="eastAsia" w:ascii="宋体" w:hAnsi="宋体" w:cs="宋体"/>
                      <w:color w:val="000000"/>
                      <w:szCs w:val="21"/>
                    </w:rPr>
                    <w:t>/</w:t>
                  </w:r>
                </w:p>
              </w:tc>
            </w:tr>
            <w:tr w14:paraId="1E292C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25" w:type="pct"/>
                  <w:vAlign w:val="center"/>
                </w:tcPr>
                <w:p w14:paraId="6A983BCC">
                  <w:pPr>
                    <w:adjustRightInd w:val="0"/>
                    <w:snapToGrid w:val="0"/>
                    <w:ind w:left="-155" w:leftChars="-74" w:right="-29" w:rightChars="-14"/>
                    <w:jc w:val="center"/>
                    <w:rPr>
                      <w:rFonts w:hint="eastAsia" w:ascii="宋体" w:hAnsi="宋体" w:cs="宋体"/>
                      <w:color w:val="000000"/>
                      <w:szCs w:val="21"/>
                    </w:rPr>
                  </w:pPr>
                  <w:r>
                    <w:rPr>
                      <w:rFonts w:hint="eastAsia" w:ascii="宋体" w:hAnsi="宋体" w:cs="宋体"/>
                      <w:color w:val="000000"/>
                      <w:szCs w:val="21"/>
                    </w:rPr>
                    <w:t>溶解性总固体</w:t>
                  </w:r>
                </w:p>
              </w:tc>
              <w:tc>
                <w:tcPr>
                  <w:tcW w:w="980" w:type="pct"/>
                  <w:vAlign w:val="center"/>
                </w:tcPr>
                <w:p w14:paraId="60048E38">
                  <w:pPr>
                    <w:adjustRightInd w:val="0"/>
                    <w:snapToGrid w:val="0"/>
                    <w:jc w:val="center"/>
                    <w:rPr>
                      <w:rFonts w:hint="eastAsia" w:ascii="宋体" w:hAnsi="宋体" w:cs="宋体"/>
                      <w:color w:val="000000"/>
                      <w:szCs w:val="21"/>
                    </w:rPr>
                  </w:pPr>
                  <w:r>
                    <w:rPr>
                      <w:rFonts w:hint="eastAsia" w:ascii="宋体" w:hAnsi="宋体" w:cs="宋体"/>
                      <w:color w:val="000000"/>
                      <w:szCs w:val="21"/>
                    </w:rPr>
                    <w:t>1000（mg/L）</w:t>
                  </w:r>
                </w:p>
              </w:tc>
              <w:tc>
                <w:tcPr>
                  <w:tcW w:w="1085" w:type="pct"/>
                  <w:vAlign w:val="center"/>
                </w:tcPr>
                <w:p w14:paraId="536E4D5F">
                  <w:pPr>
                    <w:jc w:val="center"/>
                    <w:rPr>
                      <w:rFonts w:hint="eastAsia" w:ascii="宋体" w:hAnsi="宋体" w:cs="宋体"/>
                      <w:color w:val="000000"/>
                      <w:szCs w:val="21"/>
                    </w:rPr>
                  </w:pPr>
                  <w:r>
                    <w:rPr>
                      <w:rFonts w:hint="eastAsia" w:ascii="宋体" w:hAnsi="宋体" w:cs="宋体"/>
                      <w:color w:val="000000"/>
                      <w:szCs w:val="21"/>
                    </w:rPr>
                    <w:t>323</w:t>
                  </w:r>
                </w:p>
              </w:tc>
              <w:tc>
                <w:tcPr>
                  <w:tcW w:w="1408" w:type="pct"/>
                  <w:vAlign w:val="center"/>
                </w:tcPr>
                <w:p w14:paraId="3171C5FF">
                  <w:pPr>
                    <w:jc w:val="center"/>
                    <w:rPr>
                      <w:rFonts w:hint="eastAsia" w:ascii="宋体" w:hAnsi="宋体" w:cs="宋体"/>
                      <w:color w:val="000000"/>
                      <w:szCs w:val="21"/>
                    </w:rPr>
                  </w:pPr>
                  <w:r>
                    <w:rPr>
                      <w:rFonts w:hint="eastAsia" w:ascii="宋体" w:hAnsi="宋体" w:cs="宋体"/>
                      <w:color w:val="000000"/>
                      <w:szCs w:val="21"/>
                    </w:rPr>
                    <w:t>0.323</w:t>
                  </w:r>
                </w:p>
              </w:tc>
            </w:tr>
            <w:tr w14:paraId="4AD7ED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25" w:type="pct"/>
                  <w:vAlign w:val="center"/>
                </w:tcPr>
                <w:p w14:paraId="1472B7BF">
                  <w:pPr>
                    <w:adjustRightInd w:val="0"/>
                    <w:snapToGrid w:val="0"/>
                    <w:ind w:left="-155" w:leftChars="-74" w:right="-29" w:rightChars="-14"/>
                    <w:jc w:val="center"/>
                    <w:rPr>
                      <w:rFonts w:hint="eastAsia" w:ascii="宋体" w:hAnsi="宋体" w:cs="宋体"/>
                      <w:color w:val="000000"/>
                      <w:szCs w:val="21"/>
                    </w:rPr>
                  </w:pPr>
                  <w:r>
                    <w:rPr>
                      <w:rFonts w:hint="eastAsia" w:ascii="宋体" w:hAnsi="宋体" w:cs="宋体"/>
                      <w:color w:val="000000"/>
                      <w:szCs w:val="21"/>
                    </w:rPr>
                    <w:t>硫酸盐（以SO</w:t>
                  </w:r>
                  <w:r>
                    <w:rPr>
                      <w:rFonts w:hint="eastAsia" w:ascii="宋体" w:hAnsi="宋体" w:cs="宋体"/>
                      <w:color w:val="000000"/>
                      <w:szCs w:val="21"/>
                      <w:vertAlign w:val="subscript"/>
                    </w:rPr>
                    <w:t>4</w:t>
                  </w:r>
                  <w:r>
                    <w:rPr>
                      <w:rFonts w:hint="eastAsia" w:ascii="宋体" w:hAnsi="宋体" w:cs="宋体"/>
                      <w:color w:val="000000"/>
                      <w:szCs w:val="21"/>
                      <w:vertAlign w:val="superscript"/>
                    </w:rPr>
                    <w:t>2-</w:t>
                  </w:r>
                  <w:r>
                    <w:rPr>
                      <w:rFonts w:hint="eastAsia" w:ascii="宋体" w:hAnsi="宋体" w:cs="宋体"/>
                      <w:color w:val="000000"/>
                      <w:szCs w:val="21"/>
                    </w:rPr>
                    <w:t>计）</w:t>
                  </w:r>
                </w:p>
              </w:tc>
              <w:tc>
                <w:tcPr>
                  <w:tcW w:w="980" w:type="pct"/>
                  <w:vAlign w:val="center"/>
                </w:tcPr>
                <w:p w14:paraId="6A10170D">
                  <w:pPr>
                    <w:adjustRightInd w:val="0"/>
                    <w:snapToGrid w:val="0"/>
                    <w:jc w:val="center"/>
                    <w:rPr>
                      <w:rFonts w:hint="eastAsia" w:ascii="宋体" w:hAnsi="宋体" w:cs="宋体"/>
                      <w:color w:val="000000"/>
                      <w:szCs w:val="21"/>
                    </w:rPr>
                  </w:pPr>
                  <w:r>
                    <w:rPr>
                      <w:rFonts w:hint="eastAsia" w:ascii="宋体" w:hAnsi="宋体" w:cs="宋体"/>
                      <w:color w:val="000000"/>
                      <w:szCs w:val="21"/>
                    </w:rPr>
                    <w:t>250（mg/L）</w:t>
                  </w:r>
                </w:p>
              </w:tc>
              <w:tc>
                <w:tcPr>
                  <w:tcW w:w="1085" w:type="pct"/>
                  <w:vAlign w:val="center"/>
                </w:tcPr>
                <w:p w14:paraId="0F916623">
                  <w:pPr>
                    <w:jc w:val="center"/>
                    <w:rPr>
                      <w:rFonts w:hint="eastAsia" w:ascii="宋体" w:hAnsi="宋体" w:cs="宋体"/>
                      <w:color w:val="000000"/>
                      <w:szCs w:val="21"/>
                    </w:rPr>
                  </w:pPr>
                  <w:r>
                    <w:rPr>
                      <w:rFonts w:hint="eastAsia" w:ascii="宋体" w:hAnsi="宋体" w:cs="宋体"/>
                      <w:color w:val="000000"/>
                      <w:szCs w:val="21"/>
                    </w:rPr>
                    <w:t>22.1</w:t>
                  </w:r>
                </w:p>
              </w:tc>
              <w:tc>
                <w:tcPr>
                  <w:tcW w:w="1408" w:type="pct"/>
                  <w:vAlign w:val="center"/>
                </w:tcPr>
                <w:p w14:paraId="3C728B0E">
                  <w:pPr>
                    <w:jc w:val="center"/>
                    <w:rPr>
                      <w:rFonts w:hint="eastAsia" w:ascii="宋体" w:hAnsi="宋体" w:cs="宋体"/>
                      <w:color w:val="000000"/>
                      <w:szCs w:val="21"/>
                    </w:rPr>
                  </w:pPr>
                  <w:r>
                    <w:rPr>
                      <w:rFonts w:hint="eastAsia" w:ascii="宋体" w:hAnsi="宋体" w:cs="宋体"/>
                      <w:color w:val="000000"/>
                      <w:szCs w:val="21"/>
                    </w:rPr>
                    <w:t>0.088</w:t>
                  </w:r>
                </w:p>
              </w:tc>
            </w:tr>
            <w:tr w14:paraId="3AF5C7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25" w:type="pct"/>
                  <w:vAlign w:val="center"/>
                </w:tcPr>
                <w:p w14:paraId="7EAB0C47">
                  <w:pPr>
                    <w:adjustRightInd w:val="0"/>
                    <w:snapToGrid w:val="0"/>
                    <w:ind w:left="-155" w:leftChars="-74" w:right="-29" w:rightChars="-14"/>
                    <w:jc w:val="center"/>
                    <w:rPr>
                      <w:rFonts w:hint="eastAsia" w:ascii="宋体" w:hAnsi="宋体" w:cs="宋体"/>
                      <w:color w:val="000000"/>
                      <w:szCs w:val="21"/>
                    </w:rPr>
                  </w:pPr>
                  <w:r>
                    <w:rPr>
                      <w:rFonts w:hint="eastAsia" w:ascii="宋体" w:hAnsi="宋体" w:cs="宋体"/>
                      <w:color w:val="000000"/>
                      <w:szCs w:val="21"/>
                    </w:rPr>
                    <w:t>硝酸盐（以NO</w:t>
                  </w:r>
                  <w:r>
                    <w:rPr>
                      <w:rFonts w:hint="eastAsia" w:ascii="宋体" w:hAnsi="宋体" w:cs="宋体"/>
                      <w:color w:val="000000"/>
                      <w:szCs w:val="21"/>
                      <w:vertAlign w:val="subscript"/>
                    </w:rPr>
                    <w:t>3</w:t>
                  </w:r>
                  <w:r>
                    <w:rPr>
                      <w:rFonts w:hint="eastAsia" w:ascii="宋体" w:hAnsi="宋体" w:cs="宋体"/>
                      <w:color w:val="000000"/>
                      <w:szCs w:val="21"/>
                      <w:vertAlign w:val="superscript"/>
                    </w:rPr>
                    <w:t>-</w:t>
                  </w:r>
                  <w:r>
                    <w:rPr>
                      <w:rFonts w:hint="eastAsia" w:ascii="宋体" w:hAnsi="宋体" w:cs="宋体"/>
                      <w:color w:val="000000"/>
                      <w:szCs w:val="21"/>
                    </w:rPr>
                    <w:t>计）</w:t>
                  </w:r>
                </w:p>
              </w:tc>
              <w:tc>
                <w:tcPr>
                  <w:tcW w:w="980" w:type="pct"/>
                  <w:vAlign w:val="center"/>
                </w:tcPr>
                <w:p w14:paraId="25074DC6">
                  <w:pPr>
                    <w:adjustRightInd w:val="0"/>
                    <w:snapToGrid w:val="0"/>
                    <w:jc w:val="center"/>
                    <w:rPr>
                      <w:rFonts w:hint="eastAsia" w:ascii="宋体" w:hAnsi="宋体" w:cs="宋体"/>
                      <w:color w:val="000000"/>
                      <w:szCs w:val="21"/>
                    </w:rPr>
                  </w:pPr>
                  <w:r>
                    <w:rPr>
                      <w:rFonts w:hint="eastAsia" w:ascii="宋体" w:hAnsi="宋体" w:cs="宋体"/>
                      <w:color w:val="000000"/>
                      <w:szCs w:val="21"/>
                    </w:rPr>
                    <w:t>20.0（mg/L）</w:t>
                  </w:r>
                </w:p>
              </w:tc>
              <w:tc>
                <w:tcPr>
                  <w:tcW w:w="1085" w:type="pct"/>
                  <w:vAlign w:val="center"/>
                </w:tcPr>
                <w:p w14:paraId="624A4771">
                  <w:pPr>
                    <w:jc w:val="center"/>
                    <w:rPr>
                      <w:rFonts w:hint="eastAsia" w:ascii="宋体" w:hAnsi="宋体" w:cs="宋体"/>
                      <w:color w:val="000000"/>
                      <w:szCs w:val="21"/>
                    </w:rPr>
                  </w:pPr>
                  <w:r>
                    <w:rPr>
                      <w:rFonts w:hint="eastAsia" w:ascii="宋体" w:hAnsi="宋体" w:cs="宋体"/>
                      <w:color w:val="000000"/>
                      <w:szCs w:val="21"/>
                    </w:rPr>
                    <w:t>4.80</w:t>
                  </w:r>
                </w:p>
              </w:tc>
              <w:tc>
                <w:tcPr>
                  <w:tcW w:w="1408" w:type="pct"/>
                  <w:vAlign w:val="center"/>
                </w:tcPr>
                <w:p w14:paraId="5582BCAA">
                  <w:pPr>
                    <w:jc w:val="center"/>
                    <w:rPr>
                      <w:rFonts w:hint="eastAsia" w:ascii="宋体" w:hAnsi="宋体" w:cs="宋体"/>
                      <w:color w:val="000000"/>
                      <w:szCs w:val="21"/>
                    </w:rPr>
                  </w:pPr>
                  <w:r>
                    <w:rPr>
                      <w:rFonts w:hint="eastAsia" w:ascii="宋体" w:hAnsi="宋体" w:cs="宋体"/>
                      <w:color w:val="000000"/>
                      <w:szCs w:val="21"/>
                    </w:rPr>
                    <w:t>0.24</w:t>
                  </w:r>
                </w:p>
              </w:tc>
            </w:tr>
            <w:tr w14:paraId="7DEC90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25" w:type="pct"/>
                  <w:vAlign w:val="center"/>
                </w:tcPr>
                <w:p w14:paraId="2E2B351D">
                  <w:pPr>
                    <w:adjustRightInd w:val="0"/>
                    <w:snapToGrid w:val="0"/>
                    <w:ind w:left="-155" w:leftChars="-74" w:right="-29" w:rightChars="-14"/>
                    <w:jc w:val="center"/>
                    <w:rPr>
                      <w:rFonts w:hint="eastAsia" w:ascii="宋体" w:hAnsi="宋体" w:cs="宋体"/>
                      <w:color w:val="000000"/>
                      <w:szCs w:val="21"/>
                    </w:rPr>
                  </w:pPr>
                  <w:r>
                    <w:rPr>
                      <w:rFonts w:hint="eastAsia" w:ascii="宋体" w:hAnsi="宋体" w:cs="宋体"/>
                      <w:color w:val="000000"/>
                      <w:szCs w:val="21"/>
                    </w:rPr>
                    <w:t>氟化物（以F</w:t>
                  </w:r>
                  <w:r>
                    <w:rPr>
                      <w:rFonts w:hint="eastAsia" w:ascii="宋体" w:hAnsi="宋体" w:cs="宋体"/>
                      <w:color w:val="000000"/>
                      <w:szCs w:val="21"/>
                      <w:vertAlign w:val="superscript"/>
                    </w:rPr>
                    <w:t>-</w:t>
                  </w:r>
                  <w:r>
                    <w:rPr>
                      <w:rFonts w:hint="eastAsia" w:ascii="宋体" w:hAnsi="宋体" w:cs="宋体"/>
                      <w:color w:val="000000"/>
                      <w:szCs w:val="21"/>
                    </w:rPr>
                    <w:t>计）</w:t>
                  </w:r>
                </w:p>
              </w:tc>
              <w:tc>
                <w:tcPr>
                  <w:tcW w:w="980" w:type="pct"/>
                  <w:vAlign w:val="center"/>
                </w:tcPr>
                <w:p w14:paraId="0CFD14C7">
                  <w:pPr>
                    <w:adjustRightInd w:val="0"/>
                    <w:snapToGrid w:val="0"/>
                    <w:jc w:val="center"/>
                    <w:rPr>
                      <w:rFonts w:hint="eastAsia" w:ascii="宋体" w:hAnsi="宋体" w:cs="宋体"/>
                      <w:color w:val="000000"/>
                      <w:szCs w:val="21"/>
                    </w:rPr>
                  </w:pPr>
                  <w:r>
                    <w:rPr>
                      <w:rFonts w:hint="eastAsia" w:ascii="宋体" w:hAnsi="宋体" w:cs="宋体"/>
                      <w:color w:val="000000"/>
                      <w:szCs w:val="21"/>
                    </w:rPr>
                    <w:t>1.0（mg/L）</w:t>
                  </w:r>
                </w:p>
              </w:tc>
              <w:tc>
                <w:tcPr>
                  <w:tcW w:w="1085" w:type="pct"/>
                  <w:vAlign w:val="center"/>
                </w:tcPr>
                <w:p w14:paraId="7B7A78B9">
                  <w:pPr>
                    <w:jc w:val="center"/>
                    <w:rPr>
                      <w:rFonts w:hint="eastAsia" w:ascii="宋体" w:hAnsi="宋体" w:cs="宋体"/>
                      <w:color w:val="000000"/>
                      <w:szCs w:val="21"/>
                    </w:rPr>
                  </w:pPr>
                  <w:r>
                    <w:rPr>
                      <w:rFonts w:hint="eastAsia" w:ascii="宋体" w:hAnsi="宋体" w:cs="宋体"/>
                      <w:color w:val="000000"/>
                      <w:szCs w:val="21"/>
                    </w:rPr>
                    <w:t>0.608</w:t>
                  </w:r>
                </w:p>
              </w:tc>
              <w:tc>
                <w:tcPr>
                  <w:tcW w:w="1408" w:type="pct"/>
                  <w:vAlign w:val="center"/>
                </w:tcPr>
                <w:p w14:paraId="6BA4BB67">
                  <w:pPr>
                    <w:jc w:val="center"/>
                    <w:rPr>
                      <w:rFonts w:hint="eastAsia" w:ascii="宋体" w:hAnsi="宋体" w:cs="宋体"/>
                      <w:color w:val="000000"/>
                      <w:szCs w:val="21"/>
                    </w:rPr>
                  </w:pPr>
                  <w:r>
                    <w:rPr>
                      <w:rFonts w:hint="eastAsia" w:ascii="宋体" w:hAnsi="宋体" w:cs="宋体"/>
                      <w:color w:val="000000"/>
                      <w:szCs w:val="21"/>
                    </w:rPr>
                    <w:t>0.608</w:t>
                  </w:r>
                </w:p>
              </w:tc>
            </w:tr>
            <w:tr w14:paraId="575825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25" w:type="pct"/>
                  <w:vAlign w:val="center"/>
                </w:tcPr>
                <w:p w14:paraId="4AEBC4AA">
                  <w:pPr>
                    <w:adjustRightInd w:val="0"/>
                    <w:snapToGrid w:val="0"/>
                    <w:ind w:left="-155" w:leftChars="-74" w:right="-29" w:rightChars="-14"/>
                    <w:jc w:val="center"/>
                    <w:rPr>
                      <w:rFonts w:hint="eastAsia" w:ascii="宋体" w:hAnsi="宋体" w:cs="宋体"/>
                      <w:color w:val="000000"/>
                      <w:szCs w:val="21"/>
                    </w:rPr>
                  </w:pPr>
                  <w:r>
                    <w:rPr>
                      <w:rFonts w:hint="eastAsia" w:ascii="宋体" w:hAnsi="宋体" w:cs="宋体"/>
                      <w:color w:val="000000"/>
                      <w:szCs w:val="21"/>
                    </w:rPr>
                    <w:t>氯化物（以Cl</w:t>
                  </w:r>
                  <w:r>
                    <w:rPr>
                      <w:rFonts w:hint="eastAsia" w:ascii="宋体" w:hAnsi="宋体" w:cs="宋体"/>
                      <w:color w:val="000000"/>
                      <w:szCs w:val="21"/>
                      <w:vertAlign w:val="superscript"/>
                    </w:rPr>
                    <w:t>-</w:t>
                  </w:r>
                  <w:r>
                    <w:rPr>
                      <w:rFonts w:hint="eastAsia" w:ascii="宋体" w:hAnsi="宋体" w:cs="宋体"/>
                      <w:color w:val="000000"/>
                      <w:szCs w:val="21"/>
                    </w:rPr>
                    <w:t>计）</w:t>
                  </w:r>
                </w:p>
              </w:tc>
              <w:tc>
                <w:tcPr>
                  <w:tcW w:w="980" w:type="pct"/>
                  <w:vAlign w:val="center"/>
                </w:tcPr>
                <w:p w14:paraId="755F90B0">
                  <w:pPr>
                    <w:adjustRightInd w:val="0"/>
                    <w:snapToGrid w:val="0"/>
                    <w:jc w:val="center"/>
                    <w:rPr>
                      <w:rFonts w:hint="eastAsia" w:ascii="宋体" w:hAnsi="宋体" w:cs="宋体"/>
                      <w:color w:val="000000"/>
                      <w:szCs w:val="21"/>
                    </w:rPr>
                  </w:pPr>
                  <w:r>
                    <w:rPr>
                      <w:rFonts w:hint="eastAsia" w:ascii="宋体" w:hAnsi="宋体" w:cs="宋体"/>
                      <w:color w:val="000000"/>
                      <w:szCs w:val="21"/>
                    </w:rPr>
                    <w:t>250（mg/L）</w:t>
                  </w:r>
                </w:p>
              </w:tc>
              <w:tc>
                <w:tcPr>
                  <w:tcW w:w="1085" w:type="pct"/>
                  <w:vAlign w:val="center"/>
                </w:tcPr>
                <w:p w14:paraId="1DDA9382">
                  <w:pPr>
                    <w:jc w:val="center"/>
                    <w:rPr>
                      <w:rFonts w:hint="eastAsia" w:ascii="宋体" w:hAnsi="宋体" w:cs="宋体"/>
                      <w:color w:val="000000"/>
                      <w:szCs w:val="21"/>
                    </w:rPr>
                  </w:pPr>
                  <w:r>
                    <w:rPr>
                      <w:rFonts w:hint="eastAsia" w:ascii="宋体" w:hAnsi="宋体" w:cs="宋体"/>
                      <w:color w:val="000000"/>
                      <w:szCs w:val="21"/>
                    </w:rPr>
                    <w:t>16.8</w:t>
                  </w:r>
                </w:p>
              </w:tc>
              <w:tc>
                <w:tcPr>
                  <w:tcW w:w="1408" w:type="pct"/>
                  <w:vAlign w:val="center"/>
                </w:tcPr>
                <w:p w14:paraId="588AF76A">
                  <w:pPr>
                    <w:jc w:val="center"/>
                    <w:rPr>
                      <w:rFonts w:hint="eastAsia" w:ascii="宋体" w:hAnsi="宋体" w:cs="宋体"/>
                      <w:color w:val="000000"/>
                      <w:szCs w:val="21"/>
                    </w:rPr>
                  </w:pPr>
                  <w:r>
                    <w:rPr>
                      <w:rFonts w:hint="eastAsia" w:ascii="宋体" w:hAnsi="宋体" w:cs="宋体"/>
                      <w:color w:val="000000"/>
                      <w:szCs w:val="21"/>
                    </w:rPr>
                    <w:t>0.067</w:t>
                  </w:r>
                </w:p>
              </w:tc>
            </w:tr>
            <w:tr w14:paraId="46F8F9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25" w:type="pct"/>
                  <w:vAlign w:val="center"/>
                </w:tcPr>
                <w:p w14:paraId="55E11655">
                  <w:pPr>
                    <w:adjustRightInd w:val="0"/>
                    <w:snapToGrid w:val="0"/>
                    <w:ind w:left="-155" w:leftChars="-74" w:right="-29" w:rightChars="-14"/>
                    <w:jc w:val="center"/>
                    <w:rPr>
                      <w:rFonts w:hint="eastAsia" w:ascii="宋体" w:hAnsi="宋体" w:cs="宋体"/>
                      <w:color w:val="000000"/>
                      <w:szCs w:val="21"/>
                    </w:rPr>
                  </w:pPr>
                  <w:r>
                    <w:rPr>
                      <w:rFonts w:hint="eastAsia" w:ascii="宋体" w:hAnsi="宋体" w:cs="宋体"/>
                      <w:color w:val="000000"/>
                      <w:szCs w:val="21"/>
                    </w:rPr>
                    <w:t>总大肠菌群数</w:t>
                  </w:r>
                </w:p>
              </w:tc>
              <w:tc>
                <w:tcPr>
                  <w:tcW w:w="980" w:type="pct"/>
                  <w:vAlign w:val="center"/>
                </w:tcPr>
                <w:p w14:paraId="4CBEF8BB">
                  <w:pPr>
                    <w:adjustRightInd w:val="0"/>
                    <w:snapToGrid w:val="0"/>
                    <w:jc w:val="center"/>
                    <w:rPr>
                      <w:rFonts w:hint="eastAsia" w:ascii="宋体" w:hAnsi="宋体" w:cs="宋体"/>
                      <w:color w:val="000000"/>
                      <w:szCs w:val="21"/>
                    </w:rPr>
                  </w:pPr>
                  <w:r>
                    <w:rPr>
                      <w:rFonts w:hint="eastAsia" w:ascii="宋体" w:hAnsi="宋体" w:cs="宋体"/>
                      <w:color w:val="000000"/>
                      <w:szCs w:val="21"/>
                    </w:rPr>
                    <w:t>30（MPN/L）</w:t>
                  </w:r>
                </w:p>
              </w:tc>
              <w:tc>
                <w:tcPr>
                  <w:tcW w:w="1085" w:type="pct"/>
                  <w:vAlign w:val="center"/>
                </w:tcPr>
                <w:p w14:paraId="4CD5E0A6">
                  <w:pPr>
                    <w:jc w:val="center"/>
                    <w:rPr>
                      <w:rFonts w:hint="eastAsia" w:ascii="宋体" w:hAnsi="宋体" w:cs="宋体"/>
                      <w:color w:val="000000"/>
                      <w:szCs w:val="21"/>
                    </w:rPr>
                  </w:pPr>
                  <w:r>
                    <w:rPr>
                      <w:rFonts w:hint="eastAsia" w:ascii="宋体" w:hAnsi="宋体" w:cs="宋体"/>
                      <w:color w:val="000000"/>
                      <w:szCs w:val="21"/>
                    </w:rPr>
                    <w:t>20</w:t>
                  </w:r>
                </w:p>
              </w:tc>
              <w:tc>
                <w:tcPr>
                  <w:tcW w:w="1408" w:type="pct"/>
                  <w:vAlign w:val="center"/>
                </w:tcPr>
                <w:p w14:paraId="6F846F14">
                  <w:pPr>
                    <w:jc w:val="center"/>
                    <w:rPr>
                      <w:rFonts w:hint="eastAsia" w:ascii="宋体" w:hAnsi="宋体" w:cs="宋体"/>
                      <w:color w:val="000000"/>
                      <w:szCs w:val="21"/>
                    </w:rPr>
                  </w:pPr>
                  <w:r>
                    <w:rPr>
                      <w:rFonts w:hint="eastAsia" w:ascii="宋体" w:hAnsi="宋体" w:cs="宋体"/>
                      <w:color w:val="000000"/>
                      <w:szCs w:val="21"/>
                    </w:rPr>
                    <w:t>0.67</w:t>
                  </w:r>
                </w:p>
              </w:tc>
            </w:tr>
            <w:tr w14:paraId="5ABC78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25" w:type="pct"/>
                  <w:vAlign w:val="center"/>
                </w:tcPr>
                <w:p w14:paraId="1CCE22C4">
                  <w:pPr>
                    <w:adjustRightInd w:val="0"/>
                    <w:snapToGrid w:val="0"/>
                    <w:ind w:left="-155" w:leftChars="-74" w:right="-29" w:rightChars="-14"/>
                    <w:jc w:val="center"/>
                    <w:rPr>
                      <w:rFonts w:hint="eastAsia" w:ascii="宋体" w:hAnsi="宋体" w:cs="宋体"/>
                      <w:color w:val="000000"/>
                      <w:szCs w:val="21"/>
                    </w:rPr>
                  </w:pPr>
                  <w:r>
                    <w:rPr>
                      <w:rFonts w:hint="eastAsia" w:ascii="宋体" w:hAnsi="宋体" w:cs="宋体"/>
                      <w:color w:val="000000"/>
                      <w:szCs w:val="21"/>
                    </w:rPr>
                    <w:t>细菌总数</w:t>
                  </w:r>
                </w:p>
              </w:tc>
              <w:tc>
                <w:tcPr>
                  <w:tcW w:w="980" w:type="pct"/>
                  <w:vAlign w:val="center"/>
                </w:tcPr>
                <w:p w14:paraId="7A8E2E1F">
                  <w:pPr>
                    <w:adjustRightInd w:val="0"/>
                    <w:snapToGrid w:val="0"/>
                    <w:jc w:val="center"/>
                    <w:rPr>
                      <w:rFonts w:hint="eastAsia" w:ascii="宋体" w:hAnsi="宋体" w:cs="宋体"/>
                      <w:color w:val="000000"/>
                      <w:szCs w:val="21"/>
                    </w:rPr>
                  </w:pPr>
                  <w:r>
                    <w:rPr>
                      <w:rFonts w:hint="eastAsia" w:ascii="宋体" w:hAnsi="宋体" w:cs="宋体"/>
                      <w:color w:val="000000"/>
                      <w:szCs w:val="21"/>
                    </w:rPr>
                    <w:t>100（CFU/mL）</w:t>
                  </w:r>
                </w:p>
              </w:tc>
              <w:tc>
                <w:tcPr>
                  <w:tcW w:w="1085" w:type="pct"/>
                  <w:vAlign w:val="center"/>
                </w:tcPr>
                <w:p w14:paraId="12E52C97">
                  <w:pPr>
                    <w:jc w:val="center"/>
                    <w:rPr>
                      <w:rFonts w:hint="eastAsia" w:ascii="宋体" w:hAnsi="宋体" w:cs="宋体"/>
                      <w:color w:val="000000"/>
                      <w:szCs w:val="21"/>
                    </w:rPr>
                  </w:pPr>
                  <w:r>
                    <w:rPr>
                      <w:rFonts w:hint="eastAsia" w:ascii="宋体" w:hAnsi="宋体" w:cs="宋体"/>
                      <w:color w:val="000000"/>
                      <w:szCs w:val="21"/>
                    </w:rPr>
                    <w:t>89</w:t>
                  </w:r>
                </w:p>
              </w:tc>
              <w:tc>
                <w:tcPr>
                  <w:tcW w:w="1408" w:type="pct"/>
                  <w:vAlign w:val="center"/>
                </w:tcPr>
                <w:p w14:paraId="5009AC22">
                  <w:pPr>
                    <w:jc w:val="center"/>
                    <w:rPr>
                      <w:rFonts w:hint="eastAsia" w:ascii="宋体" w:hAnsi="宋体" w:cs="宋体"/>
                      <w:color w:val="000000"/>
                      <w:szCs w:val="21"/>
                    </w:rPr>
                  </w:pPr>
                  <w:r>
                    <w:rPr>
                      <w:rFonts w:hint="eastAsia" w:ascii="宋体" w:hAnsi="宋体" w:cs="宋体"/>
                      <w:color w:val="000000"/>
                      <w:szCs w:val="21"/>
                    </w:rPr>
                    <w:t>0.89</w:t>
                  </w:r>
                </w:p>
              </w:tc>
            </w:tr>
            <w:tr w14:paraId="0D6E08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25" w:type="pct"/>
                  <w:vAlign w:val="center"/>
                </w:tcPr>
                <w:p w14:paraId="2931DF62">
                  <w:pPr>
                    <w:adjustRightInd w:val="0"/>
                    <w:snapToGrid w:val="0"/>
                    <w:ind w:left="-155" w:leftChars="-74" w:right="-29" w:rightChars="-14"/>
                    <w:jc w:val="center"/>
                    <w:rPr>
                      <w:rFonts w:hint="eastAsia" w:ascii="宋体" w:hAnsi="宋体" w:cs="宋体"/>
                      <w:color w:val="000000"/>
                      <w:szCs w:val="21"/>
                    </w:rPr>
                  </w:pPr>
                  <w:r>
                    <w:rPr>
                      <w:rFonts w:hint="eastAsia" w:ascii="宋体" w:hAnsi="宋体" w:cs="宋体"/>
                      <w:color w:val="000000"/>
                      <w:szCs w:val="21"/>
                    </w:rPr>
                    <w:t>甲苯</w:t>
                  </w:r>
                </w:p>
              </w:tc>
              <w:tc>
                <w:tcPr>
                  <w:tcW w:w="980" w:type="pct"/>
                  <w:vAlign w:val="center"/>
                </w:tcPr>
                <w:p w14:paraId="5369E195">
                  <w:pPr>
                    <w:adjustRightInd w:val="0"/>
                    <w:snapToGrid w:val="0"/>
                    <w:jc w:val="center"/>
                    <w:rPr>
                      <w:rFonts w:hint="eastAsia" w:ascii="宋体" w:hAnsi="宋体" w:cs="宋体"/>
                      <w:color w:val="000000"/>
                      <w:szCs w:val="21"/>
                    </w:rPr>
                  </w:pPr>
                  <w:r>
                    <w:rPr>
                      <w:rFonts w:hint="eastAsia" w:ascii="宋体" w:hAnsi="宋体" w:cs="宋体"/>
                      <w:color w:val="000000"/>
                      <w:szCs w:val="21"/>
                    </w:rPr>
                    <w:t>0.7（mg/L）</w:t>
                  </w:r>
                </w:p>
              </w:tc>
              <w:tc>
                <w:tcPr>
                  <w:tcW w:w="1085" w:type="pct"/>
                  <w:vAlign w:val="center"/>
                </w:tcPr>
                <w:p w14:paraId="468CE8B1">
                  <w:pPr>
                    <w:jc w:val="center"/>
                    <w:rPr>
                      <w:rFonts w:hint="eastAsia" w:ascii="宋体" w:hAnsi="宋体" w:cs="宋体"/>
                      <w:color w:val="000000"/>
                      <w:szCs w:val="21"/>
                    </w:rPr>
                  </w:pPr>
                  <w:r>
                    <w:rPr>
                      <w:rFonts w:hint="eastAsia" w:ascii="宋体" w:hAnsi="宋体" w:cs="宋体"/>
                      <w:color w:val="000000"/>
                      <w:szCs w:val="21"/>
                    </w:rPr>
                    <w:t>0.0003L</w:t>
                  </w:r>
                </w:p>
              </w:tc>
              <w:tc>
                <w:tcPr>
                  <w:tcW w:w="1408" w:type="pct"/>
                  <w:vAlign w:val="center"/>
                </w:tcPr>
                <w:p w14:paraId="3664C610">
                  <w:pPr>
                    <w:jc w:val="center"/>
                    <w:rPr>
                      <w:rFonts w:hint="eastAsia" w:ascii="宋体" w:hAnsi="宋体" w:cs="宋体"/>
                      <w:color w:val="000000"/>
                      <w:szCs w:val="21"/>
                    </w:rPr>
                  </w:pPr>
                  <w:r>
                    <w:rPr>
                      <w:rFonts w:hint="eastAsia" w:ascii="宋体" w:hAnsi="宋体" w:cs="宋体"/>
                      <w:color w:val="000000"/>
                      <w:szCs w:val="21"/>
                    </w:rPr>
                    <w:t>/</w:t>
                  </w:r>
                </w:p>
              </w:tc>
            </w:tr>
            <w:tr w14:paraId="23565D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25" w:type="pct"/>
                  <w:vAlign w:val="center"/>
                </w:tcPr>
                <w:p w14:paraId="4E5CAB1D">
                  <w:pPr>
                    <w:adjustRightInd w:val="0"/>
                    <w:snapToGrid w:val="0"/>
                    <w:ind w:left="-155" w:leftChars="-74" w:right="-29" w:rightChars="-14"/>
                    <w:jc w:val="center"/>
                    <w:rPr>
                      <w:rFonts w:hint="eastAsia" w:ascii="宋体" w:hAnsi="宋体" w:cs="宋体"/>
                      <w:color w:val="000000"/>
                      <w:szCs w:val="21"/>
                    </w:rPr>
                  </w:pPr>
                  <w:r>
                    <w:rPr>
                      <w:rFonts w:hint="eastAsia" w:ascii="宋体" w:hAnsi="宋体" w:cs="宋体"/>
                      <w:color w:val="000000"/>
                      <w:szCs w:val="21"/>
                    </w:rPr>
                    <w:t>二甲苯</w:t>
                  </w:r>
                </w:p>
              </w:tc>
              <w:tc>
                <w:tcPr>
                  <w:tcW w:w="980" w:type="pct"/>
                  <w:vAlign w:val="center"/>
                </w:tcPr>
                <w:p w14:paraId="4370AF1F">
                  <w:pPr>
                    <w:adjustRightInd w:val="0"/>
                    <w:snapToGrid w:val="0"/>
                    <w:jc w:val="center"/>
                    <w:rPr>
                      <w:rFonts w:hint="eastAsia" w:ascii="宋体" w:hAnsi="宋体" w:cs="宋体"/>
                      <w:color w:val="000000"/>
                      <w:szCs w:val="21"/>
                    </w:rPr>
                  </w:pPr>
                  <w:r>
                    <w:rPr>
                      <w:rFonts w:hint="eastAsia" w:ascii="宋体" w:hAnsi="宋体" w:cs="宋体"/>
                      <w:color w:val="000000"/>
                      <w:szCs w:val="21"/>
                    </w:rPr>
                    <w:t>0.5（mg/L）</w:t>
                  </w:r>
                </w:p>
              </w:tc>
              <w:tc>
                <w:tcPr>
                  <w:tcW w:w="1085" w:type="pct"/>
                  <w:vAlign w:val="center"/>
                </w:tcPr>
                <w:p w14:paraId="4A5F8B78">
                  <w:pPr>
                    <w:jc w:val="center"/>
                    <w:rPr>
                      <w:rFonts w:hint="eastAsia" w:ascii="宋体" w:hAnsi="宋体" w:cs="宋体"/>
                      <w:color w:val="000000"/>
                      <w:szCs w:val="21"/>
                    </w:rPr>
                  </w:pPr>
                  <w:r>
                    <w:rPr>
                      <w:rFonts w:hint="eastAsia" w:ascii="宋体" w:hAnsi="宋体" w:cs="宋体"/>
                      <w:color w:val="000000"/>
                      <w:szCs w:val="21"/>
                    </w:rPr>
                    <w:t>0.0005L</w:t>
                  </w:r>
                </w:p>
              </w:tc>
              <w:tc>
                <w:tcPr>
                  <w:tcW w:w="1408" w:type="pct"/>
                  <w:vAlign w:val="center"/>
                </w:tcPr>
                <w:p w14:paraId="5FE1CB92">
                  <w:pPr>
                    <w:jc w:val="center"/>
                    <w:rPr>
                      <w:rFonts w:hint="eastAsia" w:ascii="宋体" w:hAnsi="宋体" w:cs="宋体"/>
                      <w:color w:val="000000"/>
                      <w:szCs w:val="21"/>
                    </w:rPr>
                  </w:pPr>
                  <w:r>
                    <w:rPr>
                      <w:rFonts w:hint="eastAsia" w:ascii="宋体" w:hAnsi="宋体" w:cs="宋体"/>
                      <w:color w:val="000000"/>
                      <w:szCs w:val="21"/>
                    </w:rPr>
                    <w:t>/</w:t>
                  </w:r>
                </w:p>
              </w:tc>
            </w:tr>
            <w:tr w14:paraId="03DDAC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00" w:type="pct"/>
                  <w:gridSpan w:val="4"/>
                  <w:vAlign w:val="center"/>
                </w:tcPr>
                <w:p w14:paraId="6C44188E">
                  <w:pPr>
                    <w:rPr>
                      <w:rFonts w:hint="eastAsia" w:ascii="宋体" w:hAnsi="宋体" w:cs="宋体"/>
                      <w:color w:val="000000"/>
                      <w:szCs w:val="21"/>
                    </w:rPr>
                  </w:pPr>
                  <w:r>
                    <w:rPr>
                      <w:rFonts w:hint="eastAsia" w:ascii="宋体" w:hAnsi="宋体" w:cs="宋体"/>
                      <w:color w:val="000000"/>
                      <w:szCs w:val="21"/>
                    </w:rPr>
                    <w:t>注：“L”表示监测值低于方法检出限值，报出值为检出限值。</w:t>
                  </w:r>
                </w:p>
              </w:tc>
            </w:tr>
          </w:tbl>
          <w:p w14:paraId="56F24648">
            <w:pPr>
              <w:pStyle w:val="9"/>
              <w:tabs>
                <w:tab w:val="left" w:pos="210"/>
              </w:tabs>
              <w:spacing w:line="360" w:lineRule="auto"/>
              <w:ind w:firstLine="480" w:firstLineChars="200"/>
              <w:rPr>
                <w:rFonts w:hint="eastAsia" w:ascii="Times New Roman" w:hAnsi="Times New Roman"/>
                <w:color w:val="000000"/>
                <w:sz w:val="24"/>
              </w:rPr>
            </w:pPr>
            <w:r>
              <w:rPr>
                <w:rFonts w:hint="eastAsia" w:ascii="Times New Roman" w:hAnsi="Times New Roman"/>
                <w:color w:val="000000"/>
                <w:sz w:val="24"/>
              </w:rPr>
              <w:t>从表3-3可以看出，各项监测因</w:t>
            </w:r>
            <w:r>
              <w:rPr>
                <w:rFonts w:hint="eastAsia" w:ascii="Times New Roman" w:hAnsi="Times New Roman"/>
                <w:sz w:val="24"/>
              </w:rPr>
              <w:t>子满足《地下水质量标准》（GB/T14848-2017）Ⅲ类标准。</w:t>
            </w:r>
          </w:p>
          <w:p w14:paraId="1E051F6D">
            <w:pPr>
              <w:adjustRightInd w:val="0"/>
              <w:snapToGrid w:val="0"/>
              <w:spacing w:line="360" w:lineRule="auto"/>
              <w:jc w:val="left"/>
              <w:rPr>
                <w:rFonts w:hint="eastAsia"/>
                <w:b/>
                <w:color w:val="000000"/>
                <w:sz w:val="24"/>
              </w:rPr>
            </w:pPr>
            <w:r>
              <w:rPr>
                <w:rFonts w:hint="eastAsia"/>
                <w:b/>
                <w:color w:val="000000"/>
                <w:sz w:val="24"/>
              </w:rPr>
              <w:t>3.5土壤质量现状监测及评价</w:t>
            </w:r>
          </w:p>
          <w:p w14:paraId="3F64AE2A">
            <w:pPr>
              <w:pStyle w:val="9"/>
              <w:tabs>
                <w:tab w:val="left" w:pos="210"/>
              </w:tabs>
              <w:spacing w:line="360" w:lineRule="auto"/>
              <w:ind w:firstLine="480" w:firstLineChars="200"/>
              <w:jc w:val="left"/>
              <w:rPr>
                <w:rFonts w:ascii="Times New Roman" w:hAnsi="Times New Roman"/>
                <w:color w:val="000000"/>
                <w:sz w:val="24"/>
              </w:rPr>
            </w:pPr>
            <w:r>
              <w:rPr>
                <w:rFonts w:hint="eastAsia" w:ascii="Times New Roman" w:hAnsi="Times New Roman"/>
                <w:color w:val="000000"/>
                <w:sz w:val="24"/>
              </w:rPr>
              <w:t>本项目为加油站项目，可能存在土壤环境污染途径，本评价在场地内设置1个土壤表层样背景监测点，委托</w:t>
            </w:r>
            <w:r>
              <w:rPr>
                <w:rFonts w:ascii="Times New Roman" w:hAnsi="Times New Roman"/>
                <w:color w:val="000000"/>
                <w:sz w:val="24"/>
              </w:rPr>
              <w:t>重庆厦美环保科技有限公司</w:t>
            </w:r>
            <w:r>
              <w:rPr>
                <w:rFonts w:hint="eastAsia" w:ascii="Times New Roman" w:hAnsi="Times New Roman"/>
                <w:color w:val="000000"/>
                <w:sz w:val="24"/>
              </w:rPr>
              <w:t>于2022年6月1日</w:t>
            </w:r>
            <w:r>
              <w:rPr>
                <w:rFonts w:ascii="Times New Roman" w:hAnsi="Times New Roman"/>
                <w:bCs/>
                <w:color w:val="000000"/>
                <w:sz w:val="24"/>
              </w:rPr>
              <w:t>对项目所在地土壤环境</w:t>
            </w:r>
            <w:r>
              <w:rPr>
                <w:rFonts w:hint="eastAsia" w:ascii="Times New Roman" w:hAnsi="Times New Roman"/>
                <w:bCs/>
                <w:color w:val="000000"/>
                <w:sz w:val="24"/>
              </w:rPr>
              <w:t>现状监测（厦美【2022】第HP136号），</w:t>
            </w:r>
            <w:r>
              <w:rPr>
                <w:rFonts w:ascii="Times New Roman" w:hAnsi="Times New Roman"/>
                <w:color w:val="000000"/>
                <w:sz w:val="24"/>
              </w:rPr>
              <w:t>具体如下：</w:t>
            </w:r>
          </w:p>
          <w:p w14:paraId="326F0011">
            <w:pPr>
              <w:pStyle w:val="11"/>
              <w:spacing w:line="360" w:lineRule="auto"/>
              <w:ind w:firstLine="480" w:firstLineChars="200"/>
              <w:rPr>
                <w:color w:val="000000"/>
                <w:sz w:val="24"/>
              </w:rPr>
            </w:pPr>
            <w:r>
              <w:rPr>
                <w:rFonts w:hint="eastAsia"/>
                <w:color w:val="000000"/>
                <w:sz w:val="24"/>
              </w:rPr>
              <w:t>①监测布点及采样时间</w:t>
            </w:r>
          </w:p>
          <w:p w14:paraId="623A27DE">
            <w:pPr>
              <w:pStyle w:val="11"/>
              <w:spacing w:line="360" w:lineRule="auto"/>
              <w:ind w:firstLine="480" w:firstLineChars="200"/>
              <w:rPr>
                <w:color w:val="000000"/>
                <w:sz w:val="24"/>
              </w:rPr>
            </w:pPr>
            <w:r>
              <w:rPr>
                <w:color w:val="000000"/>
                <w:sz w:val="24"/>
              </w:rPr>
              <w:t>监测布点</w:t>
            </w:r>
            <w:r>
              <w:rPr>
                <w:rFonts w:hint="eastAsia"/>
                <w:color w:val="000000"/>
                <w:sz w:val="24"/>
              </w:rPr>
              <w:t>：场地南侧设置1个表层样点，布设情况、监测时间详见表3-4</w:t>
            </w:r>
            <w:r>
              <w:rPr>
                <w:color w:val="000000"/>
                <w:sz w:val="24"/>
              </w:rPr>
              <w:t>；</w:t>
            </w:r>
          </w:p>
          <w:p w14:paraId="7D1878BC">
            <w:pPr>
              <w:pStyle w:val="68"/>
              <w:spacing w:line="240" w:lineRule="auto"/>
              <w:rPr>
                <w:rFonts w:hint="eastAsia" w:ascii="黑体" w:hAnsi="黑体" w:eastAsia="黑体" w:cs="黑体"/>
                <w:b w:val="0"/>
                <w:bCs w:val="0"/>
              </w:rPr>
            </w:pPr>
            <w:r>
              <w:rPr>
                <w:rFonts w:ascii="黑体" w:hAnsi="黑体" w:eastAsia="黑体" w:cs="黑体"/>
                <w:b w:val="0"/>
                <w:bCs w:val="0"/>
              </w:rPr>
              <w:t>表</w:t>
            </w:r>
            <w:r>
              <w:rPr>
                <w:rFonts w:hint="eastAsia" w:ascii="黑体" w:hAnsi="黑体" w:eastAsia="黑体" w:cs="黑体"/>
                <w:b w:val="0"/>
                <w:bCs w:val="0"/>
              </w:rPr>
              <w:t>3-4</w:t>
            </w:r>
            <w:r>
              <w:rPr>
                <w:rFonts w:ascii="黑体" w:hAnsi="黑体" w:eastAsia="黑体" w:cs="黑体"/>
                <w:b w:val="0"/>
                <w:bCs w:val="0"/>
              </w:rPr>
              <w:t xml:space="preserve"> </w:t>
            </w:r>
            <w:r>
              <w:rPr>
                <w:rFonts w:hint="eastAsia" w:ascii="黑体" w:hAnsi="黑体" w:eastAsia="黑体" w:cs="黑体"/>
                <w:b w:val="0"/>
                <w:bCs w:val="0"/>
              </w:rPr>
              <w:t xml:space="preserve"> 土壤环境现状监测布点信息</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23"/>
              <w:gridCol w:w="1281"/>
              <w:gridCol w:w="917"/>
              <w:gridCol w:w="4217"/>
              <w:gridCol w:w="899"/>
            </w:tblGrid>
            <w:tr w14:paraId="1C99F4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9" w:type="pct"/>
                  <w:vAlign w:val="center"/>
                </w:tcPr>
                <w:p w14:paraId="591FA858">
                  <w:pPr>
                    <w:pStyle w:val="49"/>
                    <w:spacing w:line="240" w:lineRule="auto"/>
                    <w:ind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编号</w:t>
                  </w:r>
                </w:p>
              </w:tc>
              <w:tc>
                <w:tcPr>
                  <w:tcW w:w="617" w:type="pct"/>
                  <w:vAlign w:val="center"/>
                </w:tcPr>
                <w:p w14:paraId="34B38DA3">
                  <w:pPr>
                    <w:pStyle w:val="49"/>
                    <w:spacing w:line="240" w:lineRule="auto"/>
                    <w:ind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监测点位</w:t>
                  </w:r>
                </w:p>
              </w:tc>
              <w:tc>
                <w:tcPr>
                  <w:tcW w:w="672" w:type="pct"/>
                  <w:vAlign w:val="center"/>
                </w:tcPr>
                <w:p w14:paraId="050087BE">
                  <w:pPr>
                    <w:pStyle w:val="49"/>
                    <w:spacing w:line="240" w:lineRule="auto"/>
                    <w:ind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监测时间及频率</w:t>
                  </w:r>
                </w:p>
              </w:tc>
              <w:tc>
                <w:tcPr>
                  <w:tcW w:w="2699" w:type="pct"/>
                  <w:vAlign w:val="center"/>
                </w:tcPr>
                <w:p w14:paraId="244CFA78">
                  <w:pPr>
                    <w:pStyle w:val="49"/>
                    <w:spacing w:line="240" w:lineRule="auto"/>
                    <w:ind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监测项目</w:t>
                  </w:r>
                </w:p>
              </w:tc>
              <w:tc>
                <w:tcPr>
                  <w:tcW w:w="661" w:type="pct"/>
                  <w:vAlign w:val="center"/>
                </w:tcPr>
                <w:p w14:paraId="3D857ED7">
                  <w:pPr>
                    <w:pStyle w:val="49"/>
                    <w:spacing w:line="240" w:lineRule="auto"/>
                    <w:ind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用地性质</w:t>
                  </w:r>
                </w:p>
              </w:tc>
            </w:tr>
            <w:tr w14:paraId="3CAFEA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9" w:type="pct"/>
                  <w:vAlign w:val="center"/>
                </w:tcPr>
                <w:p w14:paraId="7CC80770">
                  <w:pPr>
                    <w:pStyle w:val="49"/>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G1-1-1</w:t>
                  </w:r>
                </w:p>
              </w:tc>
              <w:tc>
                <w:tcPr>
                  <w:tcW w:w="617" w:type="pct"/>
                  <w:vAlign w:val="center"/>
                </w:tcPr>
                <w:p w14:paraId="21249B98">
                  <w:pPr>
                    <w:pStyle w:val="49"/>
                    <w:spacing w:line="240" w:lineRule="auto"/>
                    <w:ind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项目地内南侧（0~0.2m）</w:t>
                  </w:r>
                </w:p>
              </w:tc>
              <w:tc>
                <w:tcPr>
                  <w:tcW w:w="672" w:type="pct"/>
                  <w:vAlign w:val="center"/>
                </w:tcPr>
                <w:p w14:paraId="75B84EF4">
                  <w:pPr>
                    <w:pStyle w:val="49"/>
                    <w:spacing w:line="240" w:lineRule="auto"/>
                    <w:ind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2022年6月1日，监测一天</w:t>
                  </w:r>
                </w:p>
              </w:tc>
              <w:tc>
                <w:tcPr>
                  <w:tcW w:w="2699" w:type="pct"/>
                  <w:vAlign w:val="center"/>
                </w:tcPr>
                <w:p w14:paraId="482DBB8F">
                  <w:pPr>
                    <w:pStyle w:val="49"/>
                    <w:spacing w:line="240" w:lineRule="auto"/>
                    <w:ind w:firstLine="0" w:firstLineChars="0"/>
                    <w:jc w:val="center"/>
                    <w:rPr>
                      <w:rFonts w:hint="eastAsia" w:ascii="Times New Roman" w:hAnsi="Times New Roman" w:cs="Times New Roman"/>
                      <w:sz w:val="21"/>
                      <w:szCs w:val="21"/>
                    </w:rPr>
                  </w:pPr>
                  <w:r>
                    <w:rPr>
                      <w:rFonts w:ascii="Times New Roman" w:hAnsi="Times New Roman" w:cs="Times New Roman"/>
                      <w:sz w:val="21"/>
                      <w:szCs w:val="21"/>
                    </w:rPr>
                    <w:t>pH</w:t>
                  </w:r>
                  <w:r>
                    <w:rPr>
                      <w:rFonts w:hint="eastAsia" w:ascii="Times New Roman" w:hAnsi="Times New Roman" w:cs="Times New Roman"/>
                      <w:sz w:val="21"/>
                      <w:szCs w:val="21"/>
                    </w:rPr>
                    <w:t>值、砷、镉、六价铬、铜、铅、汞、镍、</w:t>
                  </w:r>
                  <w:r>
                    <w:rPr>
                      <w:rFonts w:ascii="Times New Roman" w:hAnsi="Times New Roman" w:cs="Times New Roman"/>
                      <w:sz w:val="21"/>
                      <w:szCs w:val="21"/>
                    </w:rPr>
                    <w:t>石油烃（C10-C40）氯甲烷、氯乙烯、1,1-二氯乙烯、二氯甲烷、反式-1,2-二氯乙烯、1,1-二氯乙烷、顺式-1,2-二氯乙烯、氯仿、1,1,1-三氯乙烷、四氯化碳、苯、1,2-二氯乙烷、三氯乙烯、1,2-二氯丙烷、甲苯、1,1,2-三氯乙烷、四氯乙烯、氯苯、乙苯、1,1,1,2-四氯乙烷、间，对-二甲苯、邻二甲苯、苯乙烯、1,1,2,2-四氯乙烷、1,2,3-三氯丙烷、1,4-二氯苯、1,2-二氯苯、苯胺、2-氯苯酚、硝基苯、萘、苯并[a]蒽、䓛、苯并[b]荧蒽、苯并[k]荧蒽、苯并[a]芘、茚并[1,2,3-cd]芘、二苯并[a,h]蒽</w:t>
                  </w:r>
                </w:p>
              </w:tc>
              <w:tc>
                <w:tcPr>
                  <w:tcW w:w="661" w:type="pct"/>
                  <w:vAlign w:val="center"/>
                </w:tcPr>
                <w:p w14:paraId="4495BD94">
                  <w:pPr>
                    <w:pStyle w:val="49"/>
                    <w:spacing w:line="240" w:lineRule="auto"/>
                    <w:ind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商服用地</w:t>
                  </w:r>
                </w:p>
              </w:tc>
            </w:tr>
          </w:tbl>
          <w:p w14:paraId="4E0D053F">
            <w:pPr>
              <w:pStyle w:val="68"/>
              <w:spacing w:line="240" w:lineRule="auto"/>
              <w:rPr>
                <w:rFonts w:ascii="黑体" w:hAnsi="黑体" w:eastAsia="黑体" w:cs="黑体"/>
                <w:b w:val="0"/>
                <w:bCs w:val="0"/>
              </w:rPr>
            </w:pPr>
            <w:r>
              <w:rPr>
                <w:rFonts w:ascii="黑体" w:hAnsi="黑体" w:eastAsia="黑体" w:cs="黑体"/>
                <w:b w:val="0"/>
                <w:bCs w:val="0"/>
              </w:rPr>
              <w:t>表</w:t>
            </w:r>
            <w:r>
              <w:rPr>
                <w:rFonts w:hint="eastAsia" w:ascii="黑体" w:hAnsi="黑体" w:eastAsia="黑体" w:cs="黑体"/>
                <w:b w:val="0"/>
                <w:bCs w:val="0"/>
              </w:rPr>
              <w:t>3-5</w:t>
            </w:r>
            <w:r>
              <w:rPr>
                <w:rFonts w:ascii="黑体" w:hAnsi="黑体" w:eastAsia="黑体" w:cs="黑体"/>
                <w:b w:val="0"/>
                <w:bCs w:val="0"/>
              </w:rPr>
              <w:t xml:space="preserve"> </w:t>
            </w:r>
            <w:r>
              <w:rPr>
                <w:rFonts w:hint="eastAsia" w:ascii="黑体" w:hAnsi="黑体" w:eastAsia="黑体" w:cs="黑体"/>
                <w:b w:val="0"/>
                <w:bCs w:val="0"/>
              </w:rPr>
              <w:t xml:space="preserve"> </w:t>
            </w:r>
            <w:r>
              <w:rPr>
                <w:rFonts w:ascii="黑体" w:hAnsi="黑体" w:eastAsia="黑体" w:cs="黑体"/>
                <w:b w:val="0"/>
                <w:bCs w:val="0"/>
              </w:rPr>
              <w:t>土壤</w:t>
            </w:r>
            <w:r>
              <w:rPr>
                <w:rFonts w:hint="eastAsia" w:ascii="黑体" w:hAnsi="黑体" w:eastAsia="黑体" w:cs="黑体"/>
                <w:b w:val="0"/>
                <w:bCs w:val="0"/>
              </w:rPr>
              <w:t>理化特性调查表</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660"/>
              <w:gridCol w:w="2549"/>
              <w:gridCol w:w="2928"/>
            </w:tblGrid>
            <w:tr w14:paraId="4E98EB9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634" w:type="pct"/>
                  <w:vMerge w:val="restart"/>
                  <w:vAlign w:val="center"/>
                </w:tcPr>
                <w:p w14:paraId="07108814">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监测位置</w:t>
                  </w:r>
                </w:p>
                <w:p w14:paraId="0B3815F6">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及频次</w:t>
                  </w:r>
                </w:p>
              </w:tc>
              <w:tc>
                <w:tcPr>
                  <w:tcW w:w="1566" w:type="pct"/>
                  <w:vAlign w:val="center"/>
                </w:tcPr>
                <w:p w14:paraId="4D207495">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土壤颜色</w:t>
                  </w:r>
                </w:p>
              </w:tc>
              <w:tc>
                <w:tcPr>
                  <w:tcW w:w="1799" w:type="pct"/>
                  <w:vAlign w:val="center"/>
                </w:tcPr>
                <w:p w14:paraId="6A20C4BF">
                  <w:pPr>
                    <w:pStyle w:val="49"/>
                    <w:spacing w:line="360" w:lineRule="exact"/>
                    <w:ind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pH</w:t>
                  </w:r>
                </w:p>
              </w:tc>
            </w:tr>
            <w:tr w14:paraId="1D2A177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86" w:hRule="atLeast"/>
                <w:jc w:val="center"/>
              </w:trPr>
              <w:tc>
                <w:tcPr>
                  <w:tcW w:w="1634" w:type="pct"/>
                  <w:vMerge w:val="continue"/>
                  <w:vAlign w:val="center"/>
                </w:tcPr>
                <w:p w14:paraId="668309A0">
                  <w:pPr>
                    <w:pStyle w:val="49"/>
                    <w:spacing w:line="360" w:lineRule="exact"/>
                    <w:ind w:firstLine="0" w:firstLineChars="0"/>
                    <w:jc w:val="center"/>
                    <w:rPr>
                      <w:rFonts w:ascii="Times New Roman" w:hAnsi="Times New Roman" w:cs="Times New Roman"/>
                      <w:sz w:val="21"/>
                      <w:szCs w:val="21"/>
                    </w:rPr>
                  </w:pPr>
                </w:p>
              </w:tc>
              <w:tc>
                <w:tcPr>
                  <w:tcW w:w="1566" w:type="pct"/>
                  <w:vAlign w:val="center"/>
                </w:tcPr>
                <w:p w14:paraId="7FE1F426">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无</w:t>
                  </w:r>
                </w:p>
              </w:tc>
              <w:tc>
                <w:tcPr>
                  <w:tcW w:w="1799" w:type="pct"/>
                  <w:vAlign w:val="center"/>
                </w:tcPr>
                <w:p w14:paraId="35CEF718">
                  <w:pPr>
                    <w:pStyle w:val="49"/>
                    <w:spacing w:line="360" w:lineRule="exact"/>
                    <w:ind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无量纲</w:t>
                  </w:r>
                </w:p>
              </w:tc>
            </w:tr>
            <w:tr w14:paraId="2313F9A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634" w:type="pct"/>
                  <w:vAlign w:val="center"/>
                </w:tcPr>
                <w:p w14:paraId="4828BDF8">
                  <w:pPr>
                    <w:pStyle w:val="49"/>
                    <w:spacing w:line="360" w:lineRule="exact"/>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G1（0~0.2m）</w:t>
                  </w:r>
                </w:p>
              </w:tc>
              <w:tc>
                <w:tcPr>
                  <w:tcW w:w="1566" w:type="pct"/>
                  <w:vAlign w:val="center"/>
                </w:tcPr>
                <w:p w14:paraId="36F00918">
                  <w:pPr>
                    <w:pStyle w:val="49"/>
                    <w:spacing w:line="360" w:lineRule="exact"/>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棕色</w:t>
                  </w:r>
                </w:p>
              </w:tc>
              <w:tc>
                <w:tcPr>
                  <w:tcW w:w="1799" w:type="pct"/>
                  <w:vAlign w:val="center"/>
                </w:tcPr>
                <w:p w14:paraId="7CB93C00">
                  <w:pPr>
                    <w:pStyle w:val="49"/>
                    <w:spacing w:line="360" w:lineRule="exact"/>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8.48</w:t>
                  </w:r>
                </w:p>
              </w:tc>
            </w:tr>
          </w:tbl>
          <w:p w14:paraId="04AC688E">
            <w:pPr>
              <w:pStyle w:val="11"/>
              <w:spacing w:line="360" w:lineRule="auto"/>
              <w:ind w:firstLine="480" w:firstLineChars="200"/>
              <w:rPr>
                <w:rFonts w:hint="eastAsia"/>
                <w:color w:val="000000"/>
                <w:sz w:val="24"/>
              </w:rPr>
            </w:pPr>
            <w:r>
              <w:rPr>
                <w:rFonts w:hint="eastAsia"/>
                <w:color w:val="000000"/>
                <w:sz w:val="24"/>
              </w:rPr>
              <w:t>②评价标准与方法：</w:t>
            </w:r>
          </w:p>
          <w:p w14:paraId="350E650A">
            <w:pPr>
              <w:pStyle w:val="11"/>
              <w:spacing w:line="360" w:lineRule="auto"/>
              <w:ind w:firstLine="480" w:firstLineChars="200"/>
              <w:rPr>
                <w:rFonts w:hint="eastAsia"/>
                <w:color w:val="000000"/>
                <w:sz w:val="24"/>
              </w:rPr>
            </w:pPr>
            <w:r>
              <w:rPr>
                <w:rFonts w:hint="eastAsia"/>
                <w:color w:val="000000"/>
                <w:sz w:val="24"/>
              </w:rPr>
              <w:t>根据区域土壤特点和土地功能，项目土壤监测点位位于站区内，属于商服用地，执行</w:t>
            </w:r>
            <w:r>
              <w:rPr>
                <w:color w:val="000000"/>
                <w:sz w:val="24"/>
              </w:rPr>
              <w:t>《土壤环境质量 建设用地土壤污染风险管控标准》（GB36600-2018）</w:t>
            </w:r>
            <w:r>
              <w:rPr>
                <w:rFonts w:hint="eastAsia"/>
                <w:color w:val="000000"/>
                <w:sz w:val="24"/>
              </w:rPr>
              <w:t>第二类用地筛选值。</w:t>
            </w:r>
          </w:p>
          <w:p w14:paraId="1AFACB5B">
            <w:pPr>
              <w:pStyle w:val="11"/>
              <w:spacing w:line="360" w:lineRule="auto"/>
              <w:ind w:firstLine="480" w:firstLineChars="200"/>
              <w:rPr>
                <w:rFonts w:hint="eastAsia"/>
                <w:color w:val="000000"/>
                <w:sz w:val="24"/>
              </w:rPr>
            </w:pPr>
            <w:r>
              <w:rPr>
                <w:rFonts w:hint="eastAsia"/>
                <w:color w:val="000000"/>
                <w:sz w:val="24"/>
              </w:rPr>
              <w:t>采用标准指数法评价。</w:t>
            </w:r>
          </w:p>
          <w:p w14:paraId="5AB8184B">
            <w:pPr>
              <w:pStyle w:val="11"/>
              <w:spacing w:line="360" w:lineRule="auto"/>
              <w:ind w:firstLine="480" w:firstLineChars="200"/>
              <w:rPr>
                <w:color w:val="000000"/>
                <w:sz w:val="24"/>
              </w:rPr>
            </w:pPr>
            <w:r>
              <w:rPr>
                <w:rFonts w:hint="eastAsia"/>
                <w:color w:val="000000"/>
                <w:sz w:val="24"/>
              </w:rPr>
              <w:t>③</w:t>
            </w:r>
            <w:r>
              <w:rPr>
                <w:color w:val="000000"/>
                <w:sz w:val="24"/>
              </w:rPr>
              <w:t>监测结果及评价：</w:t>
            </w:r>
          </w:p>
          <w:p w14:paraId="3B5A5C3D">
            <w:pPr>
              <w:pStyle w:val="11"/>
              <w:spacing w:line="360" w:lineRule="auto"/>
              <w:ind w:firstLine="480" w:firstLineChars="200"/>
              <w:rPr>
                <w:color w:val="000000"/>
                <w:sz w:val="24"/>
              </w:rPr>
            </w:pPr>
            <w:r>
              <w:rPr>
                <w:color w:val="000000"/>
                <w:sz w:val="24"/>
              </w:rPr>
              <w:t>土壤环境质量现状监测结果统计及评价见表</w:t>
            </w:r>
            <w:r>
              <w:rPr>
                <w:rFonts w:hint="eastAsia"/>
                <w:color w:val="000000"/>
                <w:sz w:val="24"/>
              </w:rPr>
              <w:t>3-6</w:t>
            </w:r>
            <w:r>
              <w:rPr>
                <w:color w:val="000000"/>
                <w:sz w:val="24"/>
              </w:rPr>
              <w:t>。</w:t>
            </w:r>
          </w:p>
          <w:p w14:paraId="6FEFBCD2">
            <w:pPr>
              <w:pStyle w:val="68"/>
              <w:spacing w:line="240" w:lineRule="auto"/>
              <w:rPr>
                <w:rFonts w:hint="eastAsia" w:ascii="黑体" w:hAnsi="黑体" w:eastAsia="黑体" w:cs="黑体"/>
                <w:b w:val="0"/>
                <w:bCs w:val="0"/>
              </w:rPr>
            </w:pPr>
            <w:r>
              <w:rPr>
                <w:rFonts w:hint="eastAsia" w:ascii="黑体" w:hAnsi="黑体" w:eastAsia="黑体" w:cs="黑体"/>
                <w:b w:val="0"/>
                <w:bCs w:val="0"/>
              </w:rPr>
              <w:t>表3-6  土壤环境质量现状监测及评价结果  单位：mg/kg</w:t>
            </w:r>
          </w:p>
          <w:tbl>
            <w:tblPr>
              <w:tblStyle w:val="23"/>
              <w:tblW w:w="4980" w:type="pct"/>
              <w:tblInd w:w="3"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44"/>
              <w:gridCol w:w="2111"/>
              <w:gridCol w:w="1318"/>
              <w:gridCol w:w="1377"/>
              <w:gridCol w:w="1377"/>
              <w:gridCol w:w="1380"/>
            </w:tblGrid>
            <w:tr w14:paraId="27E3C2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70" w:hRule="atLeast"/>
              </w:trPr>
              <w:tc>
                <w:tcPr>
                  <w:tcW w:w="1638" w:type="pct"/>
                  <w:gridSpan w:val="2"/>
                  <w:vMerge w:val="restart"/>
                  <w:tcBorders>
                    <w:tl2br w:val="single" w:color="auto" w:sz="4" w:space="0"/>
                  </w:tcBorders>
                  <w:tcMar>
                    <w:left w:w="0" w:type="dxa"/>
                    <w:right w:w="0" w:type="dxa"/>
                  </w:tcMar>
                  <w:vAlign w:val="center"/>
                </w:tcPr>
                <w:p w14:paraId="1131D5D0">
                  <w:pPr>
                    <w:pStyle w:val="49"/>
                    <w:spacing w:line="360" w:lineRule="exact"/>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 xml:space="preserve">                 </w:t>
                  </w:r>
                  <w:r>
                    <w:rPr>
                      <w:rFonts w:ascii="Times New Roman" w:hAnsi="Times New Roman" w:cs="Times New Roman"/>
                      <w:sz w:val="21"/>
                      <w:szCs w:val="21"/>
                    </w:rPr>
                    <w:t>监测点位</w:t>
                  </w:r>
                </w:p>
                <w:p w14:paraId="3EDA97EE">
                  <w:pPr>
                    <w:pStyle w:val="49"/>
                    <w:spacing w:line="360" w:lineRule="exact"/>
                    <w:ind w:firstLine="0" w:firstLineChars="0"/>
                    <w:rPr>
                      <w:rFonts w:ascii="Times New Roman" w:hAnsi="Times New Roman" w:cs="Times New Roman"/>
                      <w:sz w:val="21"/>
                      <w:szCs w:val="21"/>
                    </w:rPr>
                  </w:pPr>
                  <w:r>
                    <w:rPr>
                      <w:rFonts w:ascii="Times New Roman" w:hAnsi="Times New Roman" w:cs="Times New Roman"/>
                      <w:sz w:val="21"/>
                      <w:szCs w:val="21"/>
                    </w:rPr>
                    <w:t>监测项目</w:t>
                  </w:r>
                </w:p>
              </w:tc>
              <w:tc>
                <w:tcPr>
                  <w:tcW w:w="813" w:type="pct"/>
                  <w:vMerge w:val="restart"/>
                  <w:tcMar>
                    <w:left w:w="0" w:type="dxa"/>
                    <w:right w:w="0" w:type="dxa"/>
                  </w:tcMar>
                  <w:vAlign w:val="center"/>
                </w:tcPr>
                <w:p w14:paraId="718E3255">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标准值</w:t>
                  </w:r>
                </w:p>
              </w:tc>
              <w:tc>
                <w:tcPr>
                  <w:tcW w:w="2548" w:type="pct"/>
                  <w:gridSpan w:val="3"/>
                  <w:tcMar>
                    <w:left w:w="0" w:type="dxa"/>
                    <w:right w:w="0" w:type="dxa"/>
                  </w:tcMar>
                  <w:vAlign w:val="center"/>
                </w:tcPr>
                <w:p w14:paraId="6EC6C48A">
                  <w:pPr>
                    <w:pStyle w:val="49"/>
                    <w:spacing w:line="360" w:lineRule="exact"/>
                    <w:ind w:firstLine="0" w:firstLineChars="0"/>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rPr>
                    <w:t>G1</w:t>
                  </w:r>
                </w:p>
              </w:tc>
            </w:tr>
            <w:tr w14:paraId="6EDAD7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86" w:hRule="atLeast"/>
              </w:trPr>
              <w:tc>
                <w:tcPr>
                  <w:tcW w:w="1638" w:type="pct"/>
                  <w:gridSpan w:val="2"/>
                  <w:vMerge w:val="continue"/>
                  <w:tcMar>
                    <w:left w:w="0" w:type="dxa"/>
                    <w:right w:w="0" w:type="dxa"/>
                  </w:tcMar>
                  <w:vAlign w:val="center"/>
                </w:tcPr>
                <w:p w14:paraId="021AC6E7">
                  <w:pPr>
                    <w:pStyle w:val="49"/>
                    <w:spacing w:line="360" w:lineRule="exact"/>
                    <w:ind w:firstLine="0" w:firstLineChars="0"/>
                    <w:jc w:val="center"/>
                    <w:rPr>
                      <w:rFonts w:ascii="Times New Roman" w:hAnsi="Times New Roman" w:cs="Times New Roman"/>
                      <w:sz w:val="21"/>
                      <w:szCs w:val="21"/>
                    </w:rPr>
                  </w:pPr>
                </w:p>
              </w:tc>
              <w:tc>
                <w:tcPr>
                  <w:tcW w:w="813" w:type="pct"/>
                  <w:vMerge w:val="continue"/>
                  <w:tcMar>
                    <w:left w:w="0" w:type="dxa"/>
                    <w:right w:w="0" w:type="dxa"/>
                  </w:tcMar>
                  <w:vAlign w:val="center"/>
                </w:tcPr>
                <w:p w14:paraId="74152660">
                  <w:pPr>
                    <w:pStyle w:val="49"/>
                    <w:spacing w:line="360" w:lineRule="exact"/>
                    <w:ind w:firstLine="0" w:firstLineChars="0"/>
                    <w:jc w:val="center"/>
                    <w:rPr>
                      <w:rFonts w:ascii="Times New Roman" w:hAnsi="Times New Roman" w:cs="Times New Roman"/>
                      <w:sz w:val="21"/>
                      <w:szCs w:val="21"/>
                    </w:rPr>
                  </w:pPr>
                </w:p>
              </w:tc>
              <w:tc>
                <w:tcPr>
                  <w:tcW w:w="849" w:type="pct"/>
                  <w:tcMar>
                    <w:left w:w="0" w:type="dxa"/>
                    <w:right w:w="0" w:type="dxa"/>
                  </w:tcMar>
                  <w:vAlign w:val="center"/>
                </w:tcPr>
                <w:p w14:paraId="653A6A06">
                  <w:pPr>
                    <w:pStyle w:val="49"/>
                    <w:spacing w:line="360" w:lineRule="exact"/>
                    <w:ind w:firstLine="0" w:firstLineChars="0"/>
                    <w:jc w:val="center"/>
                    <w:rPr>
                      <w:rFonts w:ascii="Times New Roman" w:hAnsi="Times New Roman" w:cs="Times New Roman"/>
                      <w:color w:val="000000"/>
                      <w:sz w:val="21"/>
                      <w:szCs w:val="21"/>
                    </w:rPr>
                  </w:pPr>
                  <w:r>
                    <w:rPr>
                      <w:rFonts w:ascii="Times New Roman" w:hAnsi="Times New Roman" w:cs="Times New Roman"/>
                      <w:color w:val="000000"/>
                      <w:sz w:val="21"/>
                      <w:szCs w:val="21"/>
                    </w:rPr>
                    <w:t>监测值</w:t>
                  </w:r>
                </w:p>
              </w:tc>
              <w:tc>
                <w:tcPr>
                  <w:tcW w:w="849" w:type="pct"/>
                  <w:tcMar>
                    <w:left w:w="0" w:type="dxa"/>
                    <w:right w:w="0" w:type="dxa"/>
                  </w:tcMar>
                  <w:vAlign w:val="center"/>
                </w:tcPr>
                <w:p w14:paraId="075D1624">
                  <w:pPr>
                    <w:pStyle w:val="49"/>
                    <w:spacing w:line="360" w:lineRule="exact"/>
                    <w:ind w:firstLine="0" w:firstLineChars="0"/>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rPr>
                    <w:t>标准指数</w:t>
                  </w:r>
                </w:p>
              </w:tc>
              <w:tc>
                <w:tcPr>
                  <w:tcW w:w="850" w:type="pct"/>
                  <w:tcMar>
                    <w:left w:w="0" w:type="dxa"/>
                    <w:right w:w="0" w:type="dxa"/>
                  </w:tcMar>
                  <w:vAlign w:val="center"/>
                </w:tcPr>
                <w:p w14:paraId="59523535">
                  <w:pPr>
                    <w:pStyle w:val="49"/>
                    <w:spacing w:line="360" w:lineRule="exact"/>
                    <w:ind w:firstLine="0" w:firstLineChars="0"/>
                    <w:jc w:val="center"/>
                    <w:rPr>
                      <w:rFonts w:ascii="Times New Roman" w:hAnsi="Times New Roman" w:cs="Times New Roman"/>
                      <w:color w:val="000000"/>
                      <w:sz w:val="21"/>
                      <w:szCs w:val="21"/>
                    </w:rPr>
                  </w:pPr>
                  <w:r>
                    <w:rPr>
                      <w:rFonts w:ascii="Times New Roman" w:hAnsi="Times New Roman" w:cs="Times New Roman"/>
                      <w:color w:val="000000"/>
                      <w:sz w:val="21"/>
                      <w:szCs w:val="21"/>
                    </w:rPr>
                    <w:t>评价结果</w:t>
                  </w:r>
                </w:p>
              </w:tc>
            </w:tr>
            <w:tr w14:paraId="1BECCB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86" w:hRule="atLeast"/>
              </w:trPr>
              <w:tc>
                <w:tcPr>
                  <w:tcW w:w="336" w:type="pct"/>
                  <w:tcMar>
                    <w:left w:w="0" w:type="dxa"/>
                    <w:right w:w="0" w:type="dxa"/>
                  </w:tcMar>
                  <w:vAlign w:val="center"/>
                </w:tcPr>
                <w:p w14:paraId="359CE290">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1</w:t>
                  </w:r>
                </w:p>
              </w:tc>
              <w:tc>
                <w:tcPr>
                  <w:tcW w:w="1301" w:type="pct"/>
                  <w:tcMar>
                    <w:left w:w="0" w:type="dxa"/>
                    <w:right w:w="0" w:type="dxa"/>
                  </w:tcMar>
                  <w:vAlign w:val="center"/>
                </w:tcPr>
                <w:p w14:paraId="36D8629E">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二苯并[a,h]蒽</w:t>
                  </w:r>
                </w:p>
              </w:tc>
              <w:tc>
                <w:tcPr>
                  <w:tcW w:w="813" w:type="pct"/>
                  <w:tcMar>
                    <w:left w:w="0" w:type="dxa"/>
                    <w:right w:w="0" w:type="dxa"/>
                  </w:tcMar>
                  <w:vAlign w:val="center"/>
                </w:tcPr>
                <w:p w14:paraId="5F82B5FF">
                  <w:pPr>
                    <w:pStyle w:val="49"/>
                    <w:spacing w:line="360" w:lineRule="exact"/>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1.5</w:t>
                  </w:r>
                </w:p>
              </w:tc>
              <w:tc>
                <w:tcPr>
                  <w:tcW w:w="849" w:type="pct"/>
                  <w:tcMar>
                    <w:left w:w="0" w:type="dxa"/>
                    <w:right w:w="0" w:type="dxa"/>
                  </w:tcMar>
                  <w:vAlign w:val="center"/>
                </w:tcPr>
                <w:p w14:paraId="697F8BE6">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未检出</w:t>
                  </w:r>
                </w:p>
              </w:tc>
              <w:tc>
                <w:tcPr>
                  <w:tcW w:w="849" w:type="pct"/>
                  <w:tcMar>
                    <w:left w:w="0" w:type="dxa"/>
                    <w:right w:w="0" w:type="dxa"/>
                  </w:tcMar>
                  <w:vAlign w:val="center"/>
                </w:tcPr>
                <w:p w14:paraId="689B3E64">
                  <w:pPr>
                    <w:pStyle w:val="49"/>
                    <w:spacing w:line="360" w:lineRule="exact"/>
                    <w:ind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w:t>
                  </w:r>
                </w:p>
              </w:tc>
              <w:tc>
                <w:tcPr>
                  <w:tcW w:w="850" w:type="pct"/>
                  <w:tcMar>
                    <w:left w:w="0" w:type="dxa"/>
                    <w:right w:w="0" w:type="dxa"/>
                  </w:tcMar>
                  <w:vAlign w:val="center"/>
                </w:tcPr>
                <w:p w14:paraId="24C4B23D">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达标</w:t>
                  </w:r>
                </w:p>
              </w:tc>
            </w:tr>
            <w:tr w14:paraId="01351D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86" w:hRule="atLeast"/>
              </w:trPr>
              <w:tc>
                <w:tcPr>
                  <w:tcW w:w="336" w:type="pct"/>
                  <w:tcMar>
                    <w:left w:w="0" w:type="dxa"/>
                    <w:right w:w="0" w:type="dxa"/>
                  </w:tcMar>
                  <w:vAlign w:val="center"/>
                </w:tcPr>
                <w:p w14:paraId="4F8F9DD0">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2</w:t>
                  </w:r>
                </w:p>
              </w:tc>
              <w:tc>
                <w:tcPr>
                  <w:tcW w:w="1301" w:type="pct"/>
                  <w:tcMar>
                    <w:left w:w="0" w:type="dxa"/>
                    <w:right w:w="0" w:type="dxa"/>
                  </w:tcMar>
                  <w:vAlign w:val="center"/>
                </w:tcPr>
                <w:p w14:paraId="425EDCC7">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砷</w:t>
                  </w:r>
                </w:p>
              </w:tc>
              <w:tc>
                <w:tcPr>
                  <w:tcW w:w="813" w:type="pct"/>
                  <w:tcMar>
                    <w:left w:w="0" w:type="dxa"/>
                    <w:right w:w="0" w:type="dxa"/>
                  </w:tcMar>
                  <w:vAlign w:val="center"/>
                </w:tcPr>
                <w:p w14:paraId="60DA14ED">
                  <w:pPr>
                    <w:pStyle w:val="49"/>
                    <w:spacing w:line="360" w:lineRule="exact"/>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60</w:t>
                  </w:r>
                </w:p>
              </w:tc>
              <w:tc>
                <w:tcPr>
                  <w:tcW w:w="849" w:type="pct"/>
                  <w:tcMar>
                    <w:left w:w="0" w:type="dxa"/>
                    <w:right w:w="0" w:type="dxa"/>
                  </w:tcMar>
                  <w:vAlign w:val="center"/>
                </w:tcPr>
                <w:p w14:paraId="0855E327">
                  <w:pPr>
                    <w:pStyle w:val="49"/>
                    <w:spacing w:line="360" w:lineRule="exact"/>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1.26</w:t>
                  </w:r>
                </w:p>
              </w:tc>
              <w:tc>
                <w:tcPr>
                  <w:tcW w:w="849" w:type="pct"/>
                  <w:tcMar>
                    <w:left w:w="0" w:type="dxa"/>
                    <w:right w:w="0" w:type="dxa"/>
                  </w:tcMar>
                  <w:vAlign w:val="center"/>
                </w:tcPr>
                <w:p w14:paraId="491DDA21">
                  <w:pPr>
                    <w:pStyle w:val="49"/>
                    <w:spacing w:line="360" w:lineRule="exact"/>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0.021</w:t>
                  </w:r>
                </w:p>
              </w:tc>
              <w:tc>
                <w:tcPr>
                  <w:tcW w:w="850" w:type="pct"/>
                  <w:tcMar>
                    <w:left w:w="0" w:type="dxa"/>
                    <w:right w:w="0" w:type="dxa"/>
                  </w:tcMar>
                  <w:vAlign w:val="center"/>
                </w:tcPr>
                <w:p w14:paraId="43C261D0">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达标</w:t>
                  </w:r>
                </w:p>
              </w:tc>
            </w:tr>
            <w:tr w14:paraId="585AAC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86" w:hRule="atLeast"/>
              </w:trPr>
              <w:tc>
                <w:tcPr>
                  <w:tcW w:w="336" w:type="pct"/>
                  <w:tcMar>
                    <w:left w:w="0" w:type="dxa"/>
                    <w:right w:w="0" w:type="dxa"/>
                  </w:tcMar>
                  <w:vAlign w:val="center"/>
                </w:tcPr>
                <w:p w14:paraId="1104216B">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3</w:t>
                  </w:r>
                </w:p>
              </w:tc>
              <w:tc>
                <w:tcPr>
                  <w:tcW w:w="1301" w:type="pct"/>
                  <w:tcMar>
                    <w:left w:w="0" w:type="dxa"/>
                    <w:right w:w="0" w:type="dxa"/>
                  </w:tcMar>
                  <w:vAlign w:val="center"/>
                </w:tcPr>
                <w:p w14:paraId="62279E26">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镉</w:t>
                  </w:r>
                </w:p>
              </w:tc>
              <w:tc>
                <w:tcPr>
                  <w:tcW w:w="813" w:type="pct"/>
                  <w:tcMar>
                    <w:left w:w="0" w:type="dxa"/>
                    <w:right w:w="0" w:type="dxa"/>
                  </w:tcMar>
                  <w:vAlign w:val="center"/>
                </w:tcPr>
                <w:p w14:paraId="5375D590">
                  <w:pPr>
                    <w:pStyle w:val="49"/>
                    <w:spacing w:line="360" w:lineRule="exact"/>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65</w:t>
                  </w:r>
                </w:p>
              </w:tc>
              <w:tc>
                <w:tcPr>
                  <w:tcW w:w="849" w:type="pct"/>
                  <w:tcMar>
                    <w:left w:w="0" w:type="dxa"/>
                    <w:right w:w="0" w:type="dxa"/>
                  </w:tcMar>
                  <w:vAlign w:val="center"/>
                </w:tcPr>
                <w:p w14:paraId="5518B8C2">
                  <w:pPr>
                    <w:pStyle w:val="49"/>
                    <w:spacing w:line="360" w:lineRule="exact"/>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0.12</w:t>
                  </w:r>
                </w:p>
              </w:tc>
              <w:tc>
                <w:tcPr>
                  <w:tcW w:w="849" w:type="pct"/>
                  <w:tcMar>
                    <w:left w:w="0" w:type="dxa"/>
                    <w:right w:w="0" w:type="dxa"/>
                  </w:tcMar>
                  <w:vAlign w:val="center"/>
                </w:tcPr>
                <w:p w14:paraId="6AE3B36D">
                  <w:pPr>
                    <w:pStyle w:val="49"/>
                    <w:spacing w:line="360" w:lineRule="exact"/>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0.002</w:t>
                  </w:r>
                </w:p>
              </w:tc>
              <w:tc>
                <w:tcPr>
                  <w:tcW w:w="850" w:type="pct"/>
                  <w:tcMar>
                    <w:left w:w="0" w:type="dxa"/>
                    <w:right w:w="0" w:type="dxa"/>
                  </w:tcMar>
                  <w:vAlign w:val="center"/>
                </w:tcPr>
                <w:p w14:paraId="660E943D">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达标</w:t>
                  </w:r>
                </w:p>
              </w:tc>
            </w:tr>
            <w:tr w14:paraId="2DBEE1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86" w:hRule="atLeast"/>
              </w:trPr>
              <w:tc>
                <w:tcPr>
                  <w:tcW w:w="336" w:type="pct"/>
                  <w:tcMar>
                    <w:left w:w="0" w:type="dxa"/>
                    <w:right w:w="0" w:type="dxa"/>
                  </w:tcMar>
                  <w:vAlign w:val="center"/>
                </w:tcPr>
                <w:p w14:paraId="16BE966E">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4</w:t>
                  </w:r>
                </w:p>
              </w:tc>
              <w:tc>
                <w:tcPr>
                  <w:tcW w:w="1301" w:type="pct"/>
                  <w:tcMar>
                    <w:left w:w="0" w:type="dxa"/>
                    <w:right w:w="0" w:type="dxa"/>
                  </w:tcMar>
                  <w:vAlign w:val="center"/>
                </w:tcPr>
                <w:p w14:paraId="04F2EC35">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六价铬</w:t>
                  </w:r>
                </w:p>
              </w:tc>
              <w:tc>
                <w:tcPr>
                  <w:tcW w:w="813" w:type="pct"/>
                  <w:tcMar>
                    <w:left w:w="0" w:type="dxa"/>
                    <w:right w:w="0" w:type="dxa"/>
                  </w:tcMar>
                  <w:vAlign w:val="center"/>
                </w:tcPr>
                <w:p w14:paraId="46BAAED4">
                  <w:pPr>
                    <w:pStyle w:val="49"/>
                    <w:spacing w:line="360" w:lineRule="exact"/>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5.7</w:t>
                  </w:r>
                </w:p>
              </w:tc>
              <w:tc>
                <w:tcPr>
                  <w:tcW w:w="849" w:type="pct"/>
                  <w:tcMar>
                    <w:left w:w="0" w:type="dxa"/>
                    <w:right w:w="0" w:type="dxa"/>
                  </w:tcMar>
                  <w:vAlign w:val="center"/>
                </w:tcPr>
                <w:p w14:paraId="41E032E7">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未检出</w:t>
                  </w:r>
                </w:p>
              </w:tc>
              <w:tc>
                <w:tcPr>
                  <w:tcW w:w="849" w:type="pct"/>
                  <w:tcMar>
                    <w:left w:w="0" w:type="dxa"/>
                    <w:right w:w="0" w:type="dxa"/>
                  </w:tcMar>
                  <w:vAlign w:val="center"/>
                </w:tcPr>
                <w:p w14:paraId="6DEE717E">
                  <w:pPr>
                    <w:pStyle w:val="49"/>
                    <w:spacing w:line="360" w:lineRule="exact"/>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w:t>
                  </w:r>
                </w:p>
              </w:tc>
              <w:tc>
                <w:tcPr>
                  <w:tcW w:w="850" w:type="pct"/>
                  <w:tcMar>
                    <w:left w:w="0" w:type="dxa"/>
                    <w:right w:w="0" w:type="dxa"/>
                  </w:tcMar>
                  <w:vAlign w:val="center"/>
                </w:tcPr>
                <w:p w14:paraId="32770E57">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达标</w:t>
                  </w:r>
                </w:p>
              </w:tc>
            </w:tr>
            <w:tr w14:paraId="40BC9F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86" w:hRule="atLeast"/>
              </w:trPr>
              <w:tc>
                <w:tcPr>
                  <w:tcW w:w="336" w:type="pct"/>
                  <w:tcMar>
                    <w:left w:w="0" w:type="dxa"/>
                    <w:right w:w="0" w:type="dxa"/>
                  </w:tcMar>
                  <w:vAlign w:val="center"/>
                </w:tcPr>
                <w:p w14:paraId="07BFB329">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5</w:t>
                  </w:r>
                </w:p>
              </w:tc>
              <w:tc>
                <w:tcPr>
                  <w:tcW w:w="1301" w:type="pct"/>
                  <w:tcMar>
                    <w:left w:w="0" w:type="dxa"/>
                    <w:right w:w="0" w:type="dxa"/>
                  </w:tcMar>
                  <w:vAlign w:val="center"/>
                </w:tcPr>
                <w:p w14:paraId="034E8ADA">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铜</w:t>
                  </w:r>
                </w:p>
              </w:tc>
              <w:tc>
                <w:tcPr>
                  <w:tcW w:w="813" w:type="pct"/>
                  <w:tcMar>
                    <w:left w:w="0" w:type="dxa"/>
                    <w:right w:w="0" w:type="dxa"/>
                  </w:tcMar>
                  <w:vAlign w:val="center"/>
                </w:tcPr>
                <w:p w14:paraId="453A2943">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18000</w:t>
                  </w:r>
                </w:p>
              </w:tc>
              <w:tc>
                <w:tcPr>
                  <w:tcW w:w="849" w:type="pct"/>
                  <w:tcMar>
                    <w:left w:w="0" w:type="dxa"/>
                    <w:right w:w="0" w:type="dxa"/>
                  </w:tcMar>
                  <w:vAlign w:val="center"/>
                </w:tcPr>
                <w:p w14:paraId="325A3BE9">
                  <w:pPr>
                    <w:pStyle w:val="49"/>
                    <w:spacing w:line="360" w:lineRule="exact"/>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20</w:t>
                  </w:r>
                </w:p>
              </w:tc>
              <w:tc>
                <w:tcPr>
                  <w:tcW w:w="849" w:type="pct"/>
                  <w:tcMar>
                    <w:left w:w="0" w:type="dxa"/>
                    <w:right w:w="0" w:type="dxa"/>
                  </w:tcMar>
                  <w:vAlign w:val="center"/>
                </w:tcPr>
                <w:p w14:paraId="64F9D4C3">
                  <w:pPr>
                    <w:pStyle w:val="49"/>
                    <w:spacing w:line="360" w:lineRule="exact"/>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0.001</w:t>
                  </w:r>
                </w:p>
              </w:tc>
              <w:tc>
                <w:tcPr>
                  <w:tcW w:w="850" w:type="pct"/>
                  <w:tcMar>
                    <w:left w:w="0" w:type="dxa"/>
                    <w:right w:w="0" w:type="dxa"/>
                  </w:tcMar>
                  <w:vAlign w:val="center"/>
                </w:tcPr>
                <w:p w14:paraId="78A7ABED">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达标</w:t>
                  </w:r>
                </w:p>
              </w:tc>
            </w:tr>
            <w:tr w14:paraId="554587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86" w:hRule="atLeast"/>
              </w:trPr>
              <w:tc>
                <w:tcPr>
                  <w:tcW w:w="336" w:type="pct"/>
                  <w:tcMar>
                    <w:left w:w="0" w:type="dxa"/>
                    <w:right w:w="0" w:type="dxa"/>
                  </w:tcMar>
                  <w:vAlign w:val="center"/>
                </w:tcPr>
                <w:p w14:paraId="047A4E84">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6</w:t>
                  </w:r>
                </w:p>
              </w:tc>
              <w:tc>
                <w:tcPr>
                  <w:tcW w:w="1301" w:type="pct"/>
                  <w:tcMar>
                    <w:left w:w="0" w:type="dxa"/>
                    <w:right w:w="0" w:type="dxa"/>
                  </w:tcMar>
                  <w:vAlign w:val="center"/>
                </w:tcPr>
                <w:p w14:paraId="4CAFE693">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铅</w:t>
                  </w:r>
                </w:p>
              </w:tc>
              <w:tc>
                <w:tcPr>
                  <w:tcW w:w="813" w:type="pct"/>
                  <w:tcMar>
                    <w:left w:w="0" w:type="dxa"/>
                    <w:right w:w="0" w:type="dxa"/>
                  </w:tcMar>
                  <w:vAlign w:val="center"/>
                </w:tcPr>
                <w:p w14:paraId="12B0B134">
                  <w:pPr>
                    <w:pStyle w:val="49"/>
                    <w:spacing w:line="360" w:lineRule="exact"/>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800</w:t>
                  </w:r>
                </w:p>
              </w:tc>
              <w:tc>
                <w:tcPr>
                  <w:tcW w:w="849" w:type="pct"/>
                  <w:tcMar>
                    <w:left w:w="0" w:type="dxa"/>
                    <w:right w:w="0" w:type="dxa"/>
                  </w:tcMar>
                  <w:vAlign w:val="center"/>
                </w:tcPr>
                <w:p w14:paraId="26F2B412">
                  <w:pPr>
                    <w:pStyle w:val="49"/>
                    <w:spacing w:line="360" w:lineRule="exact"/>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28</w:t>
                  </w:r>
                </w:p>
              </w:tc>
              <w:tc>
                <w:tcPr>
                  <w:tcW w:w="849" w:type="pct"/>
                  <w:tcMar>
                    <w:left w:w="0" w:type="dxa"/>
                    <w:right w:w="0" w:type="dxa"/>
                  </w:tcMar>
                  <w:vAlign w:val="center"/>
                </w:tcPr>
                <w:p w14:paraId="2BA3E6B2">
                  <w:pPr>
                    <w:pStyle w:val="49"/>
                    <w:spacing w:line="360" w:lineRule="exact"/>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0.035</w:t>
                  </w:r>
                </w:p>
              </w:tc>
              <w:tc>
                <w:tcPr>
                  <w:tcW w:w="850" w:type="pct"/>
                  <w:tcMar>
                    <w:left w:w="0" w:type="dxa"/>
                    <w:right w:w="0" w:type="dxa"/>
                  </w:tcMar>
                  <w:vAlign w:val="center"/>
                </w:tcPr>
                <w:p w14:paraId="4BA694A0">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达标</w:t>
                  </w:r>
                </w:p>
              </w:tc>
            </w:tr>
            <w:tr w14:paraId="0799D4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86" w:hRule="atLeast"/>
              </w:trPr>
              <w:tc>
                <w:tcPr>
                  <w:tcW w:w="336" w:type="pct"/>
                  <w:tcMar>
                    <w:left w:w="0" w:type="dxa"/>
                    <w:right w:w="0" w:type="dxa"/>
                  </w:tcMar>
                  <w:vAlign w:val="center"/>
                </w:tcPr>
                <w:p w14:paraId="630DB2BA">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7</w:t>
                  </w:r>
                </w:p>
              </w:tc>
              <w:tc>
                <w:tcPr>
                  <w:tcW w:w="1301" w:type="pct"/>
                  <w:tcMar>
                    <w:left w:w="0" w:type="dxa"/>
                    <w:right w:w="0" w:type="dxa"/>
                  </w:tcMar>
                  <w:vAlign w:val="center"/>
                </w:tcPr>
                <w:p w14:paraId="25599587">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汞</w:t>
                  </w:r>
                </w:p>
              </w:tc>
              <w:tc>
                <w:tcPr>
                  <w:tcW w:w="813" w:type="pct"/>
                  <w:tcMar>
                    <w:left w:w="0" w:type="dxa"/>
                    <w:right w:w="0" w:type="dxa"/>
                  </w:tcMar>
                  <w:vAlign w:val="center"/>
                </w:tcPr>
                <w:p w14:paraId="053AF145">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38</w:t>
                  </w:r>
                </w:p>
              </w:tc>
              <w:tc>
                <w:tcPr>
                  <w:tcW w:w="849" w:type="pct"/>
                  <w:tcMar>
                    <w:left w:w="0" w:type="dxa"/>
                    <w:right w:w="0" w:type="dxa"/>
                  </w:tcMar>
                  <w:vAlign w:val="center"/>
                </w:tcPr>
                <w:p w14:paraId="1E036AF4">
                  <w:pPr>
                    <w:pStyle w:val="49"/>
                    <w:spacing w:line="360" w:lineRule="exact"/>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0.036</w:t>
                  </w:r>
                </w:p>
              </w:tc>
              <w:tc>
                <w:tcPr>
                  <w:tcW w:w="849" w:type="pct"/>
                  <w:tcMar>
                    <w:left w:w="0" w:type="dxa"/>
                    <w:right w:w="0" w:type="dxa"/>
                  </w:tcMar>
                  <w:vAlign w:val="center"/>
                </w:tcPr>
                <w:p w14:paraId="29FCB3AE">
                  <w:pPr>
                    <w:pStyle w:val="49"/>
                    <w:spacing w:line="360" w:lineRule="exact"/>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0.001</w:t>
                  </w:r>
                </w:p>
              </w:tc>
              <w:tc>
                <w:tcPr>
                  <w:tcW w:w="850" w:type="pct"/>
                  <w:tcMar>
                    <w:left w:w="0" w:type="dxa"/>
                    <w:right w:w="0" w:type="dxa"/>
                  </w:tcMar>
                  <w:vAlign w:val="center"/>
                </w:tcPr>
                <w:p w14:paraId="34D1AA4F">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达标</w:t>
                  </w:r>
                </w:p>
              </w:tc>
            </w:tr>
            <w:tr w14:paraId="347709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86" w:hRule="atLeast"/>
              </w:trPr>
              <w:tc>
                <w:tcPr>
                  <w:tcW w:w="336" w:type="pct"/>
                  <w:tcMar>
                    <w:left w:w="0" w:type="dxa"/>
                    <w:right w:w="0" w:type="dxa"/>
                  </w:tcMar>
                  <w:vAlign w:val="center"/>
                </w:tcPr>
                <w:p w14:paraId="309E2D9A">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8</w:t>
                  </w:r>
                </w:p>
              </w:tc>
              <w:tc>
                <w:tcPr>
                  <w:tcW w:w="1301" w:type="pct"/>
                  <w:tcMar>
                    <w:left w:w="0" w:type="dxa"/>
                    <w:right w:w="0" w:type="dxa"/>
                  </w:tcMar>
                  <w:vAlign w:val="center"/>
                </w:tcPr>
                <w:p w14:paraId="70FBCCD3">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镍</w:t>
                  </w:r>
                </w:p>
              </w:tc>
              <w:tc>
                <w:tcPr>
                  <w:tcW w:w="813" w:type="pct"/>
                  <w:tcMar>
                    <w:left w:w="0" w:type="dxa"/>
                    <w:right w:w="0" w:type="dxa"/>
                  </w:tcMar>
                  <w:vAlign w:val="center"/>
                </w:tcPr>
                <w:p w14:paraId="40C00717">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900</w:t>
                  </w:r>
                </w:p>
              </w:tc>
              <w:tc>
                <w:tcPr>
                  <w:tcW w:w="849" w:type="pct"/>
                  <w:tcMar>
                    <w:left w:w="0" w:type="dxa"/>
                    <w:right w:w="0" w:type="dxa"/>
                  </w:tcMar>
                  <w:vAlign w:val="center"/>
                </w:tcPr>
                <w:p w14:paraId="7D73664F">
                  <w:pPr>
                    <w:pStyle w:val="49"/>
                    <w:spacing w:line="360" w:lineRule="exact"/>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24</w:t>
                  </w:r>
                </w:p>
              </w:tc>
              <w:tc>
                <w:tcPr>
                  <w:tcW w:w="849" w:type="pct"/>
                  <w:tcMar>
                    <w:left w:w="0" w:type="dxa"/>
                    <w:right w:w="0" w:type="dxa"/>
                  </w:tcMar>
                  <w:vAlign w:val="center"/>
                </w:tcPr>
                <w:p w14:paraId="7AC9550C">
                  <w:pPr>
                    <w:pStyle w:val="49"/>
                    <w:spacing w:line="360" w:lineRule="exact"/>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0.267</w:t>
                  </w:r>
                </w:p>
              </w:tc>
              <w:tc>
                <w:tcPr>
                  <w:tcW w:w="850" w:type="pct"/>
                  <w:tcMar>
                    <w:left w:w="0" w:type="dxa"/>
                    <w:right w:w="0" w:type="dxa"/>
                  </w:tcMar>
                  <w:vAlign w:val="center"/>
                </w:tcPr>
                <w:p w14:paraId="06D1F14D">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达标</w:t>
                  </w:r>
                </w:p>
              </w:tc>
            </w:tr>
            <w:tr w14:paraId="4D9905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86" w:hRule="atLeast"/>
              </w:trPr>
              <w:tc>
                <w:tcPr>
                  <w:tcW w:w="336" w:type="pct"/>
                  <w:tcMar>
                    <w:left w:w="0" w:type="dxa"/>
                    <w:right w:w="0" w:type="dxa"/>
                  </w:tcMar>
                  <w:vAlign w:val="center"/>
                </w:tcPr>
                <w:p w14:paraId="09F2D4D3">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9</w:t>
                  </w:r>
                </w:p>
              </w:tc>
              <w:tc>
                <w:tcPr>
                  <w:tcW w:w="1301" w:type="pct"/>
                  <w:tcMar>
                    <w:left w:w="0" w:type="dxa"/>
                    <w:right w:w="0" w:type="dxa"/>
                  </w:tcMar>
                  <w:vAlign w:val="center"/>
                </w:tcPr>
                <w:p w14:paraId="45E652DC">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石油烃（C</w:t>
                  </w:r>
                  <w:r>
                    <w:rPr>
                      <w:rFonts w:ascii="Times New Roman" w:hAnsi="Times New Roman" w:cs="Times New Roman"/>
                      <w:sz w:val="21"/>
                      <w:szCs w:val="21"/>
                      <w:vertAlign w:val="subscript"/>
                    </w:rPr>
                    <w:t>10</w:t>
                  </w:r>
                  <w:r>
                    <w:rPr>
                      <w:rFonts w:ascii="Times New Roman" w:hAnsi="Times New Roman" w:cs="Times New Roman"/>
                      <w:sz w:val="21"/>
                      <w:szCs w:val="21"/>
                    </w:rPr>
                    <w:t>-C</w:t>
                  </w:r>
                  <w:r>
                    <w:rPr>
                      <w:rFonts w:ascii="Times New Roman" w:hAnsi="Times New Roman" w:cs="Times New Roman"/>
                      <w:sz w:val="21"/>
                      <w:szCs w:val="21"/>
                      <w:vertAlign w:val="subscript"/>
                    </w:rPr>
                    <w:t>40</w:t>
                  </w:r>
                  <w:r>
                    <w:rPr>
                      <w:rFonts w:ascii="Times New Roman" w:hAnsi="Times New Roman" w:cs="Times New Roman"/>
                      <w:sz w:val="21"/>
                      <w:szCs w:val="21"/>
                    </w:rPr>
                    <w:t>）</w:t>
                  </w:r>
                </w:p>
              </w:tc>
              <w:tc>
                <w:tcPr>
                  <w:tcW w:w="813" w:type="pct"/>
                  <w:tcMar>
                    <w:left w:w="0" w:type="dxa"/>
                    <w:right w:w="0" w:type="dxa"/>
                  </w:tcMar>
                  <w:vAlign w:val="center"/>
                </w:tcPr>
                <w:p w14:paraId="4AB51554">
                  <w:pPr>
                    <w:pStyle w:val="49"/>
                    <w:spacing w:line="360" w:lineRule="exact"/>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4500</w:t>
                  </w:r>
                </w:p>
              </w:tc>
              <w:tc>
                <w:tcPr>
                  <w:tcW w:w="849" w:type="pct"/>
                  <w:tcMar>
                    <w:left w:w="0" w:type="dxa"/>
                    <w:right w:w="0" w:type="dxa"/>
                  </w:tcMar>
                  <w:vAlign w:val="center"/>
                </w:tcPr>
                <w:p w14:paraId="4B2BA4B8">
                  <w:pPr>
                    <w:pStyle w:val="49"/>
                    <w:spacing w:line="360" w:lineRule="exact"/>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23</w:t>
                  </w:r>
                </w:p>
              </w:tc>
              <w:tc>
                <w:tcPr>
                  <w:tcW w:w="849" w:type="pct"/>
                  <w:tcMar>
                    <w:left w:w="0" w:type="dxa"/>
                    <w:right w:w="0" w:type="dxa"/>
                  </w:tcMar>
                  <w:vAlign w:val="center"/>
                </w:tcPr>
                <w:p w14:paraId="19C50989">
                  <w:pPr>
                    <w:pStyle w:val="49"/>
                    <w:spacing w:line="360" w:lineRule="exact"/>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0.005</w:t>
                  </w:r>
                </w:p>
              </w:tc>
              <w:tc>
                <w:tcPr>
                  <w:tcW w:w="850" w:type="pct"/>
                  <w:tcMar>
                    <w:left w:w="0" w:type="dxa"/>
                    <w:right w:w="0" w:type="dxa"/>
                  </w:tcMar>
                  <w:vAlign w:val="center"/>
                </w:tcPr>
                <w:p w14:paraId="5402FAB3">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达标</w:t>
                  </w:r>
                </w:p>
              </w:tc>
            </w:tr>
            <w:tr w14:paraId="5DF607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86" w:hRule="atLeast"/>
              </w:trPr>
              <w:tc>
                <w:tcPr>
                  <w:tcW w:w="336" w:type="pct"/>
                  <w:tcMar>
                    <w:left w:w="0" w:type="dxa"/>
                    <w:right w:w="0" w:type="dxa"/>
                  </w:tcMar>
                  <w:vAlign w:val="center"/>
                </w:tcPr>
                <w:p w14:paraId="680314B3">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10</w:t>
                  </w:r>
                </w:p>
              </w:tc>
              <w:tc>
                <w:tcPr>
                  <w:tcW w:w="1301" w:type="pct"/>
                  <w:tcMar>
                    <w:left w:w="0" w:type="dxa"/>
                    <w:right w:w="0" w:type="dxa"/>
                  </w:tcMar>
                  <w:vAlign w:val="center"/>
                </w:tcPr>
                <w:p w14:paraId="24EA3E7D">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氯甲烷</w:t>
                  </w:r>
                </w:p>
              </w:tc>
              <w:tc>
                <w:tcPr>
                  <w:tcW w:w="813" w:type="pct"/>
                  <w:tcMar>
                    <w:left w:w="0" w:type="dxa"/>
                    <w:right w:w="0" w:type="dxa"/>
                  </w:tcMar>
                  <w:vAlign w:val="center"/>
                </w:tcPr>
                <w:p w14:paraId="7C633039">
                  <w:pPr>
                    <w:pStyle w:val="49"/>
                    <w:spacing w:line="360" w:lineRule="exact"/>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37</w:t>
                  </w:r>
                </w:p>
              </w:tc>
              <w:tc>
                <w:tcPr>
                  <w:tcW w:w="849" w:type="pct"/>
                  <w:tcMar>
                    <w:left w:w="0" w:type="dxa"/>
                    <w:right w:w="0" w:type="dxa"/>
                  </w:tcMar>
                  <w:vAlign w:val="center"/>
                </w:tcPr>
                <w:p w14:paraId="74A273F5">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未检出</w:t>
                  </w:r>
                </w:p>
              </w:tc>
              <w:tc>
                <w:tcPr>
                  <w:tcW w:w="849" w:type="pct"/>
                  <w:tcMar>
                    <w:left w:w="0" w:type="dxa"/>
                    <w:right w:w="0" w:type="dxa"/>
                  </w:tcMar>
                  <w:vAlign w:val="center"/>
                </w:tcPr>
                <w:p w14:paraId="7E48C5A1">
                  <w:pPr>
                    <w:pStyle w:val="49"/>
                    <w:spacing w:line="360" w:lineRule="exact"/>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w:t>
                  </w:r>
                </w:p>
              </w:tc>
              <w:tc>
                <w:tcPr>
                  <w:tcW w:w="850" w:type="pct"/>
                  <w:tcMar>
                    <w:left w:w="0" w:type="dxa"/>
                    <w:right w:w="0" w:type="dxa"/>
                  </w:tcMar>
                  <w:vAlign w:val="center"/>
                </w:tcPr>
                <w:p w14:paraId="0244D9CE">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达标</w:t>
                  </w:r>
                </w:p>
              </w:tc>
            </w:tr>
            <w:tr w14:paraId="1CFD3C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86" w:hRule="atLeast"/>
              </w:trPr>
              <w:tc>
                <w:tcPr>
                  <w:tcW w:w="336" w:type="pct"/>
                  <w:tcMar>
                    <w:left w:w="0" w:type="dxa"/>
                    <w:right w:w="0" w:type="dxa"/>
                  </w:tcMar>
                  <w:vAlign w:val="center"/>
                </w:tcPr>
                <w:p w14:paraId="74131F88">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11</w:t>
                  </w:r>
                </w:p>
              </w:tc>
              <w:tc>
                <w:tcPr>
                  <w:tcW w:w="1301" w:type="pct"/>
                  <w:tcMar>
                    <w:left w:w="0" w:type="dxa"/>
                    <w:right w:w="0" w:type="dxa"/>
                  </w:tcMar>
                  <w:vAlign w:val="center"/>
                </w:tcPr>
                <w:p w14:paraId="522C447C">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氯乙烯</w:t>
                  </w:r>
                </w:p>
              </w:tc>
              <w:tc>
                <w:tcPr>
                  <w:tcW w:w="813" w:type="pct"/>
                  <w:tcMar>
                    <w:left w:w="0" w:type="dxa"/>
                    <w:right w:w="0" w:type="dxa"/>
                  </w:tcMar>
                  <w:vAlign w:val="center"/>
                </w:tcPr>
                <w:p w14:paraId="498FB356">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0.43</w:t>
                  </w:r>
                </w:p>
              </w:tc>
              <w:tc>
                <w:tcPr>
                  <w:tcW w:w="849" w:type="pct"/>
                  <w:tcMar>
                    <w:left w:w="0" w:type="dxa"/>
                    <w:right w:w="0" w:type="dxa"/>
                  </w:tcMar>
                  <w:vAlign w:val="center"/>
                </w:tcPr>
                <w:p w14:paraId="70A65AE2">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未检出</w:t>
                  </w:r>
                </w:p>
              </w:tc>
              <w:tc>
                <w:tcPr>
                  <w:tcW w:w="849" w:type="pct"/>
                  <w:tcMar>
                    <w:left w:w="0" w:type="dxa"/>
                    <w:right w:w="0" w:type="dxa"/>
                  </w:tcMar>
                  <w:vAlign w:val="center"/>
                </w:tcPr>
                <w:p w14:paraId="4E61EC46">
                  <w:pPr>
                    <w:pStyle w:val="49"/>
                    <w:spacing w:line="360" w:lineRule="exact"/>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w:t>
                  </w:r>
                </w:p>
              </w:tc>
              <w:tc>
                <w:tcPr>
                  <w:tcW w:w="850" w:type="pct"/>
                  <w:tcMar>
                    <w:left w:w="0" w:type="dxa"/>
                    <w:right w:w="0" w:type="dxa"/>
                  </w:tcMar>
                  <w:vAlign w:val="center"/>
                </w:tcPr>
                <w:p w14:paraId="7783A2E2">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达标</w:t>
                  </w:r>
                </w:p>
              </w:tc>
            </w:tr>
            <w:tr w14:paraId="48EF3C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86" w:hRule="atLeast"/>
              </w:trPr>
              <w:tc>
                <w:tcPr>
                  <w:tcW w:w="336" w:type="pct"/>
                  <w:tcMar>
                    <w:left w:w="0" w:type="dxa"/>
                    <w:right w:w="0" w:type="dxa"/>
                  </w:tcMar>
                  <w:vAlign w:val="center"/>
                </w:tcPr>
                <w:p w14:paraId="3AF14BCA">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12</w:t>
                  </w:r>
                </w:p>
              </w:tc>
              <w:tc>
                <w:tcPr>
                  <w:tcW w:w="1301" w:type="pct"/>
                  <w:tcMar>
                    <w:left w:w="0" w:type="dxa"/>
                    <w:right w:w="0" w:type="dxa"/>
                  </w:tcMar>
                  <w:vAlign w:val="center"/>
                </w:tcPr>
                <w:p w14:paraId="199063D3">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1,1-二氯乙烯</w:t>
                  </w:r>
                </w:p>
              </w:tc>
              <w:tc>
                <w:tcPr>
                  <w:tcW w:w="813" w:type="pct"/>
                  <w:tcMar>
                    <w:left w:w="0" w:type="dxa"/>
                    <w:right w:w="0" w:type="dxa"/>
                  </w:tcMar>
                  <w:vAlign w:val="center"/>
                </w:tcPr>
                <w:p w14:paraId="5C69B98A">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66</w:t>
                  </w:r>
                </w:p>
              </w:tc>
              <w:tc>
                <w:tcPr>
                  <w:tcW w:w="849" w:type="pct"/>
                  <w:tcMar>
                    <w:left w:w="0" w:type="dxa"/>
                    <w:right w:w="0" w:type="dxa"/>
                  </w:tcMar>
                  <w:vAlign w:val="center"/>
                </w:tcPr>
                <w:p w14:paraId="51E99826">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未检出</w:t>
                  </w:r>
                </w:p>
              </w:tc>
              <w:tc>
                <w:tcPr>
                  <w:tcW w:w="849" w:type="pct"/>
                  <w:tcMar>
                    <w:left w:w="0" w:type="dxa"/>
                    <w:right w:w="0" w:type="dxa"/>
                  </w:tcMar>
                  <w:vAlign w:val="center"/>
                </w:tcPr>
                <w:p w14:paraId="15A1B2BB">
                  <w:pPr>
                    <w:pStyle w:val="49"/>
                    <w:spacing w:line="360" w:lineRule="exact"/>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w:t>
                  </w:r>
                </w:p>
              </w:tc>
              <w:tc>
                <w:tcPr>
                  <w:tcW w:w="850" w:type="pct"/>
                  <w:tcMar>
                    <w:left w:w="0" w:type="dxa"/>
                    <w:right w:w="0" w:type="dxa"/>
                  </w:tcMar>
                  <w:vAlign w:val="center"/>
                </w:tcPr>
                <w:p w14:paraId="29B771BE">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达标</w:t>
                  </w:r>
                </w:p>
              </w:tc>
            </w:tr>
            <w:tr w14:paraId="495422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86" w:hRule="atLeast"/>
              </w:trPr>
              <w:tc>
                <w:tcPr>
                  <w:tcW w:w="336" w:type="pct"/>
                  <w:tcMar>
                    <w:left w:w="0" w:type="dxa"/>
                    <w:right w:w="0" w:type="dxa"/>
                  </w:tcMar>
                  <w:vAlign w:val="center"/>
                </w:tcPr>
                <w:p w14:paraId="184D0BAD">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13</w:t>
                  </w:r>
                </w:p>
              </w:tc>
              <w:tc>
                <w:tcPr>
                  <w:tcW w:w="1301" w:type="pct"/>
                  <w:tcMar>
                    <w:left w:w="0" w:type="dxa"/>
                    <w:right w:w="0" w:type="dxa"/>
                  </w:tcMar>
                  <w:vAlign w:val="center"/>
                </w:tcPr>
                <w:p w14:paraId="0E975992">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二氯甲烷</w:t>
                  </w:r>
                </w:p>
              </w:tc>
              <w:tc>
                <w:tcPr>
                  <w:tcW w:w="813" w:type="pct"/>
                  <w:tcMar>
                    <w:left w:w="0" w:type="dxa"/>
                    <w:right w:w="0" w:type="dxa"/>
                  </w:tcMar>
                  <w:vAlign w:val="center"/>
                </w:tcPr>
                <w:p w14:paraId="0DEF089B">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616</w:t>
                  </w:r>
                </w:p>
              </w:tc>
              <w:tc>
                <w:tcPr>
                  <w:tcW w:w="849" w:type="pct"/>
                  <w:tcMar>
                    <w:left w:w="0" w:type="dxa"/>
                    <w:right w:w="0" w:type="dxa"/>
                  </w:tcMar>
                  <w:vAlign w:val="center"/>
                </w:tcPr>
                <w:p w14:paraId="4ACCA96B">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未检出</w:t>
                  </w:r>
                </w:p>
              </w:tc>
              <w:tc>
                <w:tcPr>
                  <w:tcW w:w="849" w:type="pct"/>
                  <w:tcMar>
                    <w:left w:w="0" w:type="dxa"/>
                    <w:right w:w="0" w:type="dxa"/>
                  </w:tcMar>
                  <w:vAlign w:val="center"/>
                </w:tcPr>
                <w:p w14:paraId="4E774848">
                  <w:pPr>
                    <w:pStyle w:val="49"/>
                    <w:spacing w:line="360" w:lineRule="exact"/>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w:t>
                  </w:r>
                </w:p>
              </w:tc>
              <w:tc>
                <w:tcPr>
                  <w:tcW w:w="850" w:type="pct"/>
                  <w:tcMar>
                    <w:left w:w="0" w:type="dxa"/>
                    <w:right w:w="0" w:type="dxa"/>
                  </w:tcMar>
                  <w:vAlign w:val="center"/>
                </w:tcPr>
                <w:p w14:paraId="1F85489C">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达标</w:t>
                  </w:r>
                </w:p>
              </w:tc>
            </w:tr>
            <w:tr w14:paraId="55AB4D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86" w:hRule="atLeast"/>
              </w:trPr>
              <w:tc>
                <w:tcPr>
                  <w:tcW w:w="336" w:type="pct"/>
                  <w:tcMar>
                    <w:left w:w="0" w:type="dxa"/>
                    <w:right w:w="0" w:type="dxa"/>
                  </w:tcMar>
                  <w:vAlign w:val="center"/>
                </w:tcPr>
                <w:p w14:paraId="3ECFE6DA">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14</w:t>
                  </w:r>
                </w:p>
              </w:tc>
              <w:tc>
                <w:tcPr>
                  <w:tcW w:w="1301" w:type="pct"/>
                  <w:tcMar>
                    <w:left w:w="0" w:type="dxa"/>
                    <w:right w:w="0" w:type="dxa"/>
                  </w:tcMar>
                  <w:vAlign w:val="center"/>
                </w:tcPr>
                <w:p w14:paraId="69347764">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反式-1,2-二氯乙烯</w:t>
                  </w:r>
                </w:p>
              </w:tc>
              <w:tc>
                <w:tcPr>
                  <w:tcW w:w="813" w:type="pct"/>
                  <w:tcMar>
                    <w:left w:w="0" w:type="dxa"/>
                    <w:right w:w="0" w:type="dxa"/>
                  </w:tcMar>
                  <w:vAlign w:val="center"/>
                </w:tcPr>
                <w:p w14:paraId="1C73E532">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54</w:t>
                  </w:r>
                </w:p>
              </w:tc>
              <w:tc>
                <w:tcPr>
                  <w:tcW w:w="849" w:type="pct"/>
                  <w:tcMar>
                    <w:left w:w="0" w:type="dxa"/>
                    <w:right w:w="0" w:type="dxa"/>
                  </w:tcMar>
                  <w:vAlign w:val="center"/>
                </w:tcPr>
                <w:p w14:paraId="3667B0FE">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未检出</w:t>
                  </w:r>
                </w:p>
              </w:tc>
              <w:tc>
                <w:tcPr>
                  <w:tcW w:w="849" w:type="pct"/>
                  <w:tcMar>
                    <w:left w:w="0" w:type="dxa"/>
                    <w:right w:w="0" w:type="dxa"/>
                  </w:tcMar>
                  <w:vAlign w:val="center"/>
                </w:tcPr>
                <w:p w14:paraId="4D60A186">
                  <w:pPr>
                    <w:pStyle w:val="49"/>
                    <w:spacing w:line="360" w:lineRule="exact"/>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w:t>
                  </w:r>
                </w:p>
              </w:tc>
              <w:tc>
                <w:tcPr>
                  <w:tcW w:w="850" w:type="pct"/>
                  <w:tcMar>
                    <w:left w:w="0" w:type="dxa"/>
                    <w:right w:w="0" w:type="dxa"/>
                  </w:tcMar>
                  <w:vAlign w:val="center"/>
                </w:tcPr>
                <w:p w14:paraId="6C1A7474">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达标</w:t>
                  </w:r>
                </w:p>
              </w:tc>
            </w:tr>
            <w:tr w14:paraId="0B1F0F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86" w:hRule="atLeast"/>
              </w:trPr>
              <w:tc>
                <w:tcPr>
                  <w:tcW w:w="336" w:type="pct"/>
                  <w:tcMar>
                    <w:left w:w="0" w:type="dxa"/>
                    <w:right w:w="0" w:type="dxa"/>
                  </w:tcMar>
                  <w:vAlign w:val="center"/>
                </w:tcPr>
                <w:p w14:paraId="708A9D80">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15</w:t>
                  </w:r>
                </w:p>
              </w:tc>
              <w:tc>
                <w:tcPr>
                  <w:tcW w:w="1301" w:type="pct"/>
                  <w:tcMar>
                    <w:left w:w="0" w:type="dxa"/>
                    <w:right w:w="0" w:type="dxa"/>
                  </w:tcMar>
                  <w:vAlign w:val="center"/>
                </w:tcPr>
                <w:p w14:paraId="2CAAA729">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1,1-二氯乙烷</w:t>
                  </w:r>
                </w:p>
              </w:tc>
              <w:tc>
                <w:tcPr>
                  <w:tcW w:w="813" w:type="pct"/>
                  <w:tcMar>
                    <w:left w:w="0" w:type="dxa"/>
                    <w:right w:w="0" w:type="dxa"/>
                  </w:tcMar>
                  <w:vAlign w:val="center"/>
                </w:tcPr>
                <w:p w14:paraId="780BD513">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9</w:t>
                  </w:r>
                </w:p>
              </w:tc>
              <w:tc>
                <w:tcPr>
                  <w:tcW w:w="849" w:type="pct"/>
                  <w:tcMar>
                    <w:left w:w="0" w:type="dxa"/>
                    <w:right w:w="0" w:type="dxa"/>
                  </w:tcMar>
                  <w:vAlign w:val="center"/>
                </w:tcPr>
                <w:p w14:paraId="43616F38">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未检出</w:t>
                  </w:r>
                </w:p>
              </w:tc>
              <w:tc>
                <w:tcPr>
                  <w:tcW w:w="849" w:type="pct"/>
                  <w:tcMar>
                    <w:left w:w="0" w:type="dxa"/>
                    <w:right w:w="0" w:type="dxa"/>
                  </w:tcMar>
                  <w:vAlign w:val="center"/>
                </w:tcPr>
                <w:p w14:paraId="2A349DB6">
                  <w:pPr>
                    <w:pStyle w:val="49"/>
                    <w:spacing w:line="360" w:lineRule="exact"/>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w:t>
                  </w:r>
                </w:p>
              </w:tc>
              <w:tc>
                <w:tcPr>
                  <w:tcW w:w="850" w:type="pct"/>
                  <w:tcMar>
                    <w:left w:w="0" w:type="dxa"/>
                    <w:right w:w="0" w:type="dxa"/>
                  </w:tcMar>
                  <w:vAlign w:val="center"/>
                </w:tcPr>
                <w:p w14:paraId="5547C833">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达标</w:t>
                  </w:r>
                </w:p>
              </w:tc>
            </w:tr>
            <w:tr w14:paraId="64A891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86" w:hRule="atLeast"/>
              </w:trPr>
              <w:tc>
                <w:tcPr>
                  <w:tcW w:w="336" w:type="pct"/>
                  <w:tcMar>
                    <w:left w:w="0" w:type="dxa"/>
                    <w:right w:w="0" w:type="dxa"/>
                  </w:tcMar>
                  <w:vAlign w:val="center"/>
                </w:tcPr>
                <w:p w14:paraId="4110E363">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16</w:t>
                  </w:r>
                </w:p>
              </w:tc>
              <w:tc>
                <w:tcPr>
                  <w:tcW w:w="1301" w:type="pct"/>
                  <w:tcMar>
                    <w:left w:w="0" w:type="dxa"/>
                    <w:right w:w="0" w:type="dxa"/>
                  </w:tcMar>
                  <w:vAlign w:val="center"/>
                </w:tcPr>
                <w:p w14:paraId="545F356C">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顺式-1,2-二氯乙烯</w:t>
                  </w:r>
                </w:p>
              </w:tc>
              <w:tc>
                <w:tcPr>
                  <w:tcW w:w="813" w:type="pct"/>
                  <w:tcMar>
                    <w:left w:w="0" w:type="dxa"/>
                    <w:right w:w="0" w:type="dxa"/>
                  </w:tcMar>
                  <w:vAlign w:val="center"/>
                </w:tcPr>
                <w:p w14:paraId="451BFF55">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596</w:t>
                  </w:r>
                </w:p>
              </w:tc>
              <w:tc>
                <w:tcPr>
                  <w:tcW w:w="849" w:type="pct"/>
                  <w:tcMar>
                    <w:left w:w="0" w:type="dxa"/>
                    <w:right w:w="0" w:type="dxa"/>
                  </w:tcMar>
                  <w:vAlign w:val="center"/>
                </w:tcPr>
                <w:p w14:paraId="41290C9A">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未检出</w:t>
                  </w:r>
                </w:p>
              </w:tc>
              <w:tc>
                <w:tcPr>
                  <w:tcW w:w="849" w:type="pct"/>
                  <w:tcMar>
                    <w:left w:w="0" w:type="dxa"/>
                    <w:right w:w="0" w:type="dxa"/>
                  </w:tcMar>
                  <w:vAlign w:val="center"/>
                </w:tcPr>
                <w:p w14:paraId="61940B94">
                  <w:pPr>
                    <w:pStyle w:val="49"/>
                    <w:spacing w:line="360" w:lineRule="exact"/>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w:t>
                  </w:r>
                </w:p>
              </w:tc>
              <w:tc>
                <w:tcPr>
                  <w:tcW w:w="850" w:type="pct"/>
                  <w:tcMar>
                    <w:left w:w="0" w:type="dxa"/>
                    <w:right w:w="0" w:type="dxa"/>
                  </w:tcMar>
                  <w:vAlign w:val="center"/>
                </w:tcPr>
                <w:p w14:paraId="0FCFA1D6">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达标</w:t>
                  </w:r>
                </w:p>
              </w:tc>
            </w:tr>
            <w:tr w14:paraId="2E94EF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86" w:hRule="atLeast"/>
              </w:trPr>
              <w:tc>
                <w:tcPr>
                  <w:tcW w:w="336" w:type="pct"/>
                  <w:tcMar>
                    <w:left w:w="0" w:type="dxa"/>
                    <w:right w:w="0" w:type="dxa"/>
                  </w:tcMar>
                  <w:vAlign w:val="center"/>
                </w:tcPr>
                <w:p w14:paraId="7209BCFB">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17</w:t>
                  </w:r>
                </w:p>
              </w:tc>
              <w:tc>
                <w:tcPr>
                  <w:tcW w:w="1301" w:type="pct"/>
                  <w:tcMar>
                    <w:left w:w="0" w:type="dxa"/>
                    <w:right w:w="0" w:type="dxa"/>
                  </w:tcMar>
                  <w:vAlign w:val="center"/>
                </w:tcPr>
                <w:p w14:paraId="29E8F1A7">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氯仿</w:t>
                  </w:r>
                </w:p>
              </w:tc>
              <w:tc>
                <w:tcPr>
                  <w:tcW w:w="813" w:type="pct"/>
                  <w:tcMar>
                    <w:left w:w="0" w:type="dxa"/>
                    <w:right w:w="0" w:type="dxa"/>
                  </w:tcMar>
                  <w:vAlign w:val="center"/>
                </w:tcPr>
                <w:p w14:paraId="216DC8BE">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0.9</w:t>
                  </w:r>
                </w:p>
              </w:tc>
              <w:tc>
                <w:tcPr>
                  <w:tcW w:w="849" w:type="pct"/>
                  <w:tcMar>
                    <w:left w:w="0" w:type="dxa"/>
                    <w:right w:w="0" w:type="dxa"/>
                  </w:tcMar>
                  <w:vAlign w:val="center"/>
                </w:tcPr>
                <w:p w14:paraId="71BAA2EB">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未检出</w:t>
                  </w:r>
                </w:p>
              </w:tc>
              <w:tc>
                <w:tcPr>
                  <w:tcW w:w="849" w:type="pct"/>
                  <w:tcMar>
                    <w:left w:w="0" w:type="dxa"/>
                    <w:right w:w="0" w:type="dxa"/>
                  </w:tcMar>
                  <w:vAlign w:val="center"/>
                </w:tcPr>
                <w:p w14:paraId="19D4A804">
                  <w:pPr>
                    <w:pStyle w:val="49"/>
                    <w:spacing w:line="360" w:lineRule="exact"/>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w:t>
                  </w:r>
                </w:p>
              </w:tc>
              <w:tc>
                <w:tcPr>
                  <w:tcW w:w="850" w:type="pct"/>
                  <w:tcMar>
                    <w:left w:w="0" w:type="dxa"/>
                    <w:right w:w="0" w:type="dxa"/>
                  </w:tcMar>
                  <w:vAlign w:val="center"/>
                </w:tcPr>
                <w:p w14:paraId="25F1999D">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达标</w:t>
                  </w:r>
                </w:p>
              </w:tc>
            </w:tr>
            <w:tr w14:paraId="2FA183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86" w:hRule="atLeast"/>
              </w:trPr>
              <w:tc>
                <w:tcPr>
                  <w:tcW w:w="336" w:type="pct"/>
                  <w:tcMar>
                    <w:left w:w="0" w:type="dxa"/>
                    <w:right w:w="0" w:type="dxa"/>
                  </w:tcMar>
                  <w:vAlign w:val="center"/>
                </w:tcPr>
                <w:p w14:paraId="0575A7BF">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18</w:t>
                  </w:r>
                </w:p>
              </w:tc>
              <w:tc>
                <w:tcPr>
                  <w:tcW w:w="1301" w:type="pct"/>
                  <w:tcMar>
                    <w:left w:w="0" w:type="dxa"/>
                    <w:right w:w="0" w:type="dxa"/>
                  </w:tcMar>
                  <w:vAlign w:val="center"/>
                </w:tcPr>
                <w:p w14:paraId="2A118A49">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1,1,1-三氯乙烷</w:t>
                  </w:r>
                </w:p>
              </w:tc>
              <w:tc>
                <w:tcPr>
                  <w:tcW w:w="813" w:type="pct"/>
                  <w:tcMar>
                    <w:left w:w="0" w:type="dxa"/>
                    <w:right w:w="0" w:type="dxa"/>
                  </w:tcMar>
                  <w:vAlign w:val="center"/>
                </w:tcPr>
                <w:p w14:paraId="0B995DDD">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840</w:t>
                  </w:r>
                </w:p>
              </w:tc>
              <w:tc>
                <w:tcPr>
                  <w:tcW w:w="849" w:type="pct"/>
                  <w:tcMar>
                    <w:left w:w="0" w:type="dxa"/>
                    <w:right w:w="0" w:type="dxa"/>
                  </w:tcMar>
                  <w:vAlign w:val="center"/>
                </w:tcPr>
                <w:p w14:paraId="4E9688C5">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未检出</w:t>
                  </w:r>
                </w:p>
              </w:tc>
              <w:tc>
                <w:tcPr>
                  <w:tcW w:w="849" w:type="pct"/>
                  <w:tcMar>
                    <w:left w:w="0" w:type="dxa"/>
                    <w:right w:w="0" w:type="dxa"/>
                  </w:tcMar>
                  <w:vAlign w:val="center"/>
                </w:tcPr>
                <w:p w14:paraId="7D5E121E">
                  <w:pPr>
                    <w:pStyle w:val="49"/>
                    <w:spacing w:line="360" w:lineRule="exact"/>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w:t>
                  </w:r>
                </w:p>
              </w:tc>
              <w:tc>
                <w:tcPr>
                  <w:tcW w:w="850" w:type="pct"/>
                  <w:tcMar>
                    <w:left w:w="0" w:type="dxa"/>
                    <w:right w:w="0" w:type="dxa"/>
                  </w:tcMar>
                  <w:vAlign w:val="center"/>
                </w:tcPr>
                <w:p w14:paraId="0B025A5B">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达标</w:t>
                  </w:r>
                </w:p>
              </w:tc>
            </w:tr>
            <w:tr w14:paraId="4AE30E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86" w:hRule="atLeast"/>
              </w:trPr>
              <w:tc>
                <w:tcPr>
                  <w:tcW w:w="336" w:type="pct"/>
                  <w:tcMar>
                    <w:left w:w="0" w:type="dxa"/>
                    <w:right w:w="0" w:type="dxa"/>
                  </w:tcMar>
                  <w:vAlign w:val="center"/>
                </w:tcPr>
                <w:p w14:paraId="3DEDEC14">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19</w:t>
                  </w:r>
                </w:p>
              </w:tc>
              <w:tc>
                <w:tcPr>
                  <w:tcW w:w="1301" w:type="pct"/>
                  <w:tcMar>
                    <w:left w:w="0" w:type="dxa"/>
                    <w:right w:w="0" w:type="dxa"/>
                  </w:tcMar>
                  <w:vAlign w:val="center"/>
                </w:tcPr>
                <w:p w14:paraId="6385ED48">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四氯化碳</w:t>
                  </w:r>
                </w:p>
              </w:tc>
              <w:tc>
                <w:tcPr>
                  <w:tcW w:w="813" w:type="pct"/>
                  <w:tcMar>
                    <w:left w:w="0" w:type="dxa"/>
                    <w:right w:w="0" w:type="dxa"/>
                  </w:tcMar>
                  <w:vAlign w:val="center"/>
                </w:tcPr>
                <w:p w14:paraId="2ED6AC8B">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2.8</w:t>
                  </w:r>
                </w:p>
              </w:tc>
              <w:tc>
                <w:tcPr>
                  <w:tcW w:w="849" w:type="pct"/>
                  <w:tcMar>
                    <w:left w:w="0" w:type="dxa"/>
                    <w:right w:w="0" w:type="dxa"/>
                  </w:tcMar>
                  <w:vAlign w:val="center"/>
                </w:tcPr>
                <w:p w14:paraId="638BC3EA">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未检出</w:t>
                  </w:r>
                </w:p>
              </w:tc>
              <w:tc>
                <w:tcPr>
                  <w:tcW w:w="849" w:type="pct"/>
                  <w:tcMar>
                    <w:left w:w="0" w:type="dxa"/>
                    <w:right w:w="0" w:type="dxa"/>
                  </w:tcMar>
                  <w:vAlign w:val="center"/>
                </w:tcPr>
                <w:p w14:paraId="0467AFBB">
                  <w:pPr>
                    <w:pStyle w:val="49"/>
                    <w:spacing w:line="360" w:lineRule="exact"/>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w:t>
                  </w:r>
                </w:p>
              </w:tc>
              <w:tc>
                <w:tcPr>
                  <w:tcW w:w="850" w:type="pct"/>
                  <w:tcMar>
                    <w:left w:w="0" w:type="dxa"/>
                    <w:right w:w="0" w:type="dxa"/>
                  </w:tcMar>
                  <w:vAlign w:val="center"/>
                </w:tcPr>
                <w:p w14:paraId="76886E8C">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达标</w:t>
                  </w:r>
                </w:p>
              </w:tc>
            </w:tr>
            <w:tr w14:paraId="3ADC8B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86" w:hRule="atLeast"/>
              </w:trPr>
              <w:tc>
                <w:tcPr>
                  <w:tcW w:w="336" w:type="pct"/>
                  <w:tcMar>
                    <w:left w:w="0" w:type="dxa"/>
                    <w:right w:w="0" w:type="dxa"/>
                  </w:tcMar>
                  <w:vAlign w:val="center"/>
                </w:tcPr>
                <w:p w14:paraId="6A05D258">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20</w:t>
                  </w:r>
                </w:p>
              </w:tc>
              <w:tc>
                <w:tcPr>
                  <w:tcW w:w="1301" w:type="pct"/>
                  <w:tcMar>
                    <w:left w:w="0" w:type="dxa"/>
                    <w:right w:w="0" w:type="dxa"/>
                  </w:tcMar>
                  <w:vAlign w:val="center"/>
                </w:tcPr>
                <w:p w14:paraId="0ABD0706">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苯</w:t>
                  </w:r>
                </w:p>
              </w:tc>
              <w:tc>
                <w:tcPr>
                  <w:tcW w:w="813" w:type="pct"/>
                  <w:tcMar>
                    <w:left w:w="0" w:type="dxa"/>
                    <w:right w:w="0" w:type="dxa"/>
                  </w:tcMar>
                  <w:vAlign w:val="center"/>
                </w:tcPr>
                <w:p w14:paraId="3F3933E5">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4</w:t>
                  </w:r>
                </w:p>
              </w:tc>
              <w:tc>
                <w:tcPr>
                  <w:tcW w:w="849" w:type="pct"/>
                  <w:tcMar>
                    <w:left w:w="0" w:type="dxa"/>
                    <w:right w:w="0" w:type="dxa"/>
                  </w:tcMar>
                  <w:vAlign w:val="center"/>
                </w:tcPr>
                <w:p w14:paraId="6D72E82B">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未检出</w:t>
                  </w:r>
                </w:p>
              </w:tc>
              <w:tc>
                <w:tcPr>
                  <w:tcW w:w="849" w:type="pct"/>
                  <w:tcMar>
                    <w:left w:w="0" w:type="dxa"/>
                    <w:right w:w="0" w:type="dxa"/>
                  </w:tcMar>
                  <w:vAlign w:val="center"/>
                </w:tcPr>
                <w:p w14:paraId="5BF84103">
                  <w:pPr>
                    <w:pStyle w:val="49"/>
                    <w:spacing w:line="360" w:lineRule="exact"/>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w:t>
                  </w:r>
                </w:p>
              </w:tc>
              <w:tc>
                <w:tcPr>
                  <w:tcW w:w="850" w:type="pct"/>
                  <w:tcMar>
                    <w:left w:w="0" w:type="dxa"/>
                    <w:right w:w="0" w:type="dxa"/>
                  </w:tcMar>
                  <w:vAlign w:val="center"/>
                </w:tcPr>
                <w:p w14:paraId="611C4A0E">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达标</w:t>
                  </w:r>
                </w:p>
              </w:tc>
            </w:tr>
            <w:tr w14:paraId="0E0B5A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86" w:hRule="atLeast"/>
              </w:trPr>
              <w:tc>
                <w:tcPr>
                  <w:tcW w:w="336" w:type="pct"/>
                  <w:tcMar>
                    <w:left w:w="0" w:type="dxa"/>
                    <w:right w:w="0" w:type="dxa"/>
                  </w:tcMar>
                  <w:vAlign w:val="center"/>
                </w:tcPr>
                <w:p w14:paraId="4E18B33A">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21</w:t>
                  </w:r>
                </w:p>
              </w:tc>
              <w:tc>
                <w:tcPr>
                  <w:tcW w:w="1301" w:type="pct"/>
                  <w:tcMar>
                    <w:left w:w="0" w:type="dxa"/>
                    <w:right w:w="0" w:type="dxa"/>
                  </w:tcMar>
                  <w:vAlign w:val="center"/>
                </w:tcPr>
                <w:p w14:paraId="5BFA025E">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1,2-二氯乙烷</w:t>
                  </w:r>
                </w:p>
              </w:tc>
              <w:tc>
                <w:tcPr>
                  <w:tcW w:w="813" w:type="pct"/>
                  <w:tcMar>
                    <w:left w:w="0" w:type="dxa"/>
                    <w:right w:w="0" w:type="dxa"/>
                  </w:tcMar>
                  <w:vAlign w:val="center"/>
                </w:tcPr>
                <w:p w14:paraId="56274EB7">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5</w:t>
                  </w:r>
                </w:p>
              </w:tc>
              <w:tc>
                <w:tcPr>
                  <w:tcW w:w="849" w:type="pct"/>
                  <w:tcMar>
                    <w:left w:w="0" w:type="dxa"/>
                    <w:right w:w="0" w:type="dxa"/>
                  </w:tcMar>
                  <w:vAlign w:val="center"/>
                </w:tcPr>
                <w:p w14:paraId="6AAC8403">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未检出</w:t>
                  </w:r>
                </w:p>
              </w:tc>
              <w:tc>
                <w:tcPr>
                  <w:tcW w:w="849" w:type="pct"/>
                  <w:tcMar>
                    <w:left w:w="0" w:type="dxa"/>
                    <w:right w:w="0" w:type="dxa"/>
                  </w:tcMar>
                  <w:vAlign w:val="center"/>
                </w:tcPr>
                <w:p w14:paraId="39C1D31C">
                  <w:pPr>
                    <w:pStyle w:val="49"/>
                    <w:spacing w:line="360" w:lineRule="exact"/>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w:t>
                  </w:r>
                </w:p>
              </w:tc>
              <w:tc>
                <w:tcPr>
                  <w:tcW w:w="850" w:type="pct"/>
                  <w:tcMar>
                    <w:left w:w="0" w:type="dxa"/>
                    <w:right w:w="0" w:type="dxa"/>
                  </w:tcMar>
                  <w:vAlign w:val="center"/>
                </w:tcPr>
                <w:p w14:paraId="2C08EA5F">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达标</w:t>
                  </w:r>
                </w:p>
              </w:tc>
            </w:tr>
            <w:tr w14:paraId="13476D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86" w:hRule="atLeast"/>
              </w:trPr>
              <w:tc>
                <w:tcPr>
                  <w:tcW w:w="336" w:type="pct"/>
                  <w:tcMar>
                    <w:left w:w="0" w:type="dxa"/>
                    <w:right w:w="0" w:type="dxa"/>
                  </w:tcMar>
                  <w:vAlign w:val="center"/>
                </w:tcPr>
                <w:p w14:paraId="1987F129">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22</w:t>
                  </w:r>
                </w:p>
              </w:tc>
              <w:tc>
                <w:tcPr>
                  <w:tcW w:w="1301" w:type="pct"/>
                  <w:tcMar>
                    <w:left w:w="0" w:type="dxa"/>
                    <w:right w:w="0" w:type="dxa"/>
                  </w:tcMar>
                  <w:vAlign w:val="center"/>
                </w:tcPr>
                <w:p w14:paraId="7FFD4033">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三氯乙烯</w:t>
                  </w:r>
                </w:p>
              </w:tc>
              <w:tc>
                <w:tcPr>
                  <w:tcW w:w="813" w:type="pct"/>
                  <w:tcMar>
                    <w:left w:w="0" w:type="dxa"/>
                    <w:right w:w="0" w:type="dxa"/>
                  </w:tcMar>
                  <w:vAlign w:val="center"/>
                </w:tcPr>
                <w:p w14:paraId="2AB601CA">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2.8</w:t>
                  </w:r>
                </w:p>
              </w:tc>
              <w:tc>
                <w:tcPr>
                  <w:tcW w:w="849" w:type="pct"/>
                  <w:tcMar>
                    <w:left w:w="0" w:type="dxa"/>
                    <w:right w:w="0" w:type="dxa"/>
                  </w:tcMar>
                  <w:vAlign w:val="center"/>
                </w:tcPr>
                <w:p w14:paraId="419B5A69">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未检出</w:t>
                  </w:r>
                </w:p>
              </w:tc>
              <w:tc>
                <w:tcPr>
                  <w:tcW w:w="849" w:type="pct"/>
                  <w:tcMar>
                    <w:left w:w="0" w:type="dxa"/>
                    <w:right w:w="0" w:type="dxa"/>
                  </w:tcMar>
                  <w:vAlign w:val="center"/>
                </w:tcPr>
                <w:p w14:paraId="2A8BCBC4">
                  <w:pPr>
                    <w:pStyle w:val="49"/>
                    <w:spacing w:line="360" w:lineRule="exact"/>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w:t>
                  </w:r>
                </w:p>
              </w:tc>
              <w:tc>
                <w:tcPr>
                  <w:tcW w:w="850" w:type="pct"/>
                  <w:tcMar>
                    <w:left w:w="0" w:type="dxa"/>
                    <w:right w:w="0" w:type="dxa"/>
                  </w:tcMar>
                  <w:vAlign w:val="center"/>
                </w:tcPr>
                <w:p w14:paraId="6129AFBF">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达标</w:t>
                  </w:r>
                </w:p>
              </w:tc>
            </w:tr>
            <w:tr w14:paraId="685A06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86" w:hRule="atLeast"/>
              </w:trPr>
              <w:tc>
                <w:tcPr>
                  <w:tcW w:w="336" w:type="pct"/>
                  <w:tcMar>
                    <w:left w:w="0" w:type="dxa"/>
                    <w:right w:w="0" w:type="dxa"/>
                  </w:tcMar>
                  <w:vAlign w:val="center"/>
                </w:tcPr>
                <w:p w14:paraId="37513077">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23</w:t>
                  </w:r>
                </w:p>
              </w:tc>
              <w:tc>
                <w:tcPr>
                  <w:tcW w:w="1301" w:type="pct"/>
                  <w:tcMar>
                    <w:left w:w="0" w:type="dxa"/>
                    <w:right w:w="0" w:type="dxa"/>
                  </w:tcMar>
                  <w:vAlign w:val="center"/>
                </w:tcPr>
                <w:p w14:paraId="656F6F70">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1,2-二氯丙烷</w:t>
                  </w:r>
                </w:p>
              </w:tc>
              <w:tc>
                <w:tcPr>
                  <w:tcW w:w="813" w:type="pct"/>
                  <w:tcMar>
                    <w:left w:w="0" w:type="dxa"/>
                    <w:right w:w="0" w:type="dxa"/>
                  </w:tcMar>
                  <w:vAlign w:val="center"/>
                </w:tcPr>
                <w:p w14:paraId="2EE0DF3C">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5</w:t>
                  </w:r>
                </w:p>
              </w:tc>
              <w:tc>
                <w:tcPr>
                  <w:tcW w:w="849" w:type="pct"/>
                  <w:tcMar>
                    <w:left w:w="0" w:type="dxa"/>
                    <w:right w:w="0" w:type="dxa"/>
                  </w:tcMar>
                  <w:vAlign w:val="center"/>
                </w:tcPr>
                <w:p w14:paraId="03933288">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未检出</w:t>
                  </w:r>
                </w:p>
              </w:tc>
              <w:tc>
                <w:tcPr>
                  <w:tcW w:w="849" w:type="pct"/>
                  <w:tcMar>
                    <w:left w:w="0" w:type="dxa"/>
                    <w:right w:w="0" w:type="dxa"/>
                  </w:tcMar>
                  <w:vAlign w:val="center"/>
                </w:tcPr>
                <w:p w14:paraId="49BE37F1">
                  <w:pPr>
                    <w:pStyle w:val="49"/>
                    <w:spacing w:line="360" w:lineRule="exact"/>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w:t>
                  </w:r>
                </w:p>
              </w:tc>
              <w:tc>
                <w:tcPr>
                  <w:tcW w:w="850" w:type="pct"/>
                  <w:tcMar>
                    <w:left w:w="0" w:type="dxa"/>
                    <w:right w:w="0" w:type="dxa"/>
                  </w:tcMar>
                  <w:vAlign w:val="center"/>
                </w:tcPr>
                <w:p w14:paraId="22234397">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达标</w:t>
                  </w:r>
                </w:p>
              </w:tc>
            </w:tr>
            <w:tr w14:paraId="33E9AD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86" w:hRule="atLeast"/>
              </w:trPr>
              <w:tc>
                <w:tcPr>
                  <w:tcW w:w="336" w:type="pct"/>
                  <w:tcMar>
                    <w:left w:w="0" w:type="dxa"/>
                    <w:right w:w="0" w:type="dxa"/>
                  </w:tcMar>
                  <w:vAlign w:val="center"/>
                </w:tcPr>
                <w:p w14:paraId="07CD6144">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24</w:t>
                  </w:r>
                </w:p>
              </w:tc>
              <w:tc>
                <w:tcPr>
                  <w:tcW w:w="1301" w:type="pct"/>
                  <w:tcMar>
                    <w:left w:w="0" w:type="dxa"/>
                    <w:right w:w="0" w:type="dxa"/>
                  </w:tcMar>
                  <w:vAlign w:val="center"/>
                </w:tcPr>
                <w:p w14:paraId="5DB589FB">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甲苯</w:t>
                  </w:r>
                </w:p>
              </w:tc>
              <w:tc>
                <w:tcPr>
                  <w:tcW w:w="813" w:type="pct"/>
                  <w:tcMar>
                    <w:left w:w="0" w:type="dxa"/>
                    <w:right w:w="0" w:type="dxa"/>
                  </w:tcMar>
                  <w:vAlign w:val="center"/>
                </w:tcPr>
                <w:p w14:paraId="26D00893">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1200</w:t>
                  </w:r>
                </w:p>
              </w:tc>
              <w:tc>
                <w:tcPr>
                  <w:tcW w:w="849" w:type="pct"/>
                  <w:tcMar>
                    <w:left w:w="0" w:type="dxa"/>
                    <w:right w:w="0" w:type="dxa"/>
                  </w:tcMar>
                  <w:vAlign w:val="center"/>
                </w:tcPr>
                <w:p w14:paraId="69412301">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未检出</w:t>
                  </w:r>
                </w:p>
              </w:tc>
              <w:tc>
                <w:tcPr>
                  <w:tcW w:w="849" w:type="pct"/>
                  <w:tcMar>
                    <w:left w:w="0" w:type="dxa"/>
                    <w:right w:w="0" w:type="dxa"/>
                  </w:tcMar>
                  <w:vAlign w:val="center"/>
                </w:tcPr>
                <w:p w14:paraId="5465E114">
                  <w:pPr>
                    <w:pStyle w:val="49"/>
                    <w:spacing w:line="360" w:lineRule="exact"/>
                    <w:ind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w:t>
                  </w:r>
                </w:p>
              </w:tc>
              <w:tc>
                <w:tcPr>
                  <w:tcW w:w="850" w:type="pct"/>
                  <w:tcMar>
                    <w:left w:w="0" w:type="dxa"/>
                    <w:right w:w="0" w:type="dxa"/>
                  </w:tcMar>
                  <w:vAlign w:val="center"/>
                </w:tcPr>
                <w:p w14:paraId="0BAC654B">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达标</w:t>
                  </w:r>
                </w:p>
              </w:tc>
            </w:tr>
            <w:tr w14:paraId="6A5C9E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86" w:hRule="atLeast"/>
              </w:trPr>
              <w:tc>
                <w:tcPr>
                  <w:tcW w:w="336" w:type="pct"/>
                  <w:tcMar>
                    <w:left w:w="0" w:type="dxa"/>
                    <w:right w:w="0" w:type="dxa"/>
                  </w:tcMar>
                  <w:vAlign w:val="center"/>
                </w:tcPr>
                <w:p w14:paraId="2EB4E3CC">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25</w:t>
                  </w:r>
                </w:p>
              </w:tc>
              <w:tc>
                <w:tcPr>
                  <w:tcW w:w="1301" w:type="pct"/>
                  <w:tcMar>
                    <w:left w:w="0" w:type="dxa"/>
                    <w:right w:w="0" w:type="dxa"/>
                  </w:tcMar>
                  <w:vAlign w:val="center"/>
                </w:tcPr>
                <w:p w14:paraId="40A04947">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1,1,2-三氯乙烷</w:t>
                  </w:r>
                </w:p>
              </w:tc>
              <w:tc>
                <w:tcPr>
                  <w:tcW w:w="813" w:type="pct"/>
                  <w:tcMar>
                    <w:left w:w="0" w:type="dxa"/>
                    <w:right w:w="0" w:type="dxa"/>
                  </w:tcMar>
                  <w:vAlign w:val="center"/>
                </w:tcPr>
                <w:p w14:paraId="5FBCBA26">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2.8</w:t>
                  </w:r>
                </w:p>
              </w:tc>
              <w:tc>
                <w:tcPr>
                  <w:tcW w:w="849" w:type="pct"/>
                  <w:tcMar>
                    <w:left w:w="0" w:type="dxa"/>
                    <w:right w:w="0" w:type="dxa"/>
                  </w:tcMar>
                  <w:vAlign w:val="center"/>
                </w:tcPr>
                <w:p w14:paraId="3D6B8589">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未检出</w:t>
                  </w:r>
                </w:p>
              </w:tc>
              <w:tc>
                <w:tcPr>
                  <w:tcW w:w="849" w:type="pct"/>
                  <w:tcMar>
                    <w:left w:w="0" w:type="dxa"/>
                    <w:right w:w="0" w:type="dxa"/>
                  </w:tcMar>
                  <w:vAlign w:val="center"/>
                </w:tcPr>
                <w:p w14:paraId="112430CD">
                  <w:pPr>
                    <w:pStyle w:val="49"/>
                    <w:spacing w:line="360" w:lineRule="exact"/>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w:t>
                  </w:r>
                </w:p>
              </w:tc>
              <w:tc>
                <w:tcPr>
                  <w:tcW w:w="850" w:type="pct"/>
                  <w:tcMar>
                    <w:left w:w="0" w:type="dxa"/>
                    <w:right w:w="0" w:type="dxa"/>
                  </w:tcMar>
                  <w:vAlign w:val="center"/>
                </w:tcPr>
                <w:p w14:paraId="7232C050">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达标</w:t>
                  </w:r>
                </w:p>
              </w:tc>
            </w:tr>
            <w:tr w14:paraId="237592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86" w:hRule="atLeast"/>
              </w:trPr>
              <w:tc>
                <w:tcPr>
                  <w:tcW w:w="336" w:type="pct"/>
                  <w:tcMar>
                    <w:left w:w="0" w:type="dxa"/>
                    <w:right w:w="0" w:type="dxa"/>
                  </w:tcMar>
                  <w:vAlign w:val="center"/>
                </w:tcPr>
                <w:p w14:paraId="56FDD0E9">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26</w:t>
                  </w:r>
                </w:p>
              </w:tc>
              <w:tc>
                <w:tcPr>
                  <w:tcW w:w="1301" w:type="pct"/>
                  <w:tcMar>
                    <w:left w:w="0" w:type="dxa"/>
                    <w:right w:w="0" w:type="dxa"/>
                  </w:tcMar>
                  <w:vAlign w:val="center"/>
                </w:tcPr>
                <w:p w14:paraId="0ECAB452">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四氯乙烯</w:t>
                  </w:r>
                </w:p>
              </w:tc>
              <w:tc>
                <w:tcPr>
                  <w:tcW w:w="813" w:type="pct"/>
                  <w:tcMar>
                    <w:left w:w="0" w:type="dxa"/>
                    <w:right w:w="0" w:type="dxa"/>
                  </w:tcMar>
                  <w:vAlign w:val="center"/>
                </w:tcPr>
                <w:p w14:paraId="114894F2">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53</w:t>
                  </w:r>
                </w:p>
              </w:tc>
              <w:tc>
                <w:tcPr>
                  <w:tcW w:w="849" w:type="pct"/>
                  <w:tcMar>
                    <w:left w:w="0" w:type="dxa"/>
                    <w:right w:w="0" w:type="dxa"/>
                  </w:tcMar>
                  <w:vAlign w:val="center"/>
                </w:tcPr>
                <w:p w14:paraId="3CBC044B">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未检出</w:t>
                  </w:r>
                </w:p>
              </w:tc>
              <w:tc>
                <w:tcPr>
                  <w:tcW w:w="849" w:type="pct"/>
                  <w:tcMar>
                    <w:left w:w="0" w:type="dxa"/>
                    <w:right w:w="0" w:type="dxa"/>
                  </w:tcMar>
                  <w:vAlign w:val="center"/>
                </w:tcPr>
                <w:p w14:paraId="35CE5417">
                  <w:pPr>
                    <w:pStyle w:val="49"/>
                    <w:spacing w:line="360" w:lineRule="exact"/>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w:t>
                  </w:r>
                </w:p>
              </w:tc>
              <w:tc>
                <w:tcPr>
                  <w:tcW w:w="850" w:type="pct"/>
                  <w:tcMar>
                    <w:left w:w="0" w:type="dxa"/>
                    <w:right w:w="0" w:type="dxa"/>
                  </w:tcMar>
                  <w:vAlign w:val="center"/>
                </w:tcPr>
                <w:p w14:paraId="4D135D78">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达标</w:t>
                  </w:r>
                </w:p>
              </w:tc>
            </w:tr>
            <w:tr w14:paraId="718953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86" w:hRule="atLeast"/>
              </w:trPr>
              <w:tc>
                <w:tcPr>
                  <w:tcW w:w="336" w:type="pct"/>
                  <w:tcMar>
                    <w:left w:w="0" w:type="dxa"/>
                    <w:right w:w="0" w:type="dxa"/>
                  </w:tcMar>
                  <w:vAlign w:val="center"/>
                </w:tcPr>
                <w:p w14:paraId="7AAB2281">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27</w:t>
                  </w:r>
                </w:p>
              </w:tc>
              <w:tc>
                <w:tcPr>
                  <w:tcW w:w="1301" w:type="pct"/>
                  <w:tcMar>
                    <w:left w:w="0" w:type="dxa"/>
                    <w:right w:w="0" w:type="dxa"/>
                  </w:tcMar>
                  <w:vAlign w:val="center"/>
                </w:tcPr>
                <w:p w14:paraId="760BE705">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氯苯</w:t>
                  </w:r>
                </w:p>
              </w:tc>
              <w:tc>
                <w:tcPr>
                  <w:tcW w:w="813" w:type="pct"/>
                  <w:tcMar>
                    <w:left w:w="0" w:type="dxa"/>
                    <w:right w:w="0" w:type="dxa"/>
                  </w:tcMar>
                  <w:vAlign w:val="center"/>
                </w:tcPr>
                <w:p w14:paraId="70421015">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270</w:t>
                  </w:r>
                </w:p>
              </w:tc>
              <w:tc>
                <w:tcPr>
                  <w:tcW w:w="849" w:type="pct"/>
                  <w:tcMar>
                    <w:left w:w="0" w:type="dxa"/>
                    <w:right w:w="0" w:type="dxa"/>
                  </w:tcMar>
                  <w:vAlign w:val="center"/>
                </w:tcPr>
                <w:p w14:paraId="23B7A983">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未检出</w:t>
                  </w:r>
                </w:p>
              </w:tc>
              <w:tc>
                <w:tcPr>
                  <w:tcW w:w="849" w:type="pct"/>
                  <w:tcMar>
                    <w:left w:w="0" w:type="dxa"/>
                    <w:right w:w="0" w:type="dxa"/>
                  </w:tcMar>
                  <w:vAlign w:val="center"/>
                </w:tcPr>
                <w:p w14:paraId="1F5D0F48">
                  <w:pPr>
                    <w:pStyle w:val="49"/>
                    <w:spacing w:line="360" w:lineRule="exact"/>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w:t>
                  </w:r>
                </w:p>
              </w:tc>
              <w:tc>
                <w:tcPr>
                  <w:tcW w:w="850" w:type="pct"/>
                  <w:tcMar>
                    <w:left w:w="0" w:type="dxa"/>
                    <w:right w:w="0" w:type="dxa"/>
                  </w:tcMar>
                  <w:vAlign w:val="center"/>
                </w:tcPr>
                <w:p w14:paraId="58BCAEEC">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达标</w:t>
                  </w:r>
                </w:p>
              </w:tc>
            </w:tr>
            <w:tr w14:paraId="2265FC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86" w:hRule="atLeast"/>
              </w:trPr>
              <w:tc>
                <w:tcPr>
                  <w:tcW w:w="336" w:type="pct"/>
                  <w:tcMar>
                    <w:left w:w="0" w:type="dxa"/>
                    <w:right w:w="0" w:type="dxa"/>
                  </w:tcMar>
                  <w:vAlign w:val="center"/>
                </w:tcPr>
                <w:p w14:paraId="4EE58260">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28</w:t>
                  </w:r>
                </w:p>
              </w:tc>
              <w:tc>
                <w:tcPr>
                  <w:tcW w:w="1301" w:type="pct"/>
                  <w:tcMar>
                    <w:left w:w="0" w:type="dxa"/>
                    <w:right w:w="0" w:type="dxa"/>
                  </w:tcMar>
                  <w:vAlign w:val="center"/>
                </w:tcPr>
                <w:p w14:paraId="2760320D">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乙苯</w:t>
                  </w:r>
                </w:p>
              </w:tc>
              <w:tc>
                <w:tcPr>
                  <w:tcW w:w="813" w:type="pct"/>
                  <w:tcMar>
                    <w:left w:w="0" w:type="dxa"/>
                    <w:right w:w="0" w:type="dxa"/>
                  </w:tcMar>
                  <w:vAlign w:val="center"/>
                </w:tcPr>
                <w:p w14:paraId="390B9C63">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28</w:t>
                  </w:r>
                </w:p>
              </w:tc>
              <w:tc>
                <w:tcPr>
                  <w:tcW w:w="849" w:type="pct"/>
                  <w:tcMar>
                    <w:left w:w="0" w:type="dxa"/>
                    <w:right w:w="0" w:type="dxa"/>
                  </w:tcMar>
                  <w:vAlign w:val="center"/>
                </w:tcPr>
                <w:p w14:paraId="6A9B9A23">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未检出</w:t>
                  </w:r>
                </w:p>
              </w:tc>
              <w:tc>
                <w:tcPr>
                  <w:tcW w:w="849" w:type="pct"/>
                  <w:tcMar>
                    <w:left w:w="0" w:type="dxa"/>
                    <w:right w:w="0" w:type="dxa"/>
                  </w:tcMar>
                  <w:vAlign w:val="center"/>
                </w:tcPr>
                <w:p w14:paraId="39751D5F">
                  <w:pPr>
                    <w:pStyle w:val="49"/>
                    <w:spacing w:line="360" w:lineRule="exact"/>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w:t>
                  </w:r>
                </w:p>
              </w:tc>
              <w:tc>
                <w:tcPr>
                  <w:tcW w:w="850" w:type="pct"/>
                  <w:tcMar>
                    <w:left w:w="0" w:type="dxa"/>
                    <w:right w:w="0" w:type="dxa"/>
                  </w:tcMar>
                  <w:vAlign w:val="center"/>
                </w:tcPr>
                <w:p w14:paraId="661F0D05">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达标</w:t>
                  </w:r>
                </w:p>
              </w:tc>
            </w:tr>
            <w:tr w14:paraId="7182D8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86" w:hRule="atLeast"/>
              </w:trPr>
              <w:tc>
                <w:tcPr>
                  <w:tcW w:w="336" w:type="pct"/>
                  <w:tcMar>
                    <w:left w:w="0" w:type="dxa"/>
                    <w:right w:w="0" w:type="dxa"/>
                  </w:tcMar>
                  <w:vAlign w:val="center"/>
                </w:tcPr>
                <w:p w14:paraId="3C6AE244">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29</w:t>
                  </w:r>
                </w:p>
              </w:tc>
              <w:tc>
                <w:tcPr>
                  <w:tcW w:w="1301" w:type="pct"/>
                  <w:tcMar>
                    <w:left w:w="0" w:type="dxa"/>
                    <w:right w:w="0" w:type="dxa"/>
                  </w:tcMar>
                  <w:vAlign w:val="center"/>
                </w:tcPr>
                <w:p w14:paraId="2606206A">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1,1,1,2-四氯乙烷</w:t>
                  </w:r>
                </w:p>
              </w:tc>
              <w:tc>
                <w:tcPr>
                  <w:tcW w:w="813" w:type="pct"/>
                  <w:tcMar>
                    <w:left w:w="0" w:type="dxa"/>
                    <w:right w:w="0" w:type="dxa"/>
                  </w:tcMar>
                  <w:vAlign w:val="center"/>
                </w:tcPr>
                <w:p w14:paraId="7D70E873">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10</w:t>
                  </w:r>
                </w:p>
              </w:tc>
              <w:tc>
                <w:tcPr>
                  <w:tcW w:w="849" w:type="pct"/>
                  <w:tcMar>
                    <w:left w:w="0" w:type="dxa"/>
                    <w:right w:w="0" w:type="dxa"/>
                  </w:tcMar>
                  <w:vAlign w:val="center"/>
                </w:tcPr>
                <w:p w14:paraId="78F35681">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未检出</w:t>
                  </w:r>
                </w:p>
              </w:tc>
              <w:tc>
                <w:tcPr>
                  <w:tcW w:w="849" w:type="pct"/>
                  <w:tcMar>
                    <w:left w:w="0" w:type="dxa"/>
                    <w:right w:w="0" w:type="dxa"/>
                  </w:tcMar>
                  <w:vAlign w:val="center"/>
                </w:tcPr>
                <w:p w14:paraId="6F5ECBB5">
                  <w:pPr>
                    <w:pStyle w:val="49"/>
                    <w:spacing w:line="360" w:lineRule="exact"/>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w:t>
                  </w:r>
                </w:p>
              </w:tc>
              <w:tc>
                <w:tcPr>
                  <w:tcW w:w="850" w:type="pct"/>
                  <w:tcMar>
                    <w:left w:w="0" w:type="dxa"/>
                    <w:right w:w="0" w:type="dxa"/>
                  </w:tcMar>
                  <w:vAlign w:val="center"/>
                </w:tcPr>
                <w:p w14:paraId="29B10AFF">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达标</w:t>
                  </w:r>
                </w:p>
              </w:tc>
            </w:tr>
            <w:tr w14:paraId="1FABB5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86" w:hRule="atLeast"/>
              </w:trPr>
              <w:tc>
                <w:tcPr>
                  <w:tcW w:w="336" w:type="pct"/>
                  <w:tcMar>
                    <w:left w:w="0" w:type="dxa"/>
                    <w:right w:w="0" w:type="dxa"/>
                  </w:tcMar>
                  <w:vAlign w:val="center"/>
                </w:tcPr>
                <w:p w14:paraId="589F92C5">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30</w:t>
                  </w:r>
                </w:p>
              </w:tc>
              <w:tc>
                <w:tcPr>
                  <w:tcW w:w="1301" w:type="pct"/>
                  <w:tcMar>
                    <w:left w:w="0" w:type="dxa"/>
                    <w:right w:w="0" w:type="dxa"/>
                  </w:tcMar>
                  <w:vAlign w:val="center"/>
                </w:tcPr>
                <w:p w14:paraId="03AD9FEC">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间，对-二甲苯</w:t>
                  </w:r>
                </w:p>
              </w:tc>
              <w:tc>
                <w:tcPr>
                  <w:tcW w:w="813" w:type="pct"/>
                  <w:tcMar>
                    <w:left w:w="0" w:type="dxa"/>
                    <w:right w:w="0" w:type="dxa"/>
                  </w:tcMar>
                  <w:vAlign w:val="center"/>
                </w:tcPr>
                <w:p w14:paraId="1F0BA0A1">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570</w:t>
                  </w:r>
                </w:p>
              </w:tc>
              <w:tc>
                <w:tcPr>
                  <w:tcW w:w="849" w:type="pct"/>
                  <w:tcMar>
                    <w:left w:w="0" w:type="dxa"/>
                    <w:right w:w="0" w:type="dxa"/>
                  </w:tcMar>
                  <w:vAlign w:val="center"/>
                </w:tcPr>
                <w:p w14:paraId="349C108E">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未检出</w:t>
                  </w:r>
                </w:p>
              </w:tc>
              <w:tc>
                <w:tcPr>
                  <w:tcW w:w="849" w:type="pct"/>
                  <w:tcMar>
                    <w:left w:w="0" w:type="dxa"/>
                    <w:right w:w="0" w:type="dxa"/>
                  </w:tcMar>
                  <w:vAlign w:val="center"/>
                </w:tcPr>
                <w:p w14:paraId="00654877">
                  <w:pPr>
                    <w:pStyle w:val="49"/>
                    <w:spacing w:line="360" w:lineRule="exact"/>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w:t>
                  </w:r>
                </w:p>
              </w:tc>
              <w:tc>
                <w:tcPr>
                  <w:tcW w:w="850" w:type="pct"/>
                  <w:tcMar>
                    <w:left w:w="0" w:type="dxa"/>
                    <w:right w:w="0" w:type="dxa"/>
                  </w:tcMar>
                  <w:vAlign w:val="center"/>
                </w:tcPr>
                <w:p w14:paraId="185D1CAD">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达标</w:t>
                  </w:r>
                </w:p>
              </w:tc>
            </w:tr>
            <w:tr w14:paraId="5DA0C7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86" w:hRule="atLeast"/>
              </w:trPr>
              <w:tc>
                <w:tcPr>
                  <w:tcW w:w="336" w:type="pct"/>
                  <w:tcMar>
                    <w:left w:w="0" w:type="dxa"/>
                    <w:right w:w="0" w:type="dxa"/>
                  </w:tcMar>
                  <w:vAlign w:val="center"/>
                </w:tcPr>
                <w:p w14:paraId="2074F018">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31</w:t>
                  </w:r>
                </w:p>
              </w:tc>
              <w:tc>
                <w:tcPr>
                  <w:tcW w:w="1301" w:type="pct"/>
                  <w:tcMar>
                    <w:left w:w="0" w:type="dxa"/>
                    <w:right w:w="0" w:type="dxa"/>
                  </w:tcMar>
                  <w:vAlign w:val="center"/>
                </w:tcPr>
                <w:p w14:paraId="4B179537">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邻二甲苯</w:t>
                  </w:r>
                </w:p>
              </w:tc>
              <w:tc>
                <w:tcPr>
                  <w:tcW w:w="813" w:type="pct"/>
                  <w:tcMar>
                    <w:left w:w="0" w:type="dxa"/>
                    <w:right w:w="0" w:type="dxa"/>
                  </w:tcMar>
                  <w:vAlign w:val="center"/>
                </w:tcPr>
                <w:p w14:paraId="5D5DBF37">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640</w:t>
                  </w:r>
                </w:p>
              </w:tc>
              <w:tc>
                <w:tcPr>
                  <w:tcW w:w="849" w:type="pct"/>
                  <w:tcMar>
                    <w:left w:w="0" w:type="dxa"/>
                    <w:right w:w="0" w:type="dxa"/>
                  </w:tcMar>
                  <w:vAlign w:val="center"/>
                </w:tcPr>
                <w:p w14:paraId="35FCEBA2">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未检出</w:t>
                  </w:r>
                </w:p>
              </w:tc>
              <w:tc>
                <w:tcPr>
                  <w:tcW w:w="849" w:type="pct"/>
                  <w:tcMar>
                    <w:left w:w="0" w:type="dxa"/>
                    <w:right w:w="0" w:type="dxa"/>
                  </w:tcMar>
                  <w:vAlign w:val="center"/>
                </w:tcPr>
                <w:p w14:paraId="7630F88D">
                  <w:pPr>
                    <w:pStyle w:val="49"/>
                    <w:spacing w:line="360" w:lineRule="exact"/>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w:t>
                  </w:r>
                </w:p>
              </w:tc>
              <w:tc>
                <w:tcPr>
                  <w:tcW w:w="850" w:type="pct"/>
                  <w:tcMar>
                    <w:left w:w="0" w:type="dxa"/>
                    <w:right w:w="0" w:type="dxa"/>
                  </w:tcMar>
                  <w:vAlign w:val="center"/>
                </w:tcPr>
                <w:p w14:paraId="4576D7D0">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达标</w:t>
                  </w:r>
                </w:p>
              </w:tc>
            </w:tr>
            <w:tr w14:paraId="1584DD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86" w:hRule="atLeast"/>
              </w:trPr>
              <w:tc>
                <w:tcPr>
                  <w:tcW w:w="336" w:type="pct"/>
                  <w:tcMar>
                    <w:left w:w="0" w:type="dxa"/>
                    <w:right w:w="0" w:type="dxa"/>
                  </w:tcMar>
                  <w:vAlign w:val="center"/>
                </w:tcPr>
                <w:p w14:paraId="675A15A8">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32</w:t>
                  </w:r>
                </w:p>
              </w:tc>
              <w:tc>
                <w:tcPr>
                  <w:tcW w:w="1301" w:type="pct"/>
                  <w:tcMar>
                    <w:left w:w="0" w:type="dxa"/>
                    <w:right w:w="0" w:type="dxa"/>
                  </w:tcMar>
                  <w:vAlign w:val="center"/>
                </w:tcPr>
                <w:p w14:paraId="2D2618CD">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苯乙烯</w:t>
                  </w:r>
                </w:p>
              </w:tc>
              <w:tc>
                <w:tcPr>
                  <w:tcW w:w="813" w:type="pct"/>
                  <w:tcMar>
                    <w:left w:w="0" w:type="dxa"/>
                    <w:right w:w="0" w:type="dxa"/>
                  </w:tcMar>
                  <w:vAlign w:val="center"/>
                </w:tcPr>
                <w:p w14:paraId="65544D75">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1290</w:t>
                  </w:r>
                </w:p>
              </w:tc>
              <w:tc>
                <w:tcPr>
                  <w:tcW w:w="849" w:type="pct"/>
                  <w:tcMar>
                    <w:left w:w="0" w:type="dxa"/>
                    <w:right w:w="0" w:type="dxa"/>
                  </w:tcMar>
                  <w:vAlign w:val="center"/>
                </w:tcPr>
                <w:p w14:paraId="0C70888B">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未检出</w:t>
                  </w:r>
                </w:p>
              </w:tc>
              <w:tc>
                <w:tcPr>
                  <w:tcW w:w="849" w:type="pct"/>
                  <w:tcMar>
                    <w:left w:w="0" w:type="dxa"/>
                    <w:right w:w="0" w:type="dxa"/>
                  </w:tcMar>
                  <w:vAlign w:val="center"/>
                </w:tcPr>
                <w:p w14:paraId="77B2B6A4">
                  <w:pPr>
                    <w:pStyle w:val="49"/>
                    <w:spacing w:line="360" w:lineRule="exact"/>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w:t>
                  </w:r>
                </w:p>
              </w:tc>
              <w:tc>
                <w:tcPr>
                  <w:tcW w:w="850" w:type="pct"/>
                  <w:tcMar>
                    <w:left w:w="0" w:type="dxa"/>
                    <w:right w:w="0" w:type="dxa"/>
                  </w:tcMar>
                  <w:vAlign w:val="center"/>
                </w:tcPr>
                <w:p w14:paraId="5EF32270">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达标</w:t>
                  </w:r>
                </w:p>
              </w:tc>
            </w:tr>
            <w:tr w14:paraId="13D628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86" w:hRule="atLeast"/>
              </w:trPr>
              <w:tc>
                <w:tcPr>
                  <w:tcW w:w="336" w:type="pct"/>
                  <w:tcMar>
                    <w:left w:w="0" w:type="dxa"/>
                    <w:right w:w="0" w:type="dxa"/>
                  </w:tcMar>
                  <w:vAlign w:val="center"/>
                </w:tcPr>
                <w:p w14:paraId="1A700A8F">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33</w:t>
                  </w:r>
                </w:p>
              </w:tc>
              <w:tc>
                <w:tcPr>
                  <w:tcW w:w="1301" w:type="pct"/>
                  <w:tcMar>
                    <w:left w:w="0" w:type="dxa"/>
                    <w:right w:w="0" w:type="dxa"/>
                  </w:tcMar>
                  <w:vAlign w:val="center"/>
                </w:tcPr>
                <w:p w14:paraId="4687E39A">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1,1,2,2-四氯乙烷</w:t>
                  </w:r>
                </w:p>
              </w:tc>
              <w:tc>
                <w:tcPr>
                  <w:tcW w:w="813" w:type="pct"/>
                  <w:tcMar>
                    <w:left w:w="0" w:type="dxa"/>
                    <w:right w:w="0" w:type="dxa"/>
                  </w:tcMar>
                  <w:vAlign w:val="center"/>
                </w:tcPr>
                <w:p w14:paraId="6E74F39B">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6.8</w:t>
                  </w:r>
                </w:p>
              </w:tc>
              <w:tc>
                <w:tcPr>
                  <w:tcW w:w="849" w:type="pct"/>
                  <w:tcMar>
                    <w:left w:w="0" w:type="dxa"/>
                    <w:right w:w="0" w:type="dxa"/>
                  </w:tcMar>
                  <w:vAlign w:val="center"/>
                </w:tcPr>
                <w:p w14:paraId="08AF8CDC">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未检出</w:t>
                  </w:r>
                </w:p>
              </w:tc>
              <w:tc>
                <w:tcPr>
                  <w:tcW w:w="849" w:type="pct"/>
                  <w:tcMar>
                    <w:left w:w="0" w:type="dxa"/>
                    <w:right w:w="0" w:type="dxa"/>
                  </w:tcMar>
                  <w:vAlign w:val="center"/>
                </w:tcPr>
                <w:p w14:paraId="2B89C264">
                  <w:pPr>
                    <w:pStyle w:val="49"/>
                    <w:spacing w:line="360" w:lineRule="exact"/>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w:t>
                  </w:r>
                </w:p>
              </w:tc>
              <w:tc>
                <w:tcPr>
                  <w:tcW w:w="850" w:type="pct"/>
                  <w:tcMar>
                    <w:left w:w="0" w:type="dxa"/>
                    <w:right w:w="0" w:type="dxa"/>
                  </w:tcMar>
                  <w:vAlign w:val="center"/>
                </w:tcPr>
                <w:p w14:paraId="46FFDA63">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达标</w:t>
                  </w:r>
                </w:p>
              </w:tc>
            </w:tr>
            <w:tr w14:paraId="4DAB31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86" w:hRule="atLeast"/>
              </w:trPr>
              <w:tc>
                <w:tcPr>
                  <w:tcW w:w="336" w:type="pct"/>
                  <w:tcMar>
                    <w:left w:w="0" w:type="dxa"/>
                    <w:right w:w="0" w:type="dxa"/>
                  </w:tcMar>
                  <w:vAlign w:val="center"/>
                </w:tcPr>
                <w:p w14:paraId="4F51BCF0">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34</w:t>
                  </w:r>
                </w:p>
              </w:tc>
              <w:tc>
                <w:tcPr>
                  <w:tcW w:w="1301" w:type="pct"/>
                  <w:tcMar>
                    <w:left w:w="0" w:type="dxa"/>
                    <w:right w:w="0" w:type="dxa"/>
                  </w:tcMar>
                  <w:vAlign w:val="center"/>
                </w:tcPr>
                <w:p w14:paraId="657C074A">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1,2,3-三氯丙烷</w:t>
                  </w:r>
                </w:p>
              </w:tc>
              <w:tc>
                <w:tcPr>
                  <w:tcW w:w="813" w:type="pct"/>
                  <w:tcMar>
                    <w:left w:w="0" w:type="dxa"/>
                    <w:right w:w="0" w:type="dxa"/>
                  </w:tcMar>
                  <w:vAlign w:val="center"/>
                </w:tcPr>
                <w:p w14:paraId="284D1478">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0.5</w:t>
                  </w:r>
                </w:p>
              </w:tc>
              <w:tc>
                <w:tcPr>
                  <w:tcW w:w="849" w:type="pct"/>
                  <w:tcMar>
                    <w:left w:w="0" w:type="dxa"/>
                    <w:right w:w="0" w:type="dxa"/>
                  </w:tcMar>
                  <w:vAlign w:val="center"/>
                </w:tcPr>
                <w:p w14:paraId="3ED905FA">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未检出</w:t>
                  </w:r>
                </w:p>
              </w:tc>
              <w:tc>
                <w:tcPr>
                  <w:tcW w:w="849" w:type="pct"/>
                  <w:tcMar>
                    <w:left w:w="0" w:type="dxa"/>
                    <w:right w:w="0" w:type="dxa"/>
                  </w:tcMar>
                  <w:vAlign w:val="center"/>
                </w:tcPr>
                <w:p w14:paraId="55B51BF2">
                  <w:pPr>
                    <w:pStyle w:val="49"/>
                    <w:spacing w:line="360" w:lineRule="exact"/>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w:t>
                  </w:r>
                </w:p>
              </w:tc>
              <w:tc>
                <w:tcPr>
                  <w:tcW w:w="850" w:type="pct"/>
                  <w:tcMar>
                    <w:left w:w="0" w:type="dxa"/>
                    <w:right w:w="0" w:type="dxa"/>
                  </w:tcMar>
                  <w:vAlign w:val="center"/>
                </w:tcPr>
                <w:p w14:paraId="40E898E5">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达标</w:t>
                  </w:r>
                </w:p>
              </w:tc>
            </w:tr>
            <w:tr w14:paraId="69EAC1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86" w:hRule="atLeast"/>
              </w:trPr>
              <w:tc>
                <w:tcPr>
                  <w:tcW w:w="336" w:type="pct"/>
                  <w:tcMar>
                    <w:left w:w="0" w:type="dxa"/>
                    <w:right w:w="0" w:type="dxa"/>
                  </w:tcMar>
                  <w:vAlign w:val="center"/>
                </w:tcPr>
                <w:p w14:paraId="6C3148BB">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35</w:t>
                  </w:r>
                </w:p>
              </w:tc>
              <w:tc>
                <w:tcPr>
                  <w:tcW w:w="1301" w:type="pct"/>
                  <w:tcMar>
                    <w:left w:w="0" w:type="dxa"/>
                    <w:right w:w="0" w:type="dxa"/>
                  </w:tcMar>
                  <w:vAlign w:val="center"/>
                </w:tcPr>
                <w:p w14:paraId="51D51414">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1,4-二氯苯</w:t>
                  </w:r>
                </w:p>
              </w:tc>
              <w:tc>
                <w:tcPr>
                  <w:tcW w:w="813" w:type="pct"/>
                  <w:tcMar>
                    <w:left w:w="0" w:type="dxa"/>
                    <w:right w:w="0" w:type="dxa"/>
                  </w:tcMar>
                  <w:vAlign w:val="center"/>
                </w:tcPr>
                <w:p w14:paraId="58E1BB1E">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20</w:t>
                  </w:r>
                </w:p>
              </w:tc>
              <w:tc>
                <w:tcPr>
                  <w:tcW w:w="849" w:type="pct"/>
                  <w:tcMar>
                    <w:left w:w="0" w:type="dxa"/>
                    <w:right w:w="0" w:type="dxa"/>
                  </w:tcMar>
                  <w:vAlign w:val="center"/>
                </w:tcPr>
                <w:p w14:paraId="559C4266">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未检出</w:t>
                  </w:r>
                </w:p>
              </w:tc>
              <w:tc>
                <w:tcPr>
                  <w:tcW w:w="849" w:type="pct"/>
                  <w:tcMar>
                    <w:left w:w="0" w:type="dxa"/>
                    <w:right w:w="0" w:type="dxa"/>
                  </w:tcMar>
                  <w:vAlign w:val="center"/>
                </w:tcPr>
                <w:p w14:paraId="7F215ECA">
                  <w:pPr>
                    <w:pStyle w:val="49"/>
                    <w:spacing w:line="360" w:lineRule="exact"/>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w:t>
                  </w:r>
                </w:p>
              </w:tc>
              <w:tc>
                <w:tcPr>
                  <w:tcW w:w="850" w:type="pct"/>
                  <w:tcMar>
                    <w:left w:w="0" w:type="dxa"/>
                    <w:right w:w="0" w:type="dxa"/>
                  </w:tcMar>
                  <w:vAlign w:val="center"/>
                </w:tcPr>
                <w:p w14:paraId="44C1B0A1">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达标</w:t>
                  </w:r>
                </w:p>
              </w:tc>
            </w:tr>
            <w:tr w14:paraId="71352D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86" w:hRule="atLeast"/>
              </w:trPr>
              <w:tc>
                <w:tcPr>
                  <w:tcW w:w="336" w:type="pct"/>
                  <w:tcMar>
                    <w:left w:w="0" w:type="dxa"/>
                    <w:right w:w="0" w:type="dxa"/>
                  </w:tcMar>
                  <w:vAlign w:val="center"/>
                </w:tcPr>
                <w:p w14:paraId="3DCD1FA7">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36</w:t>
                  </w:r>
                </w:p>
              </w:tc>
              <w:tc>
                <w:tcPr>
                  <w:tcW w:w="1301" w:type="pct"/>
                  <w:tcMar>
                    <w:left w:w="0" w:type="dxa"/>
                    <w:right w:w="0" w:type="dxa"/>
                  </w:tcMar>
                  <w:vAlign w:val="center"/>
                </w:tcPr>
                <w:p w14:paraId="6DF9B9CF">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1,2-二氯苯</w:t>
                  </w:r>
                </w:p>
              </w:tc>
              <w:tc>
                <w:tcPr>
                  <w:tcW w:w="813" w:type="pct"/>
                  <w:tcMar>
                    <w:left w:w="0" w:type="dxa"/>
                    <w:right w:w="0" w:type="dxa"/>
                  </w:tcMar>
                  <w:vAlign w:val="center"/>
                </w:tcPr>
                <w:p w14:paraId="0FDE0DAB">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560</w:t>
                  </w:r>
                </w:p>
              </w:tc>
              <w:tc>
                <w:tcPr>
                  <w:tcW w:w="849" w:type="pct"/>
                  <w:tcMar>
                    <w:left w:w="0" w:type="dxa"/>
                    <w:right w:w="0" w:type="dxa"/>
                  </w:tcMar>
                  <w:vAlign w:val="center"/>
                </w:tcPr>
                <w:p w14:paraId="5CB60CD2">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未检出</w:t>
                  </w:r>
                </w:p>
              </w:tc>
              <w:tc>
                <w:tcPr>
                  <w:tcW w:w="849" w:type="pct"/>
                  <w:tcMar>
                    <w:left w:w="0" w:type="dxa"/>
                    <w:right w:w="0" w:type="dxa"/>
                  </w:tcMar>
                  <w:vAlign w:val="center"/>
                </w:tcPr>
                <w:p w14:paraId="2EA6FB21">
                  <w:pPr>
                    <w:pStyle w:val="49"/>
                    <w:spacing w:line="360" w:lineRule="exact"/>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w:t>
                  </w:r>
                </w:p>
              </w:tc>
              <w:tc>
                <w:tcPr>
                  <w:tcW w:w="850" w:type="pct"/>
                  <w:tcMar>
                    <w:left w:w="0" w:type="dxa"/>
                    <w:right w:w="0" w:type="dxa"/>
                  </w:tcMar>
                  <w:vAlign w:val="center"/>
                </w:tcPr>
                <w:p w14:paraId="1A7BC823">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达标</w:t>
                  </w:r>
                </w:p>
              </w:tc>
            </w:tr>
            <w:tr w14:paraId="28F7C3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86" w:hRule="atLeast"/>
              </w:trPr>
              <w:tc>
                <w:tcPr>
                  <w:tcW w:w="336" w:type="pct"/>
                  <w:tcMar>
                    <w:left w:w="0" w:type="dxa"/>
                    <w:right w:w="0" w:type="dxa"/>
                  </w:tcMar>
                  <w:vAlign w:val="center"/>
                </w:tcPr>
                <w:p w14:paraId="1DA0010E">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37</w:t>
                  </w:r>
                </w:p>
              </w:tc>
              <w:tc>
                <w:tcPr>
                  <w:tcW w:w="1301" w:type="pct"/>
                  <w:tcMar>
                    <w:left w:w="0" w:type="dxa"/>
                    <w:right w:w="0" w:type="dxa"/>
                  </w:tcMar>
                  <w:vAlign w:val="center"/>
                </w:tcPr>
                <w:p w14:paraId="0F9FEDA4">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苯胺</w:t>
                  </w:r>
                </w:p>
              </w:tc>
              <w:tc>
                <w:tcPr>
                  <w:tcW w:w="813" w:type="pct"/>
                  <w:tcMar>
                    <w:left w:w="0" w:type="dxa"/>
                    <w:right w:w="0" w:type="dxa"/>
                  </w:tcMar>
                  <w:vAlign w:val="center"/>
                </w:tcPr>
                <w:p w14:paraId="56B35F50">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260</w:t>
                  </w:r>
                </w:p>
              </w:tc>
              <w:tc>
                <w:tcPr>
                  <w:tcW w:w="849" w:type="pct"/>
                  <w:tcMar>
                    <w:left w:w="0" w:type="dxa"/>
                    <w:right w:w="0" w:type="dxa"/>
                  </w:tcMar>
                  <w:vAlign w:val="center"/>
                </w:tcPr>
                <w:p w14:paraId="1A2115BB">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未检出</w:t>
                  </w:r>
                </w:p>
              </w:tc>
              <w:tc>
                <w:tcPr>
                  <w:tcW w:w="849" w:type="pct"/>
                  <w:tcMar>
                    <w:left w:w="0" w:type="dxa"/>
                    <w:right w:w="0" w:type="dxa"/>
                  </w:tcMar>
                  <w:vAlign w:val="center"/>
                </w:tcPr>
                <w:p w14:paraId="5F512DDC">
                  <w:pPr>
                    <w:pStyle w:val="49"/>
                    <w:spacing w:line="360" w:lineRule="exact"/>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w:t>
                  </w:r>
                </w:p>
              </w:tc>
              <w:tc>
                <w:tcPr>
                  <w:tcW w:w="850" w:type="pct"/>
                  <w:tcMar>
                    <w:left w:w="0" w:type="dxa"/>
                    <w:right w:w="0" w:type="dxa"/>
                  </w:tcMar>
                  <w:vAlign w:val="center"/>
                </w:tcPr>
                <w:p w14:paraId="2617FA0B">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达标</w:t>
                  </w:r>
                </w:p>
              </w:tc>
            </w:tr>
            <w:tr w14:paraId="45BEB1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86" w:hRule="atLeast"/>
              </w:trPr>
              <w:tc>
                <w:tcPr>
                  <w:tcW w:w="336" w:type="pct"/>
                  <w:tcMar>
                    <w:left w:w="0" w:type="dxa"/>
                    <w:right w:w="0" w:type="dxa"/>
                  </w:tcMar>
                  <w:vAlign w:val="center"/>
                </w:tcPr>
                <w:p w14:paraId="66171ABD">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38</w:t>
                  </w:r>
                </w:p>
              </w:tc>
              <w:tc>
                <w:tcPr>
                  <w:tcW w:w="1301" w:type="pct"/>
                  <w:tcMar>
                    <w:left w:w="0" w:type="dxa"/>
                    <w:right w:w="0" w:type="dxa"/>
                  </w:tcMar>
                  <w:vAlign w:val="center"/>
                </w:tcPr>
                <w:p w14:paraId="60B0EE17">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2-氯苯酚</w:t>
                  </w:r>
                </w:p>
              </w:tc>
              <w:tc>
                <w:tcPr>
                  <w:tcW w:w="813" w:type="pct"/>
                  <w:tcMar>
                    <w:left w:w="0" w:type="dxa"/>
                    <w:right w:w="0" w:type="dxa"/>
                  </w:tcMar>
                  <w:vAlign w:val="center"/>
                </w:tcPr>
                <w:p w14:paraId="12446442">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2256</w:t>
                  </w:r>
                </w:p>
              </w:tc>
              <w:tc>
                <w:tcPr>
                  <w:tcW w:w="849" w:type="pct"/>
                  <w:tcMar>
                    <w:left w:w="0" w:type="dxa"/>
                    <w:right w:w="0" w:type="dxa"/>
                  </w:tcMar>
                  <w:vAlign w:val="center"/>
                </w:tcPr>
                <w:p w14:paraId="523A08D5">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未检出</w:t>
                  </w:r>
                </w:p>
              </w:tc>
              <w:tc>
                <w:tcPr>
                  <w:tcW w:w="849" w:type="pct"/>
                  <w:tcMar>
                    <w:left w:w="0" w:type="dxa"/>
                    <w:right w:w="0" w:type="dxa"/>
                  </w:tcMar>
                  <w:vAlign w:val="center"/>
                </w:tcPr>
                <w:p w14:paraId="0C77942B">
                  <w:pPr>
                    <w:pStyle w:val="49"/>
                    <w:spacing w:line="360" w:lineRule="exact"/>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w:t>
                  </w:r>
                </w:p>
              </w:tc>
              <w:tc>
                <w:tcPr>
                  <w:tcW w:w="850" w:type="pct"/>
                  <w:tcMar>
                    <w:left w:w="0" w:type="dxa"/>
                    <w:right w:w="0" w:type="dxa"/>
                  </w:tcMar>
                  <w:vAlign w:val="center"/>
                </w:tcPr>
                <w:p w14:paraId="142A49D8">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达标</w:t>
                  </w:r>
                </w:p>
              </w:tc>
            </w:tr>
            <w:tr w14:paraId="061A4C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86" w:hRule="atLeast"/>
              </w:trPr>
              <w:tc>
                <w:tcPr>
                  <w:tcW w:w="336" w:type="pct"/>
                  <w:tcMar>
                    <w:left w:w="0" w:type="dxa"/>
                    <w:right w:w="0" w:type="dxa"/>
                  </w:tcMar>
                  <w:vAlign w:val="center"/>
                </w:tcPr>
                <w:p w14:paraId="235A01C1">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39</w:t>
                  </w:r>
                </w:p>
              </w:tc>
              <w:tc>
                <w:tcPr>
                  <w:tcW w:w="1301" w:type="pct"/>
                  <w:tcMar>
                    <w:left w:w="0" w:type="dxa"/>
                    <w:right w:w="0" w:type="dxa"/>
                  </w:tcMar>
                  <w:vAlign w:val="center"/>
                </w:tcPr>
                <w:p w14:paraId="0C978B7A">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硝基苯</w:t>
                  </w:r>
                </w:p>
              </w:tc>
              <w:tc>
                <w:tcPr>
                  <w:tcW w:w="813" w:type="pct"/>
                  <w:tcMar>
                    <w:left w:w="0" w:type="dxa"/>
                    <w:right w:w="0" w:type="dxa"/>
                  </w:tcMar>
                  <w:vAlign w:val="center"/>
                </w:tcPr>
                <w:p w14:paraId="5A1884E4">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76</w:t>
                  </w:r>
                </w:p>
              </w:tc>
              <w:tc>
                <w:tcPr>
                  <w:tcW w:w="849" w:type="pct"/>
                  <w:tcMar>
                    <w:left w:w="0" w:type="dxa"/>
                    <w:right w:w="0" w:type="dxa"/>
                  </w:tcMar>
                  <w:vAlign w:val="center"/>
                </w:tcPr>
                <w:p w14:paraId="7BC9746D">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未检出</w:t>
                  </w:r>
                </w:p>
              </w:tc>
              <w:tc>
                <w:tcPr>
                  <w:tcW w:w="849" w:type="pct"/>
                  <w:tcMar>
                    <w:left w:w="0" w:type="dxa"/>
                    <w:right w:w="0" w:type="dxa"/>
                  </w:tcMar>
                  <w:vAlign w:val="center"/>
                </w:tcPr>
                <w:p w14:paraId="40C0F8ED">
                  <w:pPr>
                    <w:pStyle w:val="49"/>
                    <w:spacing w:line="360" w:lineRule="exact"/>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w:t>
                  </w:r>
                </w:p>
              </w:tc>
              <w:tc>
                <w:tcPr>
                  <w:tcW w:w="850" w:type="pct"/>
                  <w:tcMar>
                    <w:left w:w="0" w:type="dxa"/>
                    <w:right w:w="0" w:type="dxa"/>
                  </w:tcMar>
                  <w:vAlign w:val="center"/>
                </w:tcPr>
                <w:p w14:paraId="36A5C014">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达标</w:t>
                  </w:r>
                </w:p>
              </w:tc>
            </w:tr>
            <w:tr w14:paraId="2BDAC8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86" w:hRule="atLeast"/>
              </w:trPr>
              <w:tc>
                <w:tcPr>
                  <w:tcW w:w="336" w:type="pct"/>
                  <w:tcMar>
                    <w:left w:w="0" w:type="dxa"/>
                    <w:right w:w="0" w:type="dxa"/>
                  </w:tcMar>
                  <w:vAlign w:val="center"/>
                </w:tcPr>
                <w:p w14:paraId="3215B9D6">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40</w:t>
                  </w:r>
                </w:p>
              </w:tc>
              <w:tc>
                <w:tcPr>
                  <w:tcW w:w="1301" w:type="pct"/>
                  <w:tcMar>
                    <w:left w:w="0" w:type="dxa"/>
                    <w:right w:w="0" w:type="dxa"/>
                  </w:tcMar>
                  <w:vAlign w:val="center"/>
                </w:tcPr>
                <w:p w14:paraId="5A2B62F1">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萘</w:t>
                  </w:r>
                </w:p>
              </w:tc>
              <w:tc>
                <w:tcPr>
                  <w:tcW w:w="813" w:type="pct"/>
                  <w:tcMar>
                    <w:left w:w="0" w:type="dxa"/>
                    <w:right w:w="0" w:type="dxa"/>
                  </w:tcMar>
                  <w:vAlign w:val="center"/>
                </w:tcPr>
                <w:p w14:paraId="00DE14F1">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70</w:t>
                  </w:r>
                </w:p>
              </w:tc>
              <w:tc>
                <w:tcPr>
                  <w:tcW w:w="849" w:type="pct"/>
                  <w:tcMar>
                    <w:left w:w="0" w:type="dxa"/>
                    <w:right w:w="0" w:type="dxa"/>
                  </w:tcMar>
                  <w:vAlign w:val="center"/>
                </w:tcPr>
                <w:p w14:paraId="2FD62BE8">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未检出</w:t>
                  </w:r>
                </w:p>
              </w:tc>
              <w:tc>
                <w:tcPr>
                  <w:tcW w:w="849" w:type="pct"/>
                  <w:tcMar>
                    <w:left w:w="0" w:type="dxa"/>
                    <w:right w:w="0" w:type="dxa"/>
                  </w:tcMar>
                  <w:vAlign w:val="center"/>
                </w:tcPr>
                <w:p w14:paraId="6310D7E0">
                  <w:pPr>
                    <w:pStyle w:val="49"/>
                    <w:spacing w:line="360" w:lineRule="exact"/>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w:t>
                  </w:r>
                </w:p>
              </w:tc>
              <w:tc>
                <w:tcPr>
                  <w:tcW w:w="850" w:type="pct"/>
                  <w:tcMar>
                    <w:left w:w="0" w:type="dxa"/>
                    <w:right w:w="0" w:type="dxa"/>
                  </w:tcMar>
                  <w:vAlign w:val="center"/>
                </w:tcPr>
                <w:p w14:paraId="59FBE955">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达标</w:t>
                  </w:r>
                </w:p>
              </w:tc>
            </w:tr>
            <w:tr w14:paraId="66E4AA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86" w:hRule="atLeast"/>
              </w:trPr>
              <w:tc>
                <w:tcPr>
                  <w:tcW w:w="336" w:type="pct"/>
                  <w:tcMar>
                    <w:left w:w="0" w:type="dxa"/>
                    <w:right w:w="0" w:type="dxa"/>
                  </w:tcMar>
                  <w:vAlign w:val="center"/>
                </w:tcPr>
                <w:p w14:paraId="09212191">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41</w:t>
                  </w:r>
                </w:p>
              </w:tc>
              <w:tc>
                <w:tcPr>
                  <w:tcW w:w="1301" w:type="pct"/>
                  <w:tcMar>
                    <w:left w:w="0" w:type="dxa"/>
                    <w:right w:w="0" w:type="dxa"/>
                  </w:tcMar>
                  <w:vAlign w:val="center"/>
                </w:tcPr>
                <w:p w14:paraId="64D171D9">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苯并[a]蒽</w:t>
                  </w:r>
                </w:p>
              </w:tc>
              <w:tc>
                <w:tcPr>
                  <w:tcW w:w="813" w:type="pct"/>
                  <w:tcMar>
                    <w:left w:w="0" w:type="dxa"/>
                    <w:right w:w="0" w:type="dxa"/>
                  </w:tcMar>
                  <w:vAlign w:val="center"/>
                </w:tcPr>
                <w:p w14:paraId="0F4C8FF6">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15</w:t>
                  </w:r>
                </w:p>
              </w:tc>
              <w:tc>
                <w:tcPr>
                  <w:tcW w:w="849" w:type="pct"/>
                  <w:tcMar>
                    <w:left w:w="0" w:type="dxa"/>
                    <w:right w:w="0" w:type="dxa"/>
                  </w:tcMar>
                  <w:vAlign w:val="center"/>
                </w:tcPr>
                <w:p w14:paraId="37D9520A">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未检出</w:t>
                  </w:r>
                </w:p>
              </w:tc>
              <w:tc>
                <w:tcPr>
                  <w:tcW w:w="849" w:type="pct"/>
                  <w:tcMar>
                    <w:left w:w="0" w:type="dxa"/>
                    <w:right w:w="0" w:type="dxa"/>
                  </w:tcMar>
                  <w:vAlign w:val="center"/>
                </w:tcPr>
                <w:p w14:paraId="480D682B">
                  <w:pPr>
                    <w:pStyle w:val="49"/>
                    <w:spacing w:line="360" w:lineRule="exact"/>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w:t>
                  </w:r>
                </w:p>
              </w:tc>
              <w:tc>
                <w:tcPr>
                  <w:tcW w:w="850" w:type="pct"/>
                  <w:tcMar>
                    <w:left w:w="0" w:type="dxa"/>
                    <w:right w:w="0" w:type="dxa"/>
                  </w:tcMar>
                  <w:vAlign w:val="center"/>
                </w:tcPr>
                <w:p w14:paraId="650F0BA7">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达标</w:t>
                  </w:r>
                </w:p>
              </w:tc>
            </w:tr>
            <w:tr w14:paraId="1D5612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86" w:hRule="atLeast"/>
              </w:trPr>
              <w:tc>
                <w:tcPr>
                  <w:tcW w:w="336" w:type="pct"/>
                  <w:tcMar>
                    <w:left w:w="0" w:type="dxa"/>
                    <w:right w:w="0" w:type="dxa"/>
                  </w:tcMar>
                  <w:vAlign w:val="center"/>
                </w:tcPr>
                <w:p w14:paraId="65C08E2C">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42</w:t>
                  </w:r>
                </w:p>
              </w:tc>
              <w:tc>
                <w:tcPr>
                  <w:tcW w:w="1301" w:type="pct"/>
                  <w:tcMar>
                    <w:left w:w="0" w:type="dxa"/>
                    <w:right w:w="0" w:type="dxa"/>
                  </w:tcMar>
                  <w:vAlign w:val="center"/>
                </w:tcPr>
                <w:p w14:paraId="0CE1F716">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䓛</w:t>
                  </w:r>
                </w:p>
              </w:tc>
              <w:tc>
                <w:tcPr>
                  <w:tcW w:w="813" w:type="pct"/>
                  <w:tcMar>
                    <w:left w:w="0" w:type="dxa"/>
                    <w:right w:w="0" w:type="dxa"/>
                  </w:tcMar>
                  <w:vAlign w:val="center"/>
                </w:tcPr>
                <w:p w14:paraId="2D3D3478">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1293</w:t>
                  </w:r>
                </w:p>
              </w:tc>
              <w:tc>
                <w:tcPr>
                  <w:tcW w:w="849" w:type="pct"/>
                  <w:tcMar>
                    <w:left w:w="0" w:type="dxa"/>
                    <w:right w:w="0" w:type="dxa"/>
                  </w:tcMar>
                  <w:vAlign w:val="center"/>
                </w:tcPr>
                <w:p w14:paraId="69B233EF">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未检出</w:t>
                  </w:r>
                </w:p>
              </w:tc>
              <w:tc>
                <w:tcPr>
                  <w:tcW w:w="849" w:type="pct"/>
                  <w:tcMar>
                    <w:left w:w="0" w:type="dxa"/>
                    <w:right w:w="0" w:type="dxa"/>
                  </w:tcMar>
                  <w:vAlign w:val="center"/>
                </w:tcPr>
                <w:p w14:paraId="323B8A31">
                  <w:pPr>
                    <w:pStyle w:val="49"/>
                    <w:spacing w:line="360" w:lineRule="exact"/>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w:t>
                  </w:r>
                </w:p>
              </w:tc>
              <w:tc>
                <w:tcPr>
                  <w:tcW w:w="850" w:type="pct"/>
                  <w:tcMar>
                    <w:left w:w="0" w:type="dxa"/>
                    <w:right w:w="0" w:type="dxa"/>
                  </w:tcMar>
                  <w:vAlign w:val="center"/>
                </w:tcPr>
                <w:p w14:paraId="7671286E">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达标</w:t>
                  </w:r>
                </w:p>
              </w:tc>
            </w:tr>
            <w:tr w14:paraId="63C50B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86" w:hRule="atLeast"/>
              </w:trPr>
              <w:tc>
                <w:tcPr>
                  <w:tcW w:w="336" w:type="pct"/>
                  <w:tcMar>
                    <w:left w:w="0" w:type="dxa"/>
                    <w:right w:w="0" w:type="dxa"/>
                  </w:tcMar>
                  <w:vAlign w:val="center"/>
                </w:tcPr>
                <w:p w14:paraId="0713A20B">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43</w:t>
                  </w:r>
                </w:p>
              </w:tc>
              <w:tc>
                <w:tcPr>
                  <w:tcW w:w="1301" w:type="pct"/>
                  <w:tcMar>
                    <w:left w:w="0" w:type="dxa"/>
                    <w:right w:w="0" w:type="dxa"/>
                  </w:tcMar>
                  <w:vAlign w:val="center"/>
                </w:tcPr>
                <w:p w14:paraId="16C67FB5">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苯并[b]荧蒽</w:t>
                  </w:r>
                </w:p>
              </w:tc>
              <w:tc>
                <w:tcPr>
                  <w:tcW w:w="813" w:type="pct"/>
                  <w:tcMar>
                    <w:left w:w="0" w:type="dxa"/>
                    <w:right w:w="0" w:type="dxa"/>
                  </w:tcMar>
                  <w:vAlign w:val="center"/>
                </w:tcPr>
                <w:p w14:paraId="29C47B27">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15</w:t>
                  </w:r>
                </w:p>
              </w:tc>
              <w:tc>
                <w:tcPr>
                  <w:tcW w:w="849" w:type="pct"/>
                  <w:tcMar>
                    <w:left w:w="0" w:type="dxa"/>
                    <w:right w:w="0" w:type="dxa"/>
                  </w:tcMar>
                  <w:vAlign w:val="center"/>
                </w:tcPr>
                <w:p w14:paraId="6E727E6E">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未检出</w:t>
                  </w:r>
                </w:p>
              </w:tc>
              <w:tc>
                <w:tcPr>
                  <w:tcW w:w="849" w:type="pct"/>
                  <w:tcMar>
                    <w:left w:w="0" w:type="dxa"/>
                    <w:right w:w="0" w:type="dxa"/>
                  </w:tcMar>
                  <w:vAlign w:val="center"/>
                </w:tcPr>
                <w:p w14:paraId="6428FF83">
                  <w:pPr>
                    <w:pStyle w:val="49"/>
                    <w:spacing w:line="360" w:lineRule="exact"/>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w:t>
                  </w:r>
                </w:p>
              </w:tc>
              <w:tc>
                <w:tcPr>
                  <w:tcW w:w="850" w:type="pct"/>
                  <w:tcMar>
                    <w:left w:w="0" w:type="dxa"/>
                    <w:right w:w="0" w:type="dxa"/>
                  </w:tcMar>
                  <w:vAlign w:val="center"/>
                </w:tcPr>
                <w:p w14:paraId="1DFB27CA">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达标</w:t>
                  </w:r>
                </w:p>
              </w:tc>
            </w:tr>
            <w:tr w14:paraId="1948D6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86" w:hRule="atLeast"/>
              </w:trPr>
              <w:tc>
                <w:tcPr>
                  <w:tcW w:w="336" w:type="pct"/>
                  <w:tcMar>
                    <w:left w:w="0" w:type="dxa"/>
                    <w:right w:w="0" w:type="dxa"/>
                  </w:tcMar>
                  <w:vAlign w:val="center"/>
                </w:tcPr>
                <w:p w14:paraId="52C64795">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44</w:t>
                  </w:r>
                </w:p>
              </w:tc>
              <w:tc>
                <w:tcPr>
                  <w:tcW w:w="1301" w:type="pct"/>
                  <w:tcMar>
                    <w:left w:w="0" w:type="dxa"/>
                    <w:right w:w="0" w:type="dxa"/>
                  </w:tcMar>
                  <w:vAlign w:val="center"/>
                </w:tcPr>
                <w:p w14:paraId="7BD692FE">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苯并[k]荧蒽</w:t>
                  </w:r>
                </w:p>
              </w:tc>
              <w:tc>
                <w:tcPr>
                  <w:tcW w:w="813" w:type="pct"/>
                  <w:tcMar>
                    <w:left w:w="0" w:type="dxa"/>
                    <w:right w:w="0" w:type="dxa"/>
                  </w:tcMar>
                  <w:vAlign w:val="center"/>
                </w:tcPr>
                <w:p w14:paraId="467097B4">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151</w:t>
                  </w:r>
                </w:p>
              </w:tc>
              <w:tc>
                <w:tcPr>
                  <w:tcW w:w="849" w:type="pct"/>
                  <w:tcMar>
                    <w:left w:w="0" w:type="dxa"/>
                    <w:right w:w="0" w:type="dxa"/>
                  </w:tcMar>
                  <w:vAlign w:val="center"/>
                </w:tcPr>
                <w:p w14:paraId="7D861F92">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未检出</w:t>
                  </w:r>
                </w:p>
              </w:tc>
              <w:tc>
                <w:tcPr>
                  <w:tcW w:w="849" w:type="pct"/>
                  <w:tcMar>
                    <w:left w:w="0" w:type="dxa"/>
                    <w:right w:w="0" w:type="dxa"/>
                  </w:tcMar>
                  <w:vAlign w:val="center"/>
                </w:tcPr>
                <w:p w14:paraId="19A39E66">
                  <w:pPr>
                    <w:pStyle w:val="49"/>
                    <w:spacing w:line="360" w:lineRule="exact"/>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w:t>
                  </w:r>
                </w:p>
              </w:tc>
              <w:tc>
                <w:tcPr>
                  <w:tcW w:w="850" w:type="pct"/>
                  <w:tcMar>
                    <w:left w:w="0" w:type="dxa"/>
                    <w:right w:w="0" w:type="dxa"/>
                  </w:tcMar>
                  <w:vAlign w:val="center"/>
                </w:tcPr>
                <w:p w14:paraId="1068CC96">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达标</w:t>
                  </w:r>
                </w:p>
              </w:tc>
            </w:tr>
            <w:tr w14:paraId="3706A5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86" w:hRule="atLeast"/>
              </w:trPr>
              <w:tc>
                <w:tcPr>
                  <w:tcW w:w="336" w:type="pct"/>
                  <w:tcMar>
                    <w:left w:w="0" w:type="dxa"/>
                    <w:right w:w="0" w:type="dxa"/>
                  </w:tcMar>
                  <w:vAlign w:val="center"/>
                </w:tcPr>
                <w:p w14:paraId="04794297">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45</w:t>
                  </w:r>
                </w:p>
              </w:tc>
              <w:tc>
                <w:tcPr>
                  <w:tcW w:w="1301" w:type="pct"/>
                  <w:tcMar>
                    <w:left w:w="0" w:type="dxa"/>
                    <w:right w:w="0" w:type="dxa"/>
                  </w:tcMar>
                  <w:vAlign w:val="center"/>
                </w:tcPr>
                <w:p w14:paraId="28823025">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苯并[a]芘</w:t>
                  </w:r>
                </w:p>
              </w:tc>
              <w:tc>
                <w:tcPr>
                  <w:tcW w:w="813" w:type="pct"/>
                  <w:tcMar>
                    <w:left w:w="0" w:type="dxa"/>
                    <w:right w:w="0" w:type="dxa"/>
                  </w:tcMar>
                  <w:vAlign w:val="center"/>
                </w:tcPr>
                <w:p w14:paraId="0C67E881">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1.5</w:t>
                  </w:r>
                </w:p>
              </w:tc>
              <w:tc>
                <w:tcPr>
                  <w:tcW w:w="849" w:type="pct"/>
                  <w:tcMar>
                    <w:left w:w="0" w:type="dxa"/>
                    <w:right w:w="0" w:type="dxa"/>
                  </w:tcMar>
                  <w:vAlign w:val="center"/>
                </w:tcPr>
                <w:p w14:paraId="791BCEE6">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未检出</w:t>
                  </w:r>
                </w:p>
              </w:tc>
              <w:tc>
                <w:tcPr>
                  <w:tcW w:w="849" w:type="pct"/>
                  <w:tcMar>
                    <w:left w:w="0" w:type="dxa"/>
                    <w:right w:w="0" w:type="dxa"/>
                  </w:tcMar>
                  <w:vAlign w:val="center"/>
                </w:tcPr>
                <w:p w14:paraId="40A1EA29">
                  <w:pPr>
                    <w:pStyle w:val="49"/>
                    <w:spacing w:line="360" w:lineRule="exact"/>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w:t>
                  </w:r>
                </w:p>
              </w:tc>
              <w:tc>
                <w:tcPr>
                  <w:tcW w:w="850" w:type="pct"/>
                  <w:tcMar>
                    <w:left w:w="0" w:type="dxa"/>
                    <w:right w:w="0" w:type="dxa"/>
                  </w:tcMar>
                  <w:vAlign w:val="center"/>
                </w:tcPr>
                <w:p w14:paraId="5C28450D">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达标</w:t>
                  </w:r>
                </w:p>
              </w:tc>
            </w:tr>
            <w:tr w14:paraId="289642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86" w:hRule="atLeast"/>
              </w:trPr>
              <w:tc>
                <w:tcPr>
                  <w:tcW w:w="336" w:type="pct"/>
                  <w:tcMar>
                    <w:left w:w="0" w:type="dxa"/>
                    <w:right w:w="0" w:type="dxa"/>
                  </w:tcMar>
                  <w:vAlign w:val="center"/>
                </w:tcPr>
                <w:p w14:paraId="392C5899">
                  <w:pPr>
                    <w:pStyle w:val="49"/>
                    <w:spacing w:line="360" w:lineRule="exact"/>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46</w:t>
                  </w:r>
                </w:p>
              </w:tc>
              <w:tc>
                <w:tcPr>
                  <w:tcW w:w="1301" w:type="pct"/>
                  <w:tcMar>
                    <w:left w:w="0" w:type="dxa"/>
                    <w:right w:w="0" w:type="dxa"/>
                  </w:tcMar>
                  <w:vAlign w:val="center"/>
                </w:tcPr>
                <w:p w14:paraId="6152B04D">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茚并[1,2,3-cd]芘</w:t>
                  </w:r>
                </w:p>
              </w:tc>
              <w:tc>
                <w:tcPr>
                  <w:tcW w:w="813" w:type="pct"/>
                  <w:tcMar>
                    <w:left w:w="0" w:type="dxa"/>
                    <w:right w:w="0" w:type="dxa"/>
                  </w:tcMar>
                  <w:vAlign w:val="center"/>
                </w:tcPr>
                <w:p w14:paraId="2AC7C3E6">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15</w:t>
                  </w:r>
                </w:p>
              </w:tc>
              <w:tc>
                <w:tcPr>
                  <w:tcW w:w="849" w:type="pct"/>
                  <w:tcMar>
                    <w:left w:w="0" w:type="dxa"/>
                    <w:right w:w="0" w:type="dxa"/>
                  </w:tcMar>
                  <w:vAlign w:val="center"/>
                </w:tcPr>
                <w:p w14:paraId="354AD376">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未检出</w:t>
                  </w:r>
                </w:p>
              </w:tc>
              <w:tc>
                <w:tcPr>
                  <w:tcW w:w="849" w:type="pct"/>
                  <w:tcMar>
                    <w:left w:w="0" w:type="dxa"/>
                    <w:right w:w="0" w:type="dxa"/>
                  </w:tcMar>
                  <w:vAlign w:val="center"/>
                </w:tcPr>
                <w:p w14:paraId="19F0EF8D">
                  <w:pPr>
                    <w:pStyle w:val="49"/>
                    <w:spacing w:line="360" w:lineRule="exact"/>
                    <w:ind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w:t>
                  </w:r>
                </w:p>
              </w:tc>
              <w:tc>
                <w:tcPr>
                  <w:tcW w:w="850" w:type="pct"/>
                  <w:tcMar>
                    <w:left w:w="0" w:type="dxa"/>
                    <w:right w:w="0" w:type="dxa"/>
                  </w:tcMar>
                  <w:vAlign w:val="center"/>
                </w:tcPr>
                <w:p w14:paraId="24DE31CD">
                  <w:pPr>
                    <w:pStyle w:val="49"/>
                    <w:spacing w:line="360" w:lineRule="exact"/>
                    <w:ind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达标</w:t>
                  </w:r>
                </w:p>
              </w:tc>
            </w:tr>
            <w:tr w14:paraId="54D443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86" w:hRule="atLeast"/>
              </w:trPr>
              <w:tc>
                <w:tcPr>
                  <w:tcW w:w="5000" w:type="pct"/>
                  <w:gridSpan w:val="6"/>
                  <w:tcMar>
                    <w:left w:w="0" w:type="dxa"/>
                    <w:right w:w="0" w:type="dxa"/>
                  </w:tcMar>
                  <w:vAlign w:val="center"/>
                </w:tcPr>
                <w:p w14:paraId="00261F55">
                  <w:pPr>
                    <w:pStyle w:val="49"/>
                    <w:spacing w:line="36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备注：“L”表示监测数据低于标准方法检出限，报出值为检出限值。</w:t>
                  </w:r>
                </w:p>
              </w:tc>
            </w:tr>
          </w:tbl>
          <w:p w14:paraId="311695D8">
            <w:pPr>
              <w:adjustRightInd w:val="0"/>
              <w:snapToGrid w:val="0"/>
              <w:spacing w:line="360" w:lineRule="auto"/>
              <w:ind w:firstLine="480" w:firstLineChars="200"/>
              <w:rPr>
                <w:rFonts w:hint="eastAsia"/>
                <w:sz w:val="24"/>
              </w:rPr>
            </w:pPr>
            <w:r>
              <w:rPr>
                <w:rFonts w:hint="eastAsia"/>
                <w:color w:val="000000"/>
                <w:sz w:val="24"/>
              </w:rPr>
              <w:t>由表3-6可知，项目土壤现状监测点中所有监测因子的标准指数均小于1，监测值均</w:t>
            </w:r>
            <w:r>
              <w:rPr>
                <w:color w:val="000000"/>
                <w:sz w:val="24"/>
              </w:rPr>
              <w:t>不超过《土壤环境质量 建设用地土壤污染风险管控标准》（GB36600-2018）表1中</w:t>
            </w:r>
            <w:r>
              <w:rPr>
                <w:rFonts w:hint="eastAsia"/>
                <w:color w:val="000000"/>
                <w:sz w:val="24"/>
              </w:rPr>
              <w:t>第</w:t>
            </w:r>
            <w:r>
              <w:rPr>
                <w:color w:val="000000"/>
                <w:sz w:val="24"/>
              </w:rPr>
              <w:t>二类用地筛选值</w:t>
            </w:r>
            <w:r>
              <w:rPr>
                <w:rFonts w:hint="eastAsia"/>
                <w:color w:val="000000"/>
                <w:sz w:val="24"/>
              </w:rPr>
              <w:t>，区域土壤环境质量现状较好。</w:t>
            </w:r>
          </w:p>
        </w:tc>
      </w:tr>
      <w:tr w14:paraId="68D7A0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5" w:type="dxa"/>
            <w:vAlign w:val="center"/>
          </w:tcPr>
          <w:p w14:paraId="2C072FCD">
            <w:pPr>
              <w:adjustRightInd w:val="0"/>
              <w:snapToGrid w:val="0"/>
              <w:spacing w:line="360" w:lineRule="auto"/>
              <w:jc w:val="center"/>
              <w:rPr>
                <w:rFonts w:hint="eastAsia" w:ascii="宋体" w:hAnsi="宋体" w:cs="宋体"/>
                <w:kern w:val="0"/>
                <w:sz w:val="24"/>
              </w:rPr>
            </w:pPr>
            <w:r>
              <w:rPr>
                <w:rFonts w:hint="eastAsia" w:ascii="宋体" w:hAnsi="宋体" w:cs="宋体"/>
                <w:kern w:val="0"/>
                <w:sz w:val="24"/>
              </w:rPr>
              <w:t>环境</w:t>
            </w:r>
          </w:p>
          <w:p w14:paraId="2D5B72BA">
            <w:pPr>
              <w:adjustRightInd w:val="0"/>
              <w:snapToGrid w:val="0"/>
              <w:spacing w:line="360" w:lineRule="auto"/>
              <w:jc w:val="center"/>
              <w:rPr>
                <w:rFonts w:hint="eastAsia" w:ascii="宋体" w:hAnsi="宋体" w:cs="宋体"/>
                <w:kern w:val="0"/>
                <w:sz w:val="24"/>
              </w:rPr>
            </w:pPr>
            <w:r>
              <w:rPr>
                <w:rFonts w:hint="eastAsia" w:ascii="宋体" w:hAnsi="宋体" w:cs="宋体"/>
                <w:kern w:val="0"/>
                <w:sz w:val="24"/>
              </w:rPr>
              <w:t>保护</w:t>
            </w:r>
          </w:p>
          <w:p w14:paraId="748EC67A">
            <w:pPr>
              <w:adjustRightInd w:val="0"/>
              <w:snapToGrid w:val="0"/>
              <w:spacing w:line="360" w:lineRule="auto"/>
              <w:jc w:val="center"/>
              <w:rPr>
                <w:rFonts w:hint="eastAsia" w:ascii="宋体" w:hAnsi="宋体" w:cs="宋体"/>
                <w:kern w:val="0"/>
                <w:szCs w:val="21"/>
              </w:rPr>
            </w:pPr>
            <w:r>
              <w:rPr>
                <w:rFonts w:hint="eastAsia" w:ascii="宋体" w:hAnsi="宋体" w:cs="宋体"/>
                <w:kern w:val="0"/>
                <w:sz w:val="24"/>
              </w:rPr>
              <w:t>目标</w:t>
            </w:r>
          </w:p>
        </w:tc>
        <w:tc>
          <w:tcPr>
            <w:tcW w:w="8356" w:type="dxa"/>
            <w:vAlign w:val="center"/>
          </w:tcPr>
          <w:p w14:paraId="66B0A93A">
            <w:pPr>
              <w:pStyle w:val="46"/>
              <w:ind w:firstLine="0" w:firstLineChars="0"/>
              <w:jc w:val="left"/>
              <w:rPr>
                <w:rFonts w:hint="eastAsia"/>
                <w:b/>
                <w:bCs/>
              </w:rPr>
            </w:pPr>
            <w:r>
              <w:rPr>
                <w:rFonts w:hint="eastAsia"/>
                <w:b/>
                <w:bCs/>
              </w:rPr>
              <w:t>3.6外环境关系</w:t>
            </w:r>
          </w:p>
          <w:p w14:paraId="0A884C28">
            <w:pPr>
              <w:pStyle w:val="46"/>
              <w:ind w:firstLine="454" w:firstLineChars="0"/>
              <w:jc w:val="left"/>
              <w:rPr>
                <w:rFonts w:hint="eastAsia" w:ascii="宋体" w:hAnsi="宋体"/>
                <w:bCs/>
              </w:rPr>
            </w:pPr>
            <w:r>
              <w:rPr>
                <w:rFonts w:hint="eastAsia" w:ascii="宋体" w:hAnsi="宋体"/>
                <w:bCs/>
              </w:rPr>
              <w:t>本项目位于重庆市涪陵区李渡工业园区双溪居委郑家湾FL2018-06-18号地块，占地2006m</w:t>
            </w:r>
            <w:r>
              <w:rPr>
                <w:rFonts w:hint="eastAsia" w:ascii="宋体" w:hAnsi="宋体"/>
                <w:bCs/>
                <w:vertAlign w:val="superscript"/>
              </w:rPr>
              <w:t>2</w:t>
            </w:r>
            <w:r>
              <w:rPr>
                <w:rFonts w:hint="eastAsia" w:ascii="宋体" w:hAnsi="宋体"/>
                <w:bCs/>
              </w:rPr>
              <w:t>，根据现场勘查，项目南侧紧邻聚业大道，北侧121m处为太极集团，东北侧95m处为银滩路，197m处是上桥河，其余四周均为荒地，无其他环境制约因素。</w:t>
            </w:r>
          </w:p>
          <w:p w14:paraId="578B2205">
            <w:pPr>
              <w:pStyle w:val="46"/>
              <w:ind w:firstLine="0" w:firstLineChars="0"/>
              <w:jc w:val="left"/>
              <w:rPr>
                <w:rFonts w:hint="eastAsia"/>
                <w:b/>
                <w:bCs/>
                <w:color w:val="000000"/>
              </w:rPr>
            </w:pPr>
            <w:r>
              <w:rPr>
                <w:rFonts w:hint="eastAsia"/>
                <w:b/>
                <w:bCs/>
              </w:rPr>
              <w:t>3.7</w:t>
            </w:r>
            <w:r>
              <w:rPr>
                <w:rFonts w:hint="eastAsia"/>
                <w:b/>
                <w:bCs/>
                <w:color w:val="000000"/>
              </w:rPr>
              <w:t>环境保护目标</w:t>
            </w:r>
          </w:p>
          <w:p w14:paraId="1E971B11">
            <w:pPr>
              <w:spacing w:line="360" w:lineRule="auto"/>
              <w:ind w:firstLine="480" w:firstLineChars="200"/>
              <w:rPr>
                <w:rFonts w:hint="eastAsia"/>
                <w:color w:val="000000"/>
                <w:sz w:val="24"/>
              </w:rPr>
            </w:pPr>
            <w:r>
              <w:rPr>
                <w:rFonts w:hint="eastAsia"/>
                <w:color w:val="000000"/>
                <w:sz w:val="24"/>
              </w:rPr>
              <w:t>（1）环境空气</w:t>
            </w:r>
          </w:p>
          <w:p w14:paraId="7994FF60">
            <w:pPr>
              <w:spacing w:line="360" w:lineRule="auto"/>
              <w:ind w:firstLine="480" w:firstLineChars="200"/>
              <w:rPr>
                <w:rFonts w:hint="eastAsia" w:ascii="宋体" w:hAnsi="宋体" w:cs="宋体"/>
                <w:color w:val="000000"/>
                <w:sz w:val="24"/>
              </w:rPr>
            </w:pPr>
            <w:r>
              <w:rPr>
                <w:rFonts w:hint="eastAsia"/>
                <w:color w:val="000000"/>
                <w:sz w:val="24"/>
              </w:rPr>
              <w:t>项目厂界外500m范围内无自然保护区、风景名胜区</w:t>
            </w:r>
            <w:r>
              <w:rPr>
                <w:rFonts w:hint="eastAsia" w:ascii="宋体" w:hAnsi="宋体" w:cs="宋体"/>
                <w:color w:val="000000"/>
                <w:sz w:val="24"/>
              </w:rPr>
              <w:t>、居住区、文化区和农村地区中人群较集中的区域，也无居民点分布。</w:t>
            </w:r>
          </w:p>
          <w:p w14:paraId="2FC4FDBC">
            <w:pPr>
              <w:spacing w:line="360" w:lineRule="auto"/>
              <w:ind w:firstLine="480" w:firstLineChars="200"/>
              <w:rPr>
                <w:rFonts w:hint="eastAsia" w:ascii="宋体" w:hAnsi="宋体" w:cs="宋体"/>
                <w:color w:val="000000"/>
                <w:sz w:val="24"/>
              </w:rPr>
            </w:pPr>
            <w:r>
              <w:rPr>
                <w:rFonts w:hint="eastAsia" w:ascii="宋体" w:hAnsi="宋体" w:cs="宋体"/>
                <w:color w:val="000000"/>
                <w:sz w:val="24"/>
              </w:rPr>
              <w:t>（2）声环境保护目标</w:t>
            </w:r>
          </w:p>
          <w:p w14:paraId="7976B9F5">
            <w:pPr>
              <w:spacing w:line="360" w:lineRule="auto"/>
              <w:ind w:firstLine="480" w:firstLineChars="200"/>
              <w:rPr>
                <w:rFonts w:hint="eastAsia" w:ascii="宋体" w:hAnsi="宋体" w:cs="宋体"/>
                <w:color w:val="000000"/>
                <w:sz w:val="24"/>
              </w:rPr>
            </w:pPr>
            <w:r>
              <w:rPr>
                <w:rFonts w:hint="eastAsia" w:ascii="宋体" w:hAnsi="宋体" w:cs="宋体"/>
                <w:color w:val="000000"/>
                <w:sz w:val="24"/>
              </w:rPr>
              <w:t>拟建项目厂界外50m范围内无声环境保护目标。</w:t>
            </w:r>
          </w:p>
          <w:p w14:paraId="6AC4F66B">
            <w:pPr>
              <w:spacing w:line="360" w:lineRule="auto"/>
              <w:ind w:firstLine="480" w:firstLineChars="200"/>
              <w:rPr>
                <w:rFonts w:hint="eastAsia" w:ascii="宋体" w:hAnsi="宋体" w:cs="宋体"/>
                <w:color w:val="000000"/>
                <w:sz w:val="24"/>
              </w:rPr>
            </w:pPr>
            <w:r>
              <w:rPr>
                <w:rFonts w:hint="eastAsia" w:ascii="宋体" w:hAnsi="宋体" w:cs="宋体"/>
                <w:color w:val="000000"/>
                <w:sz w:val="24"/>
              </w:rPr>
              <w:t>（3）地下水</w:t>
            </w:r>
          </w:p>
          <w:p w14:paraId="11524F7C">
            <w:pPr>
              <w:spacing w:line="360" w:lineRule="auto"/>
              <w:ind w:firstLine="480" w:firstLineChars="200"/>
              <w:rPr>
                <w:rFonts w:hint="eastAsia" w:ascii="宋体" w:hAnsi="宋体" w:cs="宋体"/>
                <w:color w:val="000000"/>
                <w:sz w:val="24"/>
              </w:rPr>
            </w:pPr>
            <w:r>
              <w:rPr>
                <w:rFonts w:hint="eastAsia" w:ascii="宋体" w:hAnsi="宋体" w:cs="宋体"/>
                <w:color w:val="000000"/>
                <w:sz w:val="24"/>
              </w:rPr>
              <w:t>厂界外500m范围内无地下水集中式饮用水水源和热水、矿泉水、温泉等特殊地下水资源。</w:t>
            </w:r>
          </w:p>
          <w:p w14:paraId="0292BD83">
            <w:pPr>
              <w:spacing w:line="360" w:lineRule="auto"/>
              <w:ind w:firstLine="480" w:firstLineChars="200"/>
              <w:rPr>
                <w:rFonts w:hint="eastAsia" w:ascii="宋体" w:hAnsi="宋体" w:cs="宋体"/>
                <w:color w:val="000000"/>
                <w:sz w:val="24"/>
              </w:rPr>
            </w:pPr>
            <w:r>
              <w:rPr>
                <w:rFonts w:hint="eastAsia" w:ascii="宋体" w:hAnsi="宋体" w:cs="宋体"/>
                <w:color w:val="000000"/>
                <w:sz w:val="24"/>
              </w:rPr>
              <w:t>（4）生态环境</w:t>
            </w:r>
          </w:p>
          <w:p w14:paraId="38485312">
            <w:pPr>
              <w:spacing w:line="360" w:lineRule="auto"/>
              <w:ind w:firstLine="480" w:firstLineChars="200"/>
              <w:rPr>
                <w:rFonts w:hint="eastAsia" w:ascii="宋体" w:hAnsi="宋体" w:cs="宋体"/>
                <w:kern w:val="0"/>
                <w:szCs w:val="21"/>
              </w:rPr>
            </w:pPr>
            <w:r>
              <w:rPr>
                <w:rFonts w:hint="eastAsia" w:ascii="宋体" w:hAnsi="宋体" w:cs="宋体"/>
                <w:color w:val="000000"/>
                <w:sz w:val="24"/>
              </w:rPr>
              <w:t>本项目位于</w:t>
            </w:r>
            <w:r>
              <w:rPr>
                <w:rFonts w:hint="eastAsia" w:ascii="宋体" w:hAnsi="宋体" w:cs="宋体"/>
                <w:color w:val="000000"/>
                <w:kern w:val="0"/>
                <w:sz w:val="24"/>
              </w:rPr>
              <w:t>重庆涪陵工业园区李渡组团规划</w:t>
            </w:r>
            <w:r>
              <w:rPr>
                <w:rFonts w:hint="eastAsia" w:ascii="宋体" w:hAnsi="宋体" w:cs="宋体"/>
                <w:color w:val="000000"/>
                <w:sz w:val="24"/>
              </w:rPr>
              <w:t>范围内，无生态环境保护目标。</w:t>
            </w:r>
          </w:p>
        </w:tc>
      </w:tr>
      <w:tr w14:paraId="3ED984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5" w:type="dxa"/>
            <w:tcMar>
              <w:left w:w="28" w:type="dxa"/>
              <w:right w:w="28" w:type="dxa"/>
            </w:tcMar>
            <w:vAlign w:val="center"/>
          </w:tcPr>
          <w:p w14:paraId="12097158">
            <w:pPr>
              <w:adjustRightInd w:val="0"/>
              <w:snapToGrid w:val="0"/>
              <w:spacing w:line="360" w:lineRule="auto"/>
              <w:jc w:val="center"/>
              <w:rPr>
                <w:rFonts w:hint="eastAsia" w:ascii="宋体" w:hAnsi="宋体" w:cs="宋体"/>
                <w:kern w:val="0"/>
                <w:sz w:val="24"/>
              </w:rPr>
            </w:pPr>
            <w:r>
              <w:rPr>
                <w:rFonts w:hint="eastAsia" w:ascii="宋体" w:hAnsi="宋体" w:cs="宋体"/>
                <w:kern w:val="0"/>
                <w:sz w:val="24"/>
              </w:rPr>
              <w:t>污染</w:t>
            </w:r>
          </w:p>
          <w:p w14:paraId="7049F79A">
            <w:pPr>
              <w:adjustRightInd w:val="0"/>
              <w:snapToGrid w:val="0"/>
              <w:spacing w:line="360" w:lineRule="auto"/>
              <w:jc w:val="center"/>
              <w:rPr>
                <w:rFonts w:hint="eastAsia" w:ascii="宋体" w:hAnsi="宋体" w:cs="宋体"/>
                <w:kern w:val="0"/>
                <w:sz w:val="24"/>
              </w:rPr>
            </w:pPr>
            <w:r>
              <w:rPr>
                <w:rFonts w:hint="eastAsia" w:ascii="宋体" w:hAnsi="宋体" w:cs="宋体"/>
                <w:kern w:val="0"/>
                <w:sz w:val="24"/>
              </w:rPr>
              <w:t>物排</w:t>
            </w:r>
          </w:p>
          <w:p w14:paraId="23A24B1D">
            <w:pPr>
              <w:adjustRightInd w:val="0"/>
              <w:snapToGrid w:val="0"/>
              <w:spacing w:line="360" w:lineRule="auto"/>
              <w:jc w:val="center"/>
              <w:rPr>
                <w:rFonts w:hint="eastAsia" w:ascii="宋体" w:hAnsi="宋体" w:cs="宋体"/>
                <w:kern w:val="0"/>
                <w:sz w:val="24"/>
              </w:rPr>
            </w:pPr>
            <w:r>
              <w:rPr>
                <w:rFonts w:hint="eastAsia" w:ascii="宋体" w:hAnsi="宋体" w:cs="宋体"/>
                <w:kern w:val="0"/>
                <w:sz w:val="24"/>
              </w:rPr>
              <w:t>放控</w:t>
            </w:r>
          </w:p>
          <w:p w14:paraId="6D686451">
            <w:pPr>
              <w:adjustRightInd w:val="0"/>
              <w:snapToGrid w:val="0"/>
              <w:spacing w:line="360" w:lineRule="auto"/>
              <w:jc w:val="center"/>
              <w:rPr>
                <w:rFonts w:hint="eastAsia" w:ascii="宋体" w:hAnsi="宋体" w:cs="宋体"/>
                <w:kern w:val="0"/>
                <w:sz w:val="24"/>
              </w:rPr>
            </w:pPr>
            <w:r>
              <w:rPr>
                <w:rFonts w:hint="eastAsia" w:ascii="宋体" w:hAnsi="宋体" w:cs="宋体"/>
                <w:kern w:val="0"/>
                <w:sz w:val="24"/>
              </w:rPr>
              <w:t>制标</w:t>
            </w:r>
          </w:p>
          <w:p w14:paraId="7AE3F184">
            <w:pPr>
              <w:adjustRightInd w:val="0"/>
              <w:snapToGrid w:val="0"/>
              <w:spacing w:line="360" w:lineRule="auto"/>
              <w:jc w:val="center"/>
              <w:rPr>
                <w:rFonts w:ascii="宋体" w:hAnsi="宋体" w:cs="宋体"/>
                <w:kern w:val="0"/>
                <w:szCs w:val="21"/>
              </w:rPr>
            </w:pPr>
            <w:r>
              <w:rPr>
                <w:rFonts w:hint="eastAsia" w:ascii="宋体" w:hAnsi="宋体" w:cs="宋体"/>
                <w:kern w:val="0"/>
                <w:sz w:val="24"/>
              </w:rPr>
              <w:t>准</w:t>
            </w:r>
          </w:p>
        </w:tc>
        <w:tc>
          <w:tcPr>
            <w:tcW w:w="8356" w:type="dxa"/>
            <w:vAlign w:val="center"/>
          </w:tcPr>
          <w:p w14:paraId="60ECBD6E">
            <w:pPr>
              <w:adjustRightInd w:val="0"/>
              <w:snapToGrid w:val="0"/>
              <w:spacing w:line="360" w:lineRule="auto"/>
              <w:jc w:val="left"/>
              <w:rPr>
                <w:rFonts w:hint="eastAsia"/>
                <w:b/>
                <w:bCs/>
                <w:sz w:val="24"/>
              </w:rPr>
            </w:pPr>
            <w:r>
              <w:rPr>
                <w:rFonts w:hint="eastAsia"/>
                <w:b/>
                <w:bCs/>
                <w:sz w:val="24"/>
              </w:rPr>
              <w:t>3.8废气排放标准</w:t>
            </w:r>
          </w:p>
          <w:p w14:paraId="0A5509C3">
            <w:pPr>
              <w:adjustRightInd w:val="0"/>
              <w:spacing w:line="360" w:lineRule="auto"/>
              <w:ind w:firstLine="480" w:firstLineChars="200"/>
              <w:rPr>
                <w:rFonts w:hint="eastAsia"/>
                <w:color w:val="000000"/>
                <w:sz w:val="24"/>
              </w:rPr>
            </w:pPr>
            <w:r>
              <w:rPr>
                <w:rFonts w:hint="eastAsia"/>
                <w:sz w:val="24"/>
              </w:rPr>
              <w:t>施工期大气污染物排放执行《大气污染物综合排放标准》（DB 50/418-2016）中标准，排放标准</w:t>
            </w:r>
            <w:r>
              <w:rPr>
                <w:rFonts w:hint="eastAsia"/>
                <w:color w:val="000000"/>
                <w:sz w:val="24"/>
              </w:rPr>
              <w:t>值见表3-7。</w:t>
            </w:r>
          </w:p>
          <w:tbl>
            <w:tblPr>
              <w:tblStyle w:val="23"/>
              <w:tblpPr w:leftFromText="180" w:rightFromText="180" w:vertAnchor="text" w:horzAnchor="page" w:tblpX="88" w:tblpY="468"/>
              <w:tblOverlap w:val="never"/>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713"/>
              <w:gridCol w:w="2708"/>
              <w:gridCol w:w="2719"/>
            </w:tblGrid>
            <w:tr w14:paraId="571C76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666" w:type="pct"/>
                  <w:vMerge w:val="restart"/>
                  <w:vAlign w:val="center"/>
                </w:tcPr>
                <w:p w14:paraId="59127E41">
                  <w:pPr>
                    <w:pStyle w:val="51"/>
                    <w:jc w:val="center"/>
                    <w:rPr>
                      <w:color w:val="000000"/>
                      <w:sz w:val="21"/>
                      <w:szCs w:val="21"/>
                    </w:rPr>
                  </w:pPr>
                  <w:r>
                    <w:rPr>
                      <w:color w:val="000000"/>
                      <w:sz w:val="21"/>
                      <w:szCs w:val="21"/>
                    </w:rPr>
                    <w:t>污染物</w:t>
                  </w:r>
                </w:p>
              </w:tc>
              <w:tc>
                <w:tcPr>
                  <w:tcW w:w="3333" w:type="pct"/>
                  <w:gridSpan w:val="2"/>
                  <w:vAlign w:val="center"/>
                </w:tcPr>
                <w:p w14:paraId="014D3513">
                  <w:pPr>
                    <w:pStyle w:val="51"/>
                    <w:jc w:val="center"/>
                    <w:rPr>
                      <w:color w:val="000000"/>
                      <w:sz w:val="21"/>
                      <w:szCs w:val="21"/>
                    </w:rPr>
                  </w:pPr>
                  <w:r>
                    <w:rPr>
                      <w:color w:val="000000"/>
                      <w:sz w:val="21"/>
                      <w:szCs w:val="21"/>
                    </w:rPr>
                    <w:t>无组织排放监控浓度</w:t>
                  </w:r>
                </w:p>
              </w:tc>
            </w:tr>
            <w:tr w14:paraId="377CD1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666" w:type="pct"/>
                  <w:vMerge w:val="continue"/>
                  <w:vAlign w:val="center"/>
                </w:tcPr>
                <w:p w14:paraId="2AAF22AB">
                  <w:pPr>
                    <w:pStyle w:val="51"/>
                    <w:jc w:val="center"/>
                    <w:rPr>
                      <w:color w:val="000000"/>
                      <w:sz w:val="21"/>
                      <w:szCs w:val="21"/>
                    </w:rPr>
                  </w:pPr>
                </w:p>
              </w:tc>
              <w:tc>
                <w:tcPr>
                  <w:tcW w:w="1663" w:type="pct"/>
                  <w:vAlign w:val="center"/>
                </w:tcPr>
                <w:p w14:paraId="2A46472D">
                  <w:pPr>
                    <w:pStyle w:val="51"/>
                    <w:jc w:val="center"/>
                    <w:rPr>
                      <w:color w:val="000000"/>
                      <w:sz w:val="21"/>
                      <w:szCs w:val="21"/>
                    </w:rPr>
                  </w:pPr>
                  <w:r>
                    <w:rPr>
                      <w:color w:val="000000"/>
                      <w:sz w:val="21"/>
                      <w:szCs w:val="21"/>
                    </w:rPr>
                    <w:t>监控点</w:t>
                  </w:r>
                </w:p>
              </w:tc>
              <w:tc>
                <w:tcPr>
                  <w:tcW w:w="1670" w:type="pct"/>
                  <w:vAlign w:val="center"/>
                </w:tcPr>
                <w:p w14:paraId="7CBF0D97">
                  <w:pPr>
                    <w:pStyle w:val="51"/>
                    <w:jc w:val="center"/>
                    <w:rPr>
                      <w:color w:val="000000"/>
                      <w:sz w:val="21"/>
                      <w:szCs w:val="21"/>
                    </w:rPr>
                  </w:pPr>
                  <w:r>
                    <w:rPr>
                      <w:color w:val="000000"/>
                      <w:sz w:val="21"/>
                      <w:szCs w:val="21"/>
                    </w:rPr>
                    <w:t>浓度mg/m</w:t>
                  </w:r>
                  <w:r>
                    <w:rPr>
                      <w:color w:val="000000"/>
                      <w:sz w:val="21"/>
                      <w:szCs w:val="21"/>
                      <w:vertAlign w:val="superscript"/>
                    </w:rPr>
                    <w:t>3</w:t>
                  </w:r>
                </w:p>
              </w:tc>
            </w:tr>
            <w:tr w14:paraId="310CDE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666" w:type="pct"/>
                  <w:vAlign w:val="center"/>
                </w:tcPr>
                <w:p w14:paraId="2BBF894D">
                  <w:pPr>
                    <w:pStyle w:val="51"/>
                    <w:jc w:val="center"/>
                    <w:rPr>
                      <w:color w:val="000000"/>
                      <w:sz w:val="21"/>
                      <w:szCs w:val="21"/>
                    </w:rPr>
                  </w:pPr>
                  <w:r>
                    <w:rPr>
                      <w:color w:val="000000"/>
                      <w:sz w:val="21"/>
                      <w:szCs w:val="21"/>
                    </w:rPr>
                    <w:t>颗粒物</w:t>
                  </w:r>
                </w:p>
              </w:tc>
              <w:tc>
                <w:tcPr>
                  <w:tcW w:w="1663" w:type="pct"/>
                  <w:vAlign w:val="center"/>
                </w:tcPr>
                <w:p w14:paraId="5E128164">
                  <w:pPr>
                    <w:pStyle w:val="51"/>
                    <w:jc w:val="center"/>
                    <w:rPr>
                      <w:color w:val="000000"/>
                      <w:sz w:val="21"/>
                      <w:szCs w:val="21"/>
                    </w:rPr>
                  </w:pPr>
                  <w:r>
                    <w:rPr>
                      <w:color w:val="000000"/>
                      <w:sz w:val="21"/>
                      <w:szCs w:val="21"/>
                    </w:rPr>
                    <w:t>周界外浓度最高点</w:t>
                  </w:r>
                </w:p>
              </w:tc>
              <w:tc>
                <w:tcPr>
                  <w:tcW w:w="1670" w:type="pct"/>
                  <w:vAlign w:val="center"/>
                </w:tcPr>
                <w:p w14:paraId="591E61D0">
                  <w:pPr>
                    <w:pStyle w:val="51"/>
                    <w:jc w:val="center"/>
                    <w:rPr>
                      <w:color w:val="000000"/>
                      <w:sz w:val="21"/>
                      <w:szCs w:val="21"/>
                    </w:rPr>
                  </w:pPr>
                  <w:r>
                    <w:rPr>
                      <w:color w:val="000000"/>
                      <w:sz w:val="21"/>
                      <w:szCs w:val="21"/>
                    </w:rPr>
                    <w:t>1.0</w:t>
                  </w:r>
                </w:p>
              </w:tc>
            </w:tr>
          </w:tbl>
          <w:p w14:paraId="20E5350E">
            <w:pPr>
              <w:pStyle w:val="68"/>
              <w:spacing w:line="240" w:lineRule="auto"/>
              <w:rPr>
                <w:rFonts w:hint="eastAsia" w:ascii="黑体" w:hAnsi="黑体" w:eastAsia="黑体" w:cs="黑体"/>
                <w:b w:val="0"/>
                <w:bCs w:val="0"/>
                <w:color w:val="000000"/>
              </w:rPr>
            </w:pPr>
            <w:r>
              <w:rPr>
                <w:rFonts w:hint="eastAsia" w:ascii="黑体" w:hAnsi="黑体" w:eastAsia="黑体" w:cs="黑体"/>
                <w:b w:val="0"/>
                <w:bCs w:val="0"/>
                <w:color w:val="000000"/>
              </w:rPr>
              <w:t>表3-7  大气污染物综合排放标准   单位mg/L</w:t>
            </w:r>
          </w:p>
          <w:p w14:paraId="10A54886">
            <w:pPr>
              <w:adjustRightInd w:val="0"/>
              <w:spacing w:line="360" w:lineRule="auto"/>
              <w:ind w:firstLine="480" w:firstLineChars="200"/>
              <w:rPr>
                <w:rFonts w:hint="eastAsia"/>
                <w:color w:val="000000"/>
                <w:sz w:val="24"/>
              </w:rPr>
            </w:pPr>
            <w:r>
              <w:rPr>
                <w:rFonts w:hint="eastAsia"/>
                <w:sz w:val="24"/>
              </w:rPr>
              <w:t>营运期拟建项目厂界非甲烷总烃执行《加油站大气污染物排放标准》（GB20952-2020）中表3无组织排放浓度限值</w:t>
            </w:r>
            <w:r>
              <w:rPr>
                <w:rFonts w:hint="eastAsia"/>
                <w:color w:val="000000"/>
                <w:sz w:val="24"/>
              </w:rPr>
              <w:t>，详见表3-10。</w:t>
            </w:r>
          </w:p>
          <w:p w14:paraId="5BD5D1EB">
            <w:pPr>
              <w:pStyle w:val="68"/>
              <w:spacing w:line="240" w:lineRule="auto"/>
              <w:rPr>
                <w:rFonts w:hint="eastAsia" w:ascii="黑体" w:hAnsi="黑体" w:eastAsia="黑体" w:cs="黑体"/>
                <w:b w:val="0"/>
                <w:bCs w:val="0"/>
                <w:color w:val="000000"/>
                <w:lang w:val="zh-CN"/>
              </w:rPr>
            </w:pPr>
            <w:r>
              <w:rPr>
                <w:rFonts w:hint="eastAsia" w:ascii="黑体" w:hAnsi="黑体" w:eastAsia="黑体" w:cs="黑体"/>
                <w:b w:val="0"/>
                <w:bCs w:val="0"/>
                <w:color w:val="000000"/>
                <w:lang w:val="zh-CN"/>
              </w:rPr>
              <w:t>表</w:t>
            </w:r>
            <w:r>
              <w:rPr>
                <w:rFonts w:hint="eastAsia" w:ascii="黑体" w:hAnsi="黑体" w:eastAsia="黑体" w:cs="黑体"/>
                <w:b w:val="0"/>
                <w:bCs w:val="0"/>
                <w:color w:val="000000"/>
              </w:rPr>
              <w:t>3-8</w:t>
            </w:r>
            <w:r>
              <w:rPr>
                <w:rFonts w:hint="eastAsia" w:ascii="黑体" w:hAnsi="黑体" w:eastAsia="黑体" w:cs="黑体"/>
                <w:b w:val="0"/>
                <w:bCs w:val="0"/>
                <w:color w:val="000000"/>
                <w:lang w:val="zh-CN"/>
              </w:rPr>
              <w:t xml:space="preserve">  </w:t>
            </w:r>
            <w:r>
              <w:rPr>
                <w:rFonts w:hint="eastAsia" w:ascii="黑体" w:hAnsi="黑体" w:eastAsia="黑体" w:cs="黑体"/>
                <w:b w:val="0"/>
                <w:bCs w:val="0"/>
                <w:color w:val="000000"/>
              </w:rPr>
              <w:t>《加油站大气污染物排放标准》（GB20952-2020）</w:t>
            </w:r>
          </w:p>
          <w:tbl>
            <w:tblPr>
              <w:tblStyle w:val="23"/>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464"/>
              <w:gridCol w:w="2859"/>
              <w:gridCol w:w="2817"/>
            </w:tblGrid>
            <w:tr w14:paraId="049870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2515" w:type="dxa"/>
                  <w:vMerge w:val="restart"/>
                  <w:vAlign w:val="center"/>
                </w:tcPr>
                <w:p w14:paraId="66E8C7AD">
                  <w:pPr>
                    <w:pStyle w:val="9"/>
                    <w:jc w:val="center"/>
                    <w:rPr>
                      <w:rFonts w:ascii="Times New Roman" w:hAnsi="Times New Roman"/>
                      <w:kern w:val="2"/>
                      <w:sz w:val="21"/>
                      <w:szCs w:val="24"/>
                    </w:rPr>
                  </w:pPr>
                  <w:r>
                    <w:rPr>
                      <w:rFonts w:ascii="Times New Roman" w:hAnsi="Times New Roman"/>
                      <w:kern w:val="2"/>
                      <w:sz w:val="21"/>
                      <w:szCs w:val="24"/>
                    </w:rPr>
                    <w:t>污染物名称</w:t>
                  </w:r>
                </w:p>
              </w:tc>
              <w:tc>
                <w:tcPr>
                  <w:tcW w:w="5783" w:type="dxa"/>
                  <w:gridSpan w:val="2"/>
                  <w:vAlign w:val="center"/>
                </w:tcPr>
                <w:p w14:paraId="1579147D">
                  <w:pPr>
                    <w:pStyle w:val="9"/>
                    <w:jc w:val="center"/>
                    <w:rPr>
                      <w:rFonts w:ascii="Times New Roman" w:hAnsi="Times New Roman"/>
                      <w:kern w:val="2"/>
                      <w:sz w:val="21"/>
                      <w:szCs w:val="24"/>
                    </w:rPr>
                  </w:pPr>
                  <w:r>
                    <w:rPr>
                      <w:rFonts w:ascii="Times New Roman" w:hAnsi="Times New Roman"/>
                      <w:kern w:val="2"/>
                      <w:sz w:val="21"/>
                      <w:szCs w:val="24"/>
                    </w:rPr>
                    <w:t>无组织排放监控浓度限值</w:t>
                  </w:r>
                </w:p>
              </w:tc>
            </w:tr>
            <w:tr w14:paraId="7EBB1E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2515" w:type="dxa"/>
                  <w:vMerge w:val="continue"/>
                  <w:vAlign w:val="center"/>
                </w:tcPr>
                <w:p w14:paraId="4ED265FB">
                  <w:pPr>
                    <w:pStyle w:val="9"/>
                    <w:jc w:val="center"/>
                    <w:rPr>
                      <w:rFonts w:ascii="Times New Roman" w:hAnsi="Times New Roman"/>
                      <w:kern w:val="2"/>
                      <w:sz w:val="21"/>
                      <w:szCs w:val="24"/>
                    </w:rPr>
                  </w:pPr>
                </w:p>
              </w:tc>
              <w:tc>
                <w:tcPr>
                  <w:tcW w:w="2921" w:type="dxa"/>
                  <w:vAlign w:val="center"/>
                </w:tcPr>
                <w:p w14:paraId="2824488B">
                  <w:pPr>
                    <w:pStyle w:val="9"/>
                    <w:jc w:val="center"/>
                    <w:rPr>
                      <w:rFonts w:ascii="Times New Roman" w:hAnsi="Times New Roman"/>
                      <w:kern w:val="2"/>
                      <w:sz w:val="21"/>
                      <w:szCs w:val="24"/>
                    </w:rPr>
                  </w:pPr>
                  <w:r>
                    <w:rPr>
                      <w:rFonts w:ascii="Times New Roman" w:hAnsi="Times New Roman"/>
                      <w:kern w:val="2"/>
                      <w:sz w:val="21"/>
                      <w:szCs w:val="24"/>
                    </w:rPr>
                    <w:t>监控点</w:t>
                  </w:r>
                </w:p>
              </w:tc>
              <w:tc>
                <w:tcPr>
                  <w:tcW w:w="2862" w:type="dxa"/>
                  <w:vAlign w:val="center"/>
                </w:tcPr>
                <w:p w14:paraId="3EE9FB94">
                  <w:pPr>
                    <w:pStyle w:val="9"/>
                    <w:jc w:val="center"/>
                    <w:rPr>
                      <w:rFonts w:ascii="Times New Roman" w:hAnsi="Times New Roman"/>
                      <w:kern w:val="2"/>
                      <w:sz w:val="21"/>
                      <w:szCs w:val="24"/>
                    </w:rPr>
                  </w:pPr>
                  <w:r>
                    <w:rPr>
                      <w:rFonts w:ascii="Times New Roman" w:hAnsi="Times New Roman"/>
                      <w:kern w:val="2"/>
                      <w:sz w:val="21"/>
                      <w:szCs w:val="24"/>
                    </w:rPr>
                    <w:t>浓度</w:t>
                  </w:r>
                </w:p>
              </w:tc>
            </w:tr>
            <w:tr w14:paraId="6EBA36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3" w:hRule="atLeast"/>
                <w:jc w:val="center"/>
              </w:trPr>
              <w:tc>
                <w:tcPr>
                  <w:tcW w:w="2515" w:type="dxa"/>
                  <w:vAlign w:val="center"/>
                </w:tcPr>
                <w:p w14:paraId="33397635">
                  <w:pPr>
                    <w:pStyle w:val="9"/>
                    <w:jc w:val="center"/>
                    <w:rPr>
                      <w:rFonts w:ascii="Times New Roman" w:hAnsi="Times New Roman"/>
                      <w:kern w:val="2"/>
                      <w:sz w:val="21"/>
                      <w:szCs w:val="24"/>
                    </w:rPr>
                  </w:pPr>
                  <w:r>
                    <w:rPr>
                      <w:rFonts w:ascii="Times New Roman" w:hAnsi="Times New Roman"/>
                      <w:kern w:val="2"/>
                      <w:sz w:val="21"/>
                      <w:szCs w:val="24"/>
                    </w:rPr>
                    <w:t>非甲烷总烃</w:t>
                  </w:r>
                </w:p>
              </w:tc>
              <w:tc>
                <w:tcPr>
                  <w:tcW w:w="2921" w:type="dxa"/>
                  <w:vAlign w:val="center"/>
                </w:tcPr>
                <w:p w14:paraId="41453174">
                  <w:pPr>
                    <w:pStyle w:val="9"/>
                    <w:jc w:val="center"/>
                    <w:rPr>
                      <w:rFonts w:ascii="Times New Roman" w:hAnsi="Times New Roman"/>
                      <w:kern w:val="2"/>
                      <w:sz w:val="21"/>
                      <w:szCs w:val="24"/>
                    </w:rPr>
                  </w:pPr>
                  <w:r>
                    <w:rPr>
                      <w:rFonts w:ascii="Times New Roman" w:hAnsi="Times New Roman"/>
                      <w:kern w:val="2"/>
                      <w:sz w:val="21"/>
                      <w:szCs w:val="24"/>
                    </w:rPr>
                    <w:t>周界外浓度最高点</w:t>
                  </w:r>
                </w:p>
              </w:tc>
              <w:tc>
                <w:tcPr>
                  <w:tcW w:w="2862" w:type="dxa"/>
                  <w:vAlign w:val="center"/>
                </w:tcPr>
                <w:p w14:paraId="106C6165">
                  <w:pPr>
                    <w:pStyle w:val="9"/>
                    <w:jc w:val="center"/>
                    <w:rPr>
                      <w:rFonts w:ascii="Times New Roman" w:hAnsi="Times New Roman"/>
                      <w:kern w:val="2"/>
                      <w:sz w:val="21"/>
                      <w:szCs w:val="24"/>
                    </w:rPr>
                  </w:pPr>
                  <w:r>
                    <w:rPr>
                      <w:rFonts w:ascii="Times New Roman" w:hAnsi="Times New Roman"/>
                      <w:kern w:val="2"/>
                      <w:sz w:val="21"/>
                      <w:szCs w:val="24"/>
                    </w:rPr>
                    <w:t>4.0mg/m</w:t>
                  </w:r>
                  <w:r>
                    <w:rPr>
                      <w:rFonts w:ascii="Times New Roman" w:hAnsi="Times New Roman"/>
                      <w:kern w:val="2"/>
                      <w:sz w:val="21"/>
                      <w:szCs w:val="24"/>
                      <w:vertAlign w:val="superscript"/>
                    </w:rPr>
                    <w:t>3</w:t>
                  </w:r>
                </w:p>
              </w:tc>
            </w:tr>
          </w:tbl>
          <w:p w14:paraId="54FEF812">
            <w:pPr>
              <w:adjustRightInd w:val="0"/>
              <w:snapToGrid w:val="0"/>
              <w:spacing w:line="360" w:lineRule="auto"/>
              <w:ind w:firstLine="480" w:firstLineChars="200"/>
              <w:rPr>
                <w:sz w:val="24"/>
              </w:rPr>
            </w:pPr>
            <w:r>
              <w:rPr>
                <w:rFonts w:hint="eastAsia"/>
                <w:sz w:val="24"/>
              </w:rPr>
              <w:t>油气回收系统液阻、密闭性、气液比和油气泄漏检测值</w:t>
            </w:r>
            <w:r>
              <w:rPr>
                <w:sz w:val="24"/>
              </w:rPr>
              <w:t>执行《加油站大气污染物排放标准》（GB20952-20</w:t>
            </w:r>
            <w:r>
              <w:rPr>
                <w:rFonts w:hint="eastAsia"/>
                <w:sz w:val="24"/>
              </w:rPr>
              <w:t>20</w:t>
            </w:r>
            <w:r>
              <w:rPr>
                <w:sz w:val="24"/>
              </w:rPr>
              <w:t>），</w:t>
            </w:r>
            <w:r>
              <w:rPr>
                <w:color w:val="000000"/>
                <w:sz w:val="24"/>
              </w:rPr>
              <w:t>见表</w:t>
            </w:r>
            <w:r>
              <w:rPr>
                <w:rFonts w:hint="eastAsia"/>
                <w:color w:val="000000"/>
                <w:sz w:val="24"/>
              </w:rPr>
              <w:t>3-9、表3-10</w:t>
            </w:r>
            <w:r>
              <w:rPr>
                <w:color w:val="000000"/>
                <w:sz w:val="24"/>
              </w:rPr>
              <w:t>。</w:t>
            </w:r>
          </w:p>
          <w:p w14:paraId="1BFE2B78">
            <w:pPr>
              <w:adjustRightInd w:val="0"/>
              <w:snapToGrid w:val="0"/>
              <w:spacing w:line="360" w:lineRule="auto"/>
              <w:ind w:firstLine="480" w:firstLineChars="200"/>
              <w:rPr>
                <w:color w:val="000000"/>
                <w:sz w:val="24"/>
              </w:rPr>
            </w:pPr>
            <w:r>
              <w:rPr>
                <w:sz w:val="24"/>
              </w:rPr>
              <w:t>汽油</w:t>
            </w:r>
            <w:r>
              <w:rPr>
                <w:rFonts w:hint="eastAsia"/>
                <w:sz w:val="24"/>
              </w:rPr>
              <w:t>加油</w:t>
            </w:r>
            <w:r>
              <w:rPr>
                <w:sz w:val="24"/>
              </w:rPr>
              <w:t>油气回收系统的气液比应在1.0~1.2范围内；</w:t>
            </w:r>
            <w:r>
              <w:rPr>
                <w:rFonts w:hint="eastAsia"/>
                <w:sz w:val="24"/>
              </w:rPr>
              <w:t>采用氢火焰离子化检测仪（以甲烷或丙烷为校准气体）检测</w:t>
            </w:r>
            <w:r>
              <w:rPr>
                <w:sz w:val="24"/>
              </w:rPr>
              <w:t>油气回收系统密闭点位，油气泄漏检测值应小于等于500μmol</w:t>
            </w:r>
            <w:r>
              <w:rPr>
                <w:color w:val="000000"/>
                <w:sz w:val="24"/>
              </w:rPr>
              <w:t>/mol。</w:t>
            </w:r>
          </w:p>
          <w:p w14:paraId="7DEDBBF6">
            <w:pPr>
              <w:pStyle w:val="68"/>
              <w:spacing w:line="240" w:lineRule="auto"/>
              <w:rPr>
                <w:rFonts w:hint="eastAsia" w:ascii="黑体" w:hAnsi="黑体" w:eastAsia="黑体" w:cs="黑体"/>
                <w:b w:val="0"/>
                <w:bCs w:val="0"/>
              </w:rPr>
            </w:pPr>
            <w:r>
              <w:rPr>
                <w:rFonts w:hint="eastAsia" w:ascii="黑体" w:hAnsi="黑体" w:eastAsia="黑体" w:cs="黑体"/>
                <w:b w:val="0"/>
                <w:bCs w:val="0"/>
                <w:color w:val="000000"/>
                <w:lang w:val="zh-CN"/>
              </w:rPr>
              <w:t>表</w:t>
            </w:r>
            <w:r>
              <w:rPr>
                <w:rFonts w:hint="eastAsia" w:ascii="黑体" w:hAnsi="黑体" w:eastAsia="黑体" w:cs="黑体"/>
                <w:b w:val="0"/>
                <w:bCs w:val="0"/>
                <w:color w:val="000000"/>
              </w:rPr>
              <w:t>3-9</w:t>
            </w:r>
            <w:r>
              <w:rPr>
                <w:rFonts w:hint="eastAsia" w:ascii="黑体" w:hAnsi="黑体" w:eastAsia="黑体" w:cs="黑体"/>
                <w:b w:val="0"/>
                <w:bCs w:val="0"/>
                <w:color w:val="000000"/>
                <w:lang w:val="zh-CN"/>
              </w:rPr>
              <w:t xml:space="preserve"> </w:t>
            </w:r>
            <w:r>
              <w:rPr>
                <w:rFonts w:hint="eastAsia" w:ascii="黑体" w:hAnsi="黑体" w:eastAsia="黑体" w:cs="黑体"/>
                <w:b w:val="0"/>
                <w:bCs w:val="0"/>
                <w:color w:val="000000"/>
              </w:rPr>
              <w:t>《加油站</w:t>
            </w:r>
            <w:r>
              <w:rPr>
                <w:rFonts w:hint="eastAsia" w:ascii="黑体" w:hAnsi="黑体" w:eastAsia="黑体" w:cs="黑体"/>
                <w:b w:val="0"/>
                <w:bCs w:val="0"/>
              </w:rPr>
              <w:t>大气污染物排放标准》（GB20952-2020）</w:t>
            </w:r>
          </w:p>
          <w:tbl>
            <w:tblPr>
              <w:tblStyle w:val="23"/>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712"/>
              <w:gridCol w:w="2713"/>
              <w:gridCol w:w="2713"/>
            </w:tblGrid>
            <w:tr w14:paraId="62B9EE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6" w:type="pct"/>
                  <w:vMerge w:val="restart"/>
                  <w:vAlign w:val="center"/>
                </w:tcPr>
                <w:p w14:paraId="3784FB62">
                  <w:pPr>
                    <w:adjustRightInd w:val="0"/>
                    <w:jc w:val="center"/>
                    <w:rPr>
                      <w:szCs w:val="21"/>
                      <w:lang w:val="nl-NL"/>
                    </w:rPr>
                  </w:pPr>
                  <w:r>
                    <w:rPr>
                      <w:rFonts w:hint="eastAsia"/>
                      <w:szCs w:val="21"/>
                    </w:rPr>
                    <w:t>加油站油气回收管线液阻最大压力限值</w:t>
                  </w:r>
                </w:p>
              </w:tc>
              <w:tc>
                <w:tcPr>
                  <w:tcW w:w="1666" w:type="pct"/>
                  <w:vAlign w:val="center"/>
                </w:tcPr>
                <w:p w14:paraId="73F95B44">
                  <w:pPr>
                    <w:adjustRightInd w:val="0"/>
                    <w:jc w:val="center"/>
                    <w:rPr>
                      <w:szCs w:val="21"/>
                      <w:lang w:val="nl-NL"/>
                    </w:rPr>
                  </w:pPr>
                  <w:r>
                    <w:rPr>
                      <w:szCs w:val="21"/>
                    </w:rPr>
                    <w:t>通入氮气流量</w:t>
                  </w:r>
                  <w:r>
                    <w:rPr>
                      <w:szCs w:val="21"/>
                      <w:lang w:val="nl-NL"/>
                    </w:rPr>
                    <w:t>/(L/min)</w:t>
                  </w:r>
                </w:p>
              </w:tc>
              <w:tc>
                <w:tcPr>
                  <w:tcW w:w="1666" w:type="pct"/>
                  <w:vAlign w:val="center"/>
                </w:tcPr>
                <w:p w14:paraId="5EF41F60">
                  <w:pPr>
                    <w:adjustRightInd w:val="0"/>
                    <w:jc w:val="center"/>
                    <w:rPr>
                      <w:szCs w:val="21"/>
                    </w:rPr>
                  </w:pPr>
                  <w:r>
                    <w:rPr>
                      <w:szCs w:val="21"/>
                    </w:rPr>
                    <w:t>最大压力/Pa</w:t>
                  </w:r>
                </w:p>
              </w:tc>
            </w:tr>
            <w:tr w14:paraId="0A6D86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6" w:type="pct"/>
                  <w:vMerge w:val="continue"/>
                  <w:vAlign w:val="center"/>
                </w:tcPr>
                <w:p w14:paraId="14AFEADA">
                  <w:pPr>
                    <w:adjustRightInd w:val="0"/>
                    <w:jc w:val="center"/>
                    <w:rPr>
                      <w:szCs w:val="21"/>
                    </w:rPr>
                  </w:pPr>
                </w:p>
              </w:tc>
              <w:tc>
                <w:tcPr>
                  <w:tcW w:w="1666" w:type="pct"/>
                  <w:vAlign w:val="center"/>
                </w:tcPr>
                <w:p w14:paraId="57A1C85D">
                  <w:pPr>
                    <w:adjustRightInd w:val="0"/>
                    <w:jc w:val="center"/>
                    <w:rPr>
                      <w:szCs w:val="21"/>
                    </w:rPr>
                  </w:pPr>
                  <w:r>
                    <w:rPr>
                      <w:szCs w:val="21"/>
                    </w:rPr>
                    <w:t>18</w:t>
                  </w:r>
                </w:p>
              </w:tc>
              <w:tc>
                <w:tcPr>
                  <w:tcW w:w="1666" w:type="pct"/>
                  <w:vAlign w:val="center"/>
                </w:tcPr>
                <w:p w14:paraId="760AB594">
                  <w:pPr>
                    <w:adjustRightInd w:val="0"/>
                    <w:jc w:val="center"/>
                    <w:rPr>
                      <w:szCs w:val="21"/>
                    </w:rPr>
                  </w:pPr>
                  <w:r>
                    <w:rPr>
                      <w:szCs w:val="21"/>
                    </w:rPr>
                    <w:t>40</w:t>
                  </w:r>
                </w:p>
              </w:tc>
            </w:tr>
            <w:tr w14:paraId="44BC18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6" w:type="pct"/>
                  <w:vMerge w:val="continue"/>
                  <w:vAlign w:val="center"/>
                </w:tcPr>
                <w:p w14:paraId="297BD00E">
                  <w:pPr>
                    <w:adjustRightInd w:val="0"/>
                    <w:jc w:val="center"/>
                    <w:rPr>
                      <w:szCs w:val="21"/>
                    </w:rPr>
                  </w:pPr>
                </w:p>
              </w:tc>
              <w:tc>
                <w:tcPr>
                  <w:tcW w:w="1666" w:type="pct"/>
                  <w:vAlign w:val="center"/>
                </w:tcPr>
                <w:p w14:paraId="4FD82E4F">
                  <w:pPr>
                    <w:adjustRightInd w:val="0"/>
                    <w:jc w:val="center"/>
                    <w:rPr>
                      <w:szCs w:val="21"/>
                    </w:rPr>
                  </w:pPr>
                  <w:r>
                    <w:rPr>
                      <w:szCs w:val="21"/>
                    </w:rPr>
                    <w:t>28</w:t>
                  </w:r>
                </w:p>
              </w:tc>
              <w:tc>
                <w:tcPr>
                  <w:tcW w:w="1666" w:type="pct"/>
                  <w:vAlign w:val="center"/>
                </w:tcPr>
                <w:p w14:paraId="006AE2C9">
                  <w:pPr>
                    <w:adjustRightInd w:val="0"/>
                    <w:jc w:val="center"/>
                    <w:rPr>
                      <w:szCs w:val="21"/>
                    </w:rPr>
                  </w:pPr>
                  <w:r>
                    <w:rPr>
                      <w:szCs w:val="21"/>
                    </w:rPr>
                    <w:t>90</w:t>
                  </w:r>
                </w:p>
              </w:tc>
            </w:tr>
            <w:tr w14:paraId="19BA6C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6" w:type="pct"/>
                  <w:vMerge w:val="continue"/>
                  <w:vAlign w:val="center"/>
                </w:tcPr>
                <w:p w14:paraId="5EE914E5">
                  <w:pPr>
                    <w:adjustRightInd w:val="0"/>
                    <w:jc w:val="center"/>
                    <w:rPr>
                      <w:szCs w:val="21"/>
                    </w:rPr>
                  </w:pPr>
                </w:p>
              </w:tc>
              <w:tc>
                <w:tcPr>
                  <w:tcW w:w="1666" w:type="pct"/>
                  <w:vAlign w:val="center"/>
                </w:tcPr>
                <w:p w14:paraId="6D404FD9">
                  <w:pPr>
                    <w:adjustRightInd w:val="0"/>
                    <w:jc w:val="center"/>
                    <w:rPr>
                      <w:szCs w:val="21"/>
                    </w:rPr>
                  </w:pPr>
                  <w:r>
                    <w:rPr>
                      <w:szCs w:val="21"/>
                    </w:rPr>
                    <w:t>38</w:t>
                  </w:r>
                </w:p>
              </w:tc>
              <w:tc>
                <w:tcPr>
                  <w:tcW w:w="1666" w:type="pct"/>
                  <w:vAlign w:val="center"/>
                </w:tcPr>
                <w:p w14:paraId="597A2F74">
                  <w:pPr>
                    <w:adjustRightInd w:val="0"/>
                    <w:jc w:val="center"/>
                    <w:rPr>
                      <w:szCs w:val="21"/>
                    </w:rPr>
                  </w:pPr>
                  <w:r>
                    <w:rPr>
                      <w:szCs w:val="21"/>
                    </w:rPr>
                    <w:t>155</w:t>
                  </w:r>
                </w:p>
              </w:tc>
            </w:tr>
          </w:tbl>
          <w:p w14:paraId="1B7FB332">
            <w:pPr>
              <w:pStyle w:val="68"/>
              <w:spacing w:line="240" w:lineRule="auto"/>
              <w:rPr>
                <w:rFonts w:hint="eastAsia" w:ascii="黑体" w:hAnsi="黑体" w:eastAsia="黑体" w:cs="黑体"/>
                <w:b w:val="0"/>
                <w:bCs w:val="0"/>
                <w:lang w:val="zh-CN"/>
              </w:rPr>
            </w:pPr>
            <w:r>
              <w:rPr>
                <w:rFonts w:hint="eastAsia" w:ascii="黑体" w:hAnsi="黑体" w:eastAsia="黑体" w:cs="黑体"/>
                <w:b w:val="0"/>
                <w:bCs w:val="0"/>
                <w:color w:val="000000"/>
                <w:lang w:val="zh-CN"/>
              </w:rPr>
              <w:t xml:space="preserve">表3-10 </w:t>
            </w:r>
            <w:r>
              <w:rPr>
                <w:rFonts w:hint="eastAsia" w:ascii="黑体" w:hAnsi="黑体" w:eastAsia="黑体" w:cs="黑体"/>
                <w:b w:val="0"/>
                <w:bCs w:val="0"/>
                <w:color w:val="000000"/>
              </w:rPr>
              <w:t xml:space="preserve"> </w:t>
            </w:r>
            <w:r>
              <w:rPr>
                <w:rFonts w:hint="eastAsia" w:ascii="黑体" w:hAnsi="黑体" w:eastAsia="黑体" w:cs="黑体"/>
                <w:b w:val="0"/>
                <w:bCs w:val="0"/>
                <w:color w:val="000000"/>
                <w:lang w:val="zh-CN"/>
              </w:rPr>
              <w:t>加</w:t>
            </w:r>
            <w:r>
              <w:rPr>
                <w:rFonts w:hint="eastAsia" w:ascii="黑体" w:hAnsi="黑体" w:eastAsia="黑体" w:cs="黑体"/>
                <w:b w:val="0"/>
                <w:bCs w:val="0"/>
                <w:lang w:val="zh-CN"/>
              </w:rPr>
              <w:t>油站油气回收系统密闭性检测最小剩余压力限值  单位：Pa</w:t>
            </w:r>
          </w:p>
          <w:tbl>
            <w:tblPr>
              <w:tblStyle w:val="23"/>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066"/>
              <w:gridCol w:w="4072"/>
            </w:tblGrid>
            <w:tr w14:paraId="3F39EF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98" w:type="pct"/>
                  <w:vMerge w:val="restart"/>
                  <w:vAlign w:val="center"/>
                </w:tcPr>
                <w:p w14:paraId="5576181B">
                  <w:pPr>
                    <w:adjustRightInd w:val="0"/>
                    <w:jc w:val="center"/>
                    <w:rPr>
                      <w:szCs w:val="21"/>
                      <w:lang w:val="nl-NL"/>
                    </w:rPr>
                  </w:pPr>
                  <w:r>
                    <w:rPr>
                      <w:rFonts w:hint="eastAsia"/>
                      <w:szCs w:val="21"/>
                    </w:rPr>
                    <w:t>储罐油气空间/L</w:t>
                  </w:r>
                </w:p>
              </w:tc>
              <w:tc>
                <w:tcPr>
                  <w:tcW w:w="2501" w:type="pct"/>
                  <w:vAlign w:val="center"/>
                </w:tcPr>
                <w:p w14:paraId="1A9911F7">
                  <w:pPr>
                    <w:adjustRightInd w:val="0"/>
                    <w:jc w:val="center"/>
                    <w:rPr>
                      <w:rFonts w:hint="eastAsia"/>
                      <w:szCs w:val="21"/>
                    </w:rPr>
                  </w:pPr>
                  <w:r>
                    <w:rPr>
                      <w:rFonts w:hint="eastAsia"/>
                      <w:szCs w:val="21"/>
                    </w:rPr>
                    <w:t>受影响的加油枪数（本项目加油枪数16个）</w:t>
                  </w:r>
                </w:p>
              </w:tc>
            </w:tr>
            <w:tr w14:paraId="584F83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98" w:type="pct"/>
                  <w:vMerge w:val="continue"/>
                  <w:vAlign w:val="center"/>
                </w:tcPr>
                <w:p w14:paraId="35718C34">
                  <w:pPr>
                    <w:adjustRightInd w:val="0"/>
                    <w:jc w:val="center"/>
                    <w:rPr>
                      <w:szCs w:val="21"/>
                    </w:rPr>
                  </w:pPr>
                </w:p>
              </w:tc>
              <w:tc>
                <w:tcPr>
                  <w:tcW w:w="2501" w:type="pct"/>
                  <w:vAlign w:val="center"/>
                </w:tcPr>
                <w:p w14:paraId="07DA7C77">
                  <w:pPr>
                    <w:adjustRightInd w:val="0"/>
                    <w:jc w:val="center"/>
                    <w:rPr>
                      <w:szCs w:val="21"/>
                    </w:rPr>
                  </w:pPr>
                  <w:r>
                    <w:rPr>
                      <w:rFonts w:hint="eastAsia"/>
                      <w:szCs w:val="21"/>
                    </w:rPr>
                    <w:t>13~18</w:t>
                  </w:r>
                </w:p>
              </w:tc>
            </w:tr>
            <w:tr w14:paraId="2C36D8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98" w:type="pct"/>
                  <w:vAlign w:val="center"/>
                </w:tcPr>
                <w:p w14:paraId="1960A62C">
                  <w:pPr>
                    <w:adjustRightInd w:val="0"/>
                    <w:jc w:val="center"/>
                    <w:rPr>
                      <w:szCs w:val="21"/>
                    </w:rPr>
                  </w:pPr>
                  <w:r>
                    <w:rPr>
                      <w:rFonts w:hint="eastAsia"/>
                      <w:szCs w:val="21"/>
                    </w:rPr>
                    <w:t>1893</w:t>
                  </w:r>
                </w:p>
              </w:tc>
              <w:tc>
                <w:tcPr>
                  <w:tcW w:w="2501" w:type="pct"/>
                  <w:vAlign w:val="center"/>
                </w:tcPr>
                <w:p w14:paraId="08BFB6B1">
                  <w:pPr>
                    <w:adjustRightInd w:val="0"/>
                    <w:jc w:val="center"/>
                    <w:rPr>
                      <w:szCs w:val="21"/>
                    </w:rPr>
                  </w:pPr>
                  <w:r>
                    <w:rPr>
                      <w:rFonts w:hint="eastAsia"/>
                      <w:szCs w:val="21"/>
                    </w:rPr>
                    <w:t>162</w:t>
                  </w:r>
                </w:p>
              </w:tc>
            </w:tr>
            <w:tr w14:paraId="7C4C59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98" w:type="pct"/>
                  <w:vAlign w:val="center"/>
                </w:tcPr>
                <w:p w14:paraId="221179C5">
                  <w:pPr>
                    <w:adjustRightInd w:val="0"/>
                    <w:jc w:val="center"/>
                    <w:rPr>
                      <w:szCs w:val="21"/>
                    </w:rPr>
                  </w:pPr>
                  <w:r>
                    <w:rPr>
                      <w:rFonts w:hint="eastAsia"/>
                      <w:szCs w:val="21"/>
                    </w:rPr>
                    <w:t>2082</w:t>
                  </w:r>
                </w:p>
              </w:tc>
              <w:tc>
                <w:tcPr>
                  <w:tcW w:w="2501" w:type="pct"/>
                  <w:vAlign w:val="center"/>
                </w:tcPr>
                <w:p w14:paraId="594A8ADD">
                  <w:pPr>
                    <w:adjustRightInd w:val="0"/>
                    <w:jc w:val="center"/>
                    <w:rPr>
                      <w:szCs w:val="21"/>
                    </w:rPr>
                  </w:pPr>
                  <w:r>
                    <w:rPr>
                      <w:rFonts w:hint="eastAsia"/>
                      <w:szCs w:val="21"/>
                    </w:rPr>
                    <w:t>179</w:t>
                  </w:r>
                </w:p>
              </w:tc>
            </w:tr>
            <w:tr w14:paraId="42E830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98" w:type="pct"/>
                  <w:vAlign w:val="center"/>
                </w:tcPr>
                <w:p w14:paraId="297ED457">
                  <w:pPr>
                    <w:adjustRightInd w:val="0"/>
                    <w:jc w:val="center"/>
                    <w:rPr>
                      <w:szCs w:val="21"/>
                    </w:rPr>
                  </w:pPr>
                  <w:r>
                    <w:rPr>
                      <w:rFonts w:hint="eastAsia"/>
                      <w:szCs w:val="21"/>
                    </w:rPr>
                    <w:t>2271</w:t>
                  </w:r>
                </w:p>
              </w:tc>
              <w:tc>
                <w:tcPr>
                  <w:tcW w:w="2501" w:type="pct"/>
                  <w:vAlign w:val="center"/>
                </w:tcPr>
                <w:p w14:paraId="3B0FC2B0">
                  <w:pPr>
                    <w:adjustRightInd w:val="0"/>
                    <w:jc w:val="center"/>
                    <w:rPr>
                      <w:szCs w:val="21"/>
                    </w:rPr>
                  </w:pPr>
                  <w:r>
                    <w:rPr>
                      <w:rFonts w:hint="eastAsia"/>
                      <w:szCs w:val="21"/>
                    </w:rPr>
                    <w:t>194</w:t>
                  </w:r>
                </w:p>
              </w:tc>
            </w:tr>
            <w:tr w14:paraId="7D68C8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98" w:type="pct"/>
                  <w:vAlign w:val="center"/>
                </w:tcPr>
                <w:p w14:paraId="1F97D1C8">
                  <w:pPr>
                    <w:adjustRightInd w:val="0"/>
                    <w:jc w:val="center"/>
                    <w:rPr>
                      <w:szCs w:val="21"/>
                    </w:rPr>
                  </w:pPr>
                  <w:r>
                    <w:rPr>
                      <w:rFonts w:hint="eastAsia"/>
                      <w:szCs w:val="21"/>
                    </w:rPr>
                    <w:t>2460</w:t>
                  </w:r>
                </w:p>
              </w:tc>
              <w:tc>
                <w:tcPr>
                  <w:tcW w:w="2501" w:type="pct"/>
                  <w:vAlign w:val="center"/>
                </w:tcPr>
                <w:p w14:paraId="2317E26D">
                  <w:pPr>
                    <w:adjustRightInd w:val="0"/>
                    <w:jc w:val="center"/>
                    <w:rPr>
                      <w:szCs w:val="21"/>
                    </w:rPr>
                  </w:pPr>
                  <w:r>
                    <w:rPr>
                      <w:rFonts w:hint="eastAsia"/>
                      <w:szCs w:val="21"/>
                    </w:rPr>
                    <w:t>209</w:t>
                  </w:r>
                </w:p>
              </w:tc>
            </w:tr>
            <w:tr w14:paraId="1F0068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98" w:type="pct"/>
                  <w:vAlign w:val="center"/>
                </w:tcPr>
                <w:p w14:paraId="70300B4B">
                  <w:pPr>
                    <w:adjustRightInd w:val="0"/>
                    <w:jc w:val="center"/>
                    <w:rPr>
                      <w:szCs w:val="21"/>
                    </w:rPr>
                  </w:pPr>
                  <w:r>
                    <w:rPr>
                      <w:rFonts w:hint="eastAsia"/>
                      <w:szCs w:val="21"/>
                    </w:rPr>
                    <w:t>2650</w:t>
                  </w:r>
                </w:p>
              </w:tc>
              <w:tc>
                <w:tcPr>
                  <w:tcW w:w="2501" w:type="pct"/>
                  <w:vAlign w:val="center"/>
                </w:tcPr>
                <w:p w14:paraId="7E010F30">
                  <w:pPr>
                    <w:adjustRightInd w:val="0"/>
                    <w:jc w:val="center"/>
                    <w:rPr>
                      <w:szCs w:val="21"/>
                    </w:rPr>
                  </w:pPr>
                  <w:r>
                    <w:rPr>
                      <w:rFonts w:hint="eastAsia"/>
                      <w:szCs w:val="21"/>
                    </w:rPr>
                    <w:t>224</w:t>
                  </w:r>
                </w:p>
              </w:tc>
            </w:tr>
            <w:tr w14:paraId="0E3C46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98" w:type="pct"/>
                  <w:vAlign w:val="center"/>
                </w:tcPr>
                <w:p w14:paraId="75115DF3">
                  <w:pPr>
                    <w:adjustRightInd w:val="0"/>
                    <w:jc w:val="center"/>
                    <w:rPr>
                      <w:szCs w:val="21"/>
                    </w:rPr>
                  </w:pPr>
                  <w:r>
                    <w:rPr>
                      <w:rFonts w:hint="eastAsia"/>
                      <w:szCs w:val="21"/>
                    </w:rPr>
                    <w:t>2839</w:t>
                  </w:r>
                </w:p>
              </w:tc>
              <w:tc>
                <w:tcPr>
                  <w:tcW w:w="2501" w:type="pct"/>
                  <w:vAlign w:val="center"/>
                </w:tcPr>
                <w:p w14:paraId="450DA02E">
                  <w:pPr>
                    <w:adjustRightInd w:val="0"/>
                    <w:jc w:val="center"/>
                    <w:rPr>
                      <w:szCs w:val="21"/>
                    </w:rPr>
                  </w:pPr>
                  <w:r>
                    <w:rPr>
                      <w:rFonts w:hint="eastAsia"/>
                      <w:szCs w:val="21"/>
                    </w:rPr>
                    <w:t>234</w:t>
                  </w:r>
                </w:p>
              </w:tc>
            </w:tr>
            <w:tr w14:paraId="4BE439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98" w:type="pct"/>
                  <w:vAlign w:val="center"/>
                </w:tcPr>
                <w:p w14:paraId="0F301C60">
                  <w:pPr>
                    <w:adjustRightInd w:val="0"/>
                    <w:jc w:val="center"/>
                    <w:rPr>
                      <w:szCs w:val="21"/>
                    </w:rPr>
                  </w:pPr>
                  <w:r>
                    <w:rPr>
                      <w:rFonts w:hint="eastAsia"/>
                      <w:szCs w:val="21"/>
                    </w:rPr>
                    <w:t>3028</w:t>
                  </w:r>
                </w:p>
              </w:tc>
              <w:tc>
                <w:tcPr>
                  <w:tcW w:w="2501" w:type="pct"/>
                  <w:vAlign w:val="center"/>
                </w:tcPr>
                <w:p w14:paraId="2BCD6D36">
                  <w:pPr>
                    <w:adjustRightInd w:val="0"/>
                    <w:jc w:val="center"/>
                    <w:rPr>
                      <w:szCs w:val="21"/>
                    </w:rPr>
                  </w:pPr>
                  <w:r>
                    <w:rPr>
                      <w:rFonts w:hint="eastAsia"/>
                      <w:szCs w:val="21"/>
                    </w:rPr>
                    <w:t>247</w:t>
                  </w:r>
                </w:p>
              </w:tc>
            </w:tr>
            <w:tr w14:paraId="6A1FA1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98" w:type="pct"/>
                  <w:vAlign w:val="center"/>
                </w:tcPr>
                <w:p w14:paraId="66477098">
                  <w:pPr>
                    <w:adjustRightInd w:val="0"/>
                    <w:jc w:val="center"/>
                    <w:rPr>
                      <w:szCs w:val="21"/>
                    </w:rPr>
                  </w:pPr>
                  <w:r>
                    <w:rPr>
                      <w:rFonts w:hint="eastAsia"/>
                      <w:szCs w:val="21"/>
                    </w:rPr>
                    <w:t>3217</w:t>
                  </w:r>
                </w:p>
              </w:tc>
              <w:tc>
                <w:tcPr>
                  <w:tcW w:w="2501" w:type="pct"/>
                  <w:vAlign w:val="center"/>
                </w:tcPr>
                <w:p w14:paraId="1B0F8998">
                  <w:pPr>
                    <w:adjustRightInd w:val="0"/>
                    <w:jc w:val="center"/>
                    <w:rPr>
                      <w:szCs w:val="21"/>
                    </w:rPr>
                  </w:pPr>
                  <w:r>
                    <w:rPr>
                      <w:rFonts w:hint="eastAsia"/>
                      <w:szCs w:val="21"/>
                    </w:rPr>
                    <w:t>257</w:t>
                  </w:r>
                </w:p>
              </w:tc>
            </w:tr>
            <w:tr w14:paraId="2D5C6A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98" w:type="pct"/>
                  <w:vAlign w:val="center"/>
                </w:tcPr>
                <w:p w14:paraId="15297DC4">
                  <w:pPr>
                    <w:adjustRightInd w:val="0"/>
                    <w:jc w:val="center"/>
                    <w:rPr>
                      <w:szCs w:val="21"/>
                    </w:rPr>
                  </w:pPr>
                  <w:r>
                    <w:rPr>
                      <w:rFonts w:hint="eastAsia"/>
                      <w:szCs w:val="21"/>
                    </w:rPr>
                    <w:t>3407</w:t>
                  </w:r>
                </w:p>
              </w:tc>
              <w:tc>
                <w:tcPr>
                  <w:tcW w:w="2501" w:type="pct"/>
                  <w:vAlign w:val="center"/>
                </w:tcPr>
                <w:p w14:paraId="3A46F879">
                  <w:pPr>
                    <w:adjustRightInd w:val="0"/>
                    <w:jc w:val="center"/>
                    <w:rPr>
                      <w:szCs w:val="21"/>
                    </w:rPr>
                  </w:pPr>
                  <w:r>
                    <w:rPr>
                      <w:rFonts w:hint="eastAsia"/>
                      <w:szCs w:val="21"/>
                    </w:rPr>
                    <w:t>267</w:t>
                  </w:r>
                </w:p>
              </w:tc>
            </w:tr>
            <w:tr w14:paraId="308BD2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98" w:type="pct"/>
                  <w:vAlign w:val="center"/>
                </w:tcPr>
                <w:p w14:paraId="04F8064E">
                  <w:pPr>
                    <w:adjustRightInd w:val="0"/>
                    <w:jc w:val="center"/>
                    <w:rPr>
                      <w:szCs w:val="21"/>
                    </w:rPr>
                  </w:pPr>
                  <w:r>
                    <w:rPr>
                      <w:rFonts w:hint="eastAsia"/>
                      <w:szCs w:val="21"/>
                    </w:rPr>
                    <w:t>3596</w:t>
                  </w:r>
                </w:p>
              </w:tc>
              <w:tc>
                <w:tcPr>
                  <w:tcW w:w="2501" w:type="pct"/>
                  <w:vAlign w:val="center"/>
                </w:tcPr>
                <w:p w14:paraId="3485E9BC">
                  <w:pPr>
                    <w:adjustRightInd w:val="0"/>
                    <w:jc w:val="center"/>
                    <w:rPr>
                      <w:szCs w:val="21"/>
                    </w:rPr>
                  </w:pPr>
                  <w:r>
                    <w:rPr>
                      <w:rFonts w:hint="eastAsia"/>
                      <w:szCs w:val="21"/>
                    </w:rPr>
                    <w:t>277</w:t>
                  </w:r>
                </w:p>
              </w:tc>
            </w:tr>
            <w:tr w14:paraId="67603E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98" w:type="pct"/>
                  <w:vAlign w:val="center"/>
                </w:tcPr>
                <w:p w14:paraId="3F8240C1">
                  <w:pPr>
                    <w:adjustRightInd w:val="0"/>
                    <w:jc w:val="center"/>
                    <w:rPr>
                      <w:rFonts w:hint="eastAsia"/>
                      <w:szCs w:val="21"/>
                    </w:rPr>
                  </w:pPr>
                  <w:r>
                    <w:rPr>
                      <w:rFonts w:hint="eastAsia"/>
                      <w:szCs w:val="21"/>
                    </w:rPr>
                    <w:t>3785</w:t>
                  </w:r>
                </w:p>
              </w:tc>
              <w:tc>
                <w:tcPr>
                  <w:tcW w:w="2501" w:type="pct"/>
                  <w:vAlign w:val="center"/>
                </w:tcPr>
                <w:p w14:paraId="0D615284">
                  <w:pPr>
                    <w:adjustRightInd w:val="0"/>
                    <w:jc w:val="center"/>
                    <w:rPr>
                      <w:szCs w:val="21"/>
                    </w:rPr>
                  </w:pPr>
                  <w:r>
                    <w:rPr>
                      <w:rFonts w:hint="eastAsia"/>
                      <w:szCs w:val="21"/>
                    </w:rPr>
                    <w:t>284</w:t>
                  </w:r>
                </w:p>
              </w:tc>
            </w:tr>
            <w:tr w14:paraId="63E50B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98" w:type="pct"/>
                  <w:vAlign w:val="center"/>
                </w:tcPr>
                <w:p w14:paraId="67D1F5B6">
                  <w:pPr>
                    <w:adjustRightInd w:val="0"/>
                    <w:jc w:val="center"/>
                    <w:rPr>
                      <w:rFonts w:hint="eastAsia"/>
                      <w:szCs w:val="21"/>
                    </w:rPr>
                  </w:pPr>
                  <w:r>
                    <w:rPr>
                      <w:rFonts w:hint="eastAsia"/>
                      <w:szCs w:val="21"/>
                    </w:rPr>
                    <w:t>4542</w:t>
                  </w:r>
                </w:p>
              </w:tc>
              <w:tc>
                <w:tcPr>
                  <w:tcW w:w="2501" w:type="pct"/>
                  <w:vAlign w:val="center"/>
                </w:tcPr>
                <w:p w14:paraId="1E139752">
                  <w:pPr>
                    <w:adjustRightInd w:val="0"/>
                    <w:jc w:val="center"/>
                    <w:rPr>
                      <w:szCs w:val="21"/>
                    </w:rPr>
                  </w:pPr>
                  <w:r>
                    <w:rPr>
                      <w:rFonts w:hint="eastAsia"/>
                      <w:szCs w:val="21"/>
                    </w:rPr>
                    <w:t>311</w:t>
                  </w:r>
                </w:p>
              </w:tc>
            </w:tr>
            <w:tr w14:paraId="6FC014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98" w:type="pct"/>
                  <w:vAlign w:val="center"/>
                </w:tcPr>
                <w:p w14:paraId="68624C2B">
                  <w:pPr>
                    <w:adjustRightInd w:val="0"/>
                    <w:jc w:val="center"/>
                    <w:rPr>
                      <w:rFonts w:hint="eastAsia"/>
                      <w:szCs w:val="21"/>
                    </w:rPr>
                  </w:pPr>
                  <w:r>
                    <w:rPr>
                      <w:rFonts w:hint="eastAsia"/>
                      <w:szCs w:val="21"/>
                    </w:rPr>
                    <w:t>5299</w:t>
                  </w:r>
                </w:p>
              </w:tc>
              <w:tc>
                <w:tcPr>
                  <w:tcW w:w="2501" w:type="pct"/>
                  <w:vAlign w:val="center"/>
                </w:tcPr>
                <w:p w14:paraId="74FB6722">
                  <w:pPr>
                    <w:adjustRightInd w:val="0"/>
                    <w:jc w:val="center"/>
                    <w:rPr>
                      <w:szCs w:val="21"/>
                    </w:rPr>
                  </w:pPr>
                  <w:r>
                    <w:rPr>
                      <w:rFonts w:hint="eastAsia"/>
                      <w:szCs w:val="21"/>
                    </w:rPr>
                    <w:t>334</w:t>
                  </w:r>
                </w:p>
              </w:tc>
            </w:tr>
            <w:tr w14:paraId="162B3B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98" w:type="pct"/>
                  <w:vAlign w:val="center"/>
                </w:tcPr>
                <w:p w14:paraId="393D2397">
                  <w:pPr>
                    <w:adjustRightInd w:val="0"/>
                    <w:jc w:val="center"/>
                    <w:rPr>
                      <w:rFonts w:hint="eastAsia"/>
                      <w:szCs w:val="21"/>
                    </w:rPr>
                  </w:pPr>
                  <w:r>
                    <w:rPr>
                      <w:rFonts w:hint="eastAsia"/>
                      <w:szCs w:val="21"/>
                    </w:rPr>
                    <w:t>6056</w:t>
                  </w:r>
                </w:p>
              </w:tc>
              <w:tc>
                <w:tcPr>
                  <w:tcW w:w="2501" w:type="pct"/>
                  <w:vAlign w:val="center"/>
                </w:tcPr>
                <w:p w14:paraId="5A9C11A5">
                  <w:pPr>
                    <w:adjustRightInd w:val="0"/>
                    <w:jc w:val="center"/>
                    <w:rPr>
                      <w:szCs w:val="21"/>
                    </w:rPr>
                  </w:pPr>
                  <w:r>
                    <w:rPr>
                      <w:rFonts w:hint="eastAsia"/>
                      <w:szCs w:val="21"/>
                    </w:rPr>
                    <w:t>351</w:t>
                  </w:r>
                </w:p>
              </w:tc>
            </w:tr>
            <w:tr w14:paraId="3F6225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98" w:type="pct"/>
                  <w:vAlign w:val="center"/>
                </w:tcPr>
                <w:p w14:paraId="0267F8E1">
                  <w:pPr>
                    <w:adjustRightInd w:val="0"/>
                    <w:jc w:val="center"/>
                    <w:rPr>
                      <w:rFonts w:hint="eastAsia"/>
                      <w:szCs w:val="21"/>
                    </w:rPr>
                  </w:pPr>
                  <w:r>
                    <w:rPr>
                      <w:rFonts w:hint="eastAsia"/>
                      <w:szCs w:val="21"/>
                    </w:rPr>
                    <w:t>6813</w:t>
                  </w:r>
                </w:p>
              </w:tc>
              <w:tc>
                <w:tcPr>
                  <w:tcW w:w="2501" w:type="pct"/>
                  <w:vAlign w:val="center"/>
                </w:tcPr>
                <w:p w14:paraId="4E3E9FB8">
                  <w:pPr>
                    <w:adjustRightInd w:val="0"/>
                    <w:jc w:val="center"/>
                    <w:rPr>
                      <w:szCs w:val="21"/>
                    </w:rPr>
                  </w:pPr>
                  <w:r>
                    <w:rPr>
                      <w:rFonts w:hint="eastAsia"/>
                      <w:szCs w:val="21"/>
                    </w:rPr>
                    <w:t>364</w:t>
                  </w:r>
                </w:p>
              </w:tc>
            </w:tr>
            <w:tr w14:paraId="76D2F7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98" w:type="pct"/>
                  <w:vAlign w:val="center"/>
                </w:tcPr>
                <w:p w14:paraId="236681CD">
                  <w:pPr>
                    <w:adjustRightInd w:val="0"/>
                    <w:jc w:val="center"/>
                    <w:rPr>
                      <w:rFonts w:hint="eastAsia"/>
                      <w:szCs w:val="21"/>
                    </w:rPr>
                  </w:pPr>
                  <w:r>
                    <w:rPr>
                      <w:rFonts w:hint="eastAsia"/>
                      <w:szCs w:val="21"/>
                    </w:rPr>
                    <w:t>7570</w:t>
                  </w:r>
                </w:p>
              </w:tc>
              <w:tc>
                <w:tcPr>
                  <w:tcW w:w="2501" w:type="pct"/>
                  <w:vAlign w:val="center"/>
                </w:tcPr>
                <w:p w14:paraId="5D2EF26D">
                  <w:pPr>
                    <w:adjustRightInd w:val="0"/>
                    <w:jc w:val="center"/>
                    <w:rPr>
                      <w:szCs w:val="21"/>
                    </w:rPr>
                  </w:pPr>
                  <w:r>
                    <w:rPr>
                      <w:rFonts w:hint="eastAsia"/>
                      <w:szCs w:val="21"/>
                    </w:rPr>
                    <w:t>376</w:t>
                  </w:r>
                </w:p>
              </w:tc>
            </w:tr>
            <w:tr w14:paraId="531D35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98" w:type="pct"/>
                  <w:vAlign w:val="center"/>
                </w:tcPr>
                <w:p w14:paraId="7F4B00FB">
                  <w:pPr>
                    <w:adjustRightInd w:val="0"/>
                    <w:jc w:val="center"/>
                    <w:rPr>
                      <w:szCs w:val="21"/>
                    </w:rPr>
                  </w:pPr>
                  <w:r>
                    <w:rPr>
                      <w:rFonts w:hint="eastAsia"/>
                      <w:szCs w:val="21"/>
                    </w:rPr>
                    <w:t>8327</w:t>
                  </w:r>
                </w:p>
              </w:tc>
              <w:tc>
                <w:tcPr>
                  <w:tcW w:w="2501" w:type="pct"/>
                  <w:vAlign w:val="center"/>
                </w:tcPr>
                <w:p w14:paraId="3D6B15D0">
                  <w:pPr>
                    <w:adjustRightInd w:val="0"/>
                    <w:jc w:val="center"/>
                    <w:rPr>
                      <w:szCs w:val="21"/>
                    </w:rPr>
                  </w:pPr>
                  <w:r>
                    <w:rPr>
                      <w:rFonts w:hint="eastAsia"/>
                      <w:szCs w:val="21"/>
                    </w:rPr>
                    <w:t>386</w:t>
                  </w:r>
                </w:p>
              </w:tc>
            </w:tr>
            <w:tr w14:paraId="675036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98" w:type="pct"/>
                  <w:vAlign w:val="center"/>
                </w:tcPr>
                <w:p w14:paraId="0DC0E8A5">
                  <w:pPr>
                    <w:adjustRightInd w:val="0"/>
                    <w:jc w:val="center"/>
                    <w:rPr>
                      <w:szCs w:val="21"/>
                    </w:rPr>
                  </w:pPr>
                  <w:r>
                    <w:rPr>
                      <w:rFonts w:hint="eastAsia"/>
                      <w:szCs w:val="21"/>
                    </w:rPr>
                    <w:t>9084</w:t>
                  </w:r>
                </w:p>
              </w:tc>
              <w:tc>
                <w:tcPr>
                  <w:tcW w:w="2501" w:type="pct"/>
                  <w:vAlign w:val="center"/>
                </w:tcPr>
                <w:p w14:paraId="2CCD2845">
                  <w:pPr>
                    <w:adjustRightInd w:val="0"/>
                    <w:jc w:val="center"/>
                    <w:rPr>
                      <w:szCs w:val="21"/>
                    </w:rPr>
                  </w:pPr>
                  <w:r>
                    <w:rPr>
                      <w:rFonts w:hint="eastAsia"/>
                      <w:szCs w:val="21"/>
                    </w:rPr>
                    <w:t>394</w:t>
                  </w:r>
                </w:p>
              </w:tc>
            </w:tr>
            <w:tr w14:paraId="76B2D5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98" w:type="pct"/>
                  <w:vAlign w:val="center"/>
                </w:tcPr>
                <w:p w14:paraId="7439CDDC">
                  <w:pPr>
                    <w:adjustRightInd w:val="0"/>
                    <w:jc w:val="center"/>
                    <w:rPr>
                      <w:szCs w:val="21"/>
                    </w:rPr>
                  </w:pPr>
                  <w:r>
                    <w:rPr>
                      <w:rFonts w:hint="eastAsia"/>
                      <w:szCs w:val="21"/>
                    </w:rPr>
                    <w:t>9841</w:t>
                  </w:r>
                </w:p>
              </w:tc>
              <w:tc>
                <w:tcPr>
                  <w:tcW w:w="2501" w:type="pct"/>
                  <w:vAlign w:val="center"/>
                </w:tcPr>
                <w:p w14:paraId="36314CEB">
                  <w:pPr>
                    <w:adjustRightInd w:val="0"/>
                    <w:jc w:val="center"/>
                    <w:rPr>
                      <w:szCs w:val="21"/>
                    </w:rPr>
                  </w:pPr>
                  <w:r>
                    <w:rPr>
                      <w:rFonts w:hint="eastAsia"/>
                      <w:szCs w:val="21"/>
                    </w:rPr>
                    <w:t>401</w:t>
                  </w:r>
                </w:p>
              </w:tc>
            </w:tr>
            <w:tr w14:paraId="7CC685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98" w:type="pct"/>
                  <w:vAlign w:val="center"/>
                </w:tcPr>
                <w:p w14:paraId="38A328E8">
                  <w:pPr>
                    <w:adjustRightInd w:val="0"/>
                    <w:jc w:val="center"/>
                    <w:rPr>
                      <w:szCs w:val="21"/>
                    </w:rPr>
                  </w:pPr>
                  <w:r>
                    <w:rPr>
                      <w:rFonts w:hint="eastAsia"/>
                      <w:szCs w:val="21"/>
                    </w:rPr>
                    <w:t>10598</w:t>
                  </w:r>
                </w:p>
              </w:tc>
              <w:tc>
                <w:tcPr>
                  <w:tcW w:w="2501" w:type="pct"/>
                  <w:vAlign w:val="center"/>
                </w:tcPr>
                <w:p w14:paraId="1EA87E95">
                  <w:pPr>
                    <w:adjustRightInd w:val="0"/>
                    <w:jc w:val="center"/>
                    <w:rPr>
                      <w:szCs w:val="21"/>
                    </w:rPr>
                  </w:pPr>
                  <w:r>
                    <w:rPr>
                      <w:rFonts w:hint="eastAsia"/>
                      <w:szCs w:val="21"/>
                    </w:rPr>
                    <w:t>409</w:t>
                  </w:r>
                </w:p>
              </w:tc>
            </w:tr>
            <w:tr w14:paraId="72CF4F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98" w:type="pct"/>
                  <w:vAlign w:val="center"/>
                </w:tcPr>
                <w:p w14:paraId="040DB5CA">
                  <w:pPr>
                    <w:adjustRightInd w:val="0"/>
                    <w:jc w:val="center"/>
                    <w:rPr>
                      <w:szCs w:val="21"/>
                    </w:rPr>
                  </w:pPr>
                  <w:r>
                    <w:rPr>
                      <w:rFonts w:hint="eastAsia"/>
                      <w:szCs w:val="21"/>
                    </w:rPr>
                    <w:t>11355</w:t>
                  </w:r>
                </w:p>
              </w:tc>
              <w:tc>
                <w:tcPr>
                  <w:tcW w:w="2501" w:type="pct"/>
                  <w:vAlign w:val="center"/>
                </w:tcPr>
                <w:p w14:paraId="2906A750">
                  <w:pPr>
                    <w:adjustRightInd w:val="0"/>
                    <w:jc w:val="center"/>
                    <w:rPr>
                      <w:szCs w:val="21"/>
                    </w:rPr>
                  </w:pPr>
                  <w:r>
                    <w:rPr>
                      <w:rFonts w:hint="eastAsia"/>
                      <w:szCs w:val="21"/>
                    </w:rPr>
                    <w:t>414</w:t>
                  </w:r>
                </w:p>
              </w:tc>
            </w:tr>
            <w:tr w14:paraId="464C37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98" w:type="pct"/>
                  <w:vAlign w:val="center"/>
                </w:tcPr>
                <w:p w14:paraId="46DCB760">
                  <w:pPr>
                    <w:adjustRightInd w:val="0"/>
                    <w:jc w:val="center"/>
                    <w:rPr>
                      <w:szCs w:val="21"/>
                    </w:rPr>
                  </w:pPr>
                  <w:r>
                    <w:rPr>
                      <w:rFonts w:hint="eastAsia"/>
                      <w:szCs w:val="21"/>
                    </w:rPr>
                    <w:t>13248</w:t>
                  </w:r>
                </w:p>
              </w:tc>
              <w:tc>
                <w:tcPr>
                  <w:tcW w:w="2501" w:type="pct"/>
                  <w:vAlign w:val="center"/>
                </w:tcPr>
                <w:p w14:paraId="301CD462">
                  <w:pPr>
                    <w:adjustRightInd w:val="0"/>
                    <w:jc w:val="center"/>
                    <w:rPr>
                      <w:szCs w:val="21"/>
                    </w:rPr>
                  </w:pPr>
                  <w:r>
                    <w:rPr>
                      <w:rFonts w:hint="eastAsia"/>
                      <w:szCs w:val="21"/>
                    </w:rPr>
                    <w:t>423</w:t>
                  </w:r>
                </w:p>
              </w:tc>
            </w:tr>
            <w:tr w14:paraId="3D48C4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98" w:type="pct"/>
                  <w:vAlign w:val="center"/>
                </w:tcPr>
                <w:p w14:paraId="1D4E3D76">
                  <w:pPr>
                    <w:adjustRightInd w:val="0"/>
                    <w:jc w:val="center"/>
                    <w:rPr>
                      <w:szCs w:val="21"/>
                    </w:rPr>
                  </w:pPr>
                  <w:r>
                    <w:rPr>
                      <w:rFonts w:hint="eastAsia"/>
                      <w:szCs w:val="21"/>
                    </w:rPr>
                    <w:t>15140</w:t>
                  </w:r>
                </w:p>
              </w:tc>
              <w:tc>
                <w:tcPr>
                  <w:tcW w:w="2501" w:type="pct"/>
                  <w:vAlign w:val="center"/>
                </w:tcPr>
                <w:p w14:paraId="55A8C630">
                  <w:pPr>
                    <w:adjustRightInd w:val="0"/>
                    <w:jc w:val="center"/>
                    <w:rPr>
                      <w:szCs w:val="21"/>
                    </w:rPr>
                  </w:pPr>
                  <w:r>
                    <w:rPr>
                      <w:rFonts w:hint="eastAsia"/>
                      <w:szCs w:val="21"/>
                    </w:rPr>
                    <w:t>433</w:t>
                  </w:r>
                </w:p>
              </w:tc>
            </w:tr>
            <w:tr w14:paraId="5535F9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98" w:type="pct"/>
                  <w:vAlign w:val="center"/>
                </w:tcPr>
                <w:p w14:paraId="4490B71A">
                  <w:pPr>
                    <w:adjustRightInd w:val="0"/>
                    <w:jc w:val="center"/>
                    <w:rPr>
                      <w:szCs w:val="21"/>
                    </w:rPr>
                  </w:pPr>
                  <w:r>
                    <w:rPr>
                      <w:rFonts w:hint="eastAsia"/>
                      <w:szCs w:val="21"/>
                    </w:rPr>
                    <w:t>17033</w:t>
                  </w:r>
                </w:p>
              </w:tc>
              <w:tc>
                <w:tcPr>
                  <w:tcW w:w="2501" w:type="pct"/>
                  <w:vAlign w:val="center"/>
                </w:tcPr>
                <w:p w14:paraId="7B3323B5">
                  <w:pPr>
                    <w:adjustRightInd w:val="0"/>
                    <w:jc w:val="center"/>
                    <w:rPr>
                      <w:szCs w:val="21"/>
                    </w:rPr>
                  </w:pPr>
                  <w:r>
                    <w:rPr>
                      <w:rFonts w:hint="eastAsia"/>
                      <w:szCs w:val="21"/>
                    </w:rPr>
                    <w:t>441</w:t>
                  </w:r>
                </w:p>
              </w:tc>
            </w:tr>
            <w:tr w14:paraId="7A7E23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98" w:type="pct"/>
                  <w:vAlign w:val="center"/>
                </w:tcPr>
                <w:p w14:paraId="3C23BA59">
                  <w:pPr>
                    <w:adjustRightInd w:val="0"/>
                    <w:jc w:val="center"/>
                    <w:rPr>
                      <w:szCs w:val="21"/>
                    </w:rPr>
                  </w:pPr>
                  <w:r>
                    <w:rPr>
                      <w:rFonts w:hint="eastAsia"/>
                      <w:szCs w:val="21"/>
                    </w:rPr>
                    <w:t>18925</w:t>
                  </w:r>
                </w:p>
              </w:tc>
              <w:tc>
                <w:tcPr>
                  <w:tcW w:w="2501" w:type="pct"/>
                  <w:vAlign w:val="center"/>
                </w:tcPr>
                <w:p w14:paraId="0A050DA6">
                  <w:pPr>
                    <w:adjustRightInd w:val="0"/>
                    <w:jc w:val="center"/>
                    <w:rPr>
                      <w:szCs w:val="21"/>
                    </w:rPr>
                  </w:pPr>
                  <w:r>
                    <w:rPr>
                      <w:rFonts w:hint="eastAsia"/>
                      <w:szCs w:val="21"/>
                    </w:rPr>
                    <w:t>446</w:t>
                  </w:r>
                </w:p>
              </w:tc>
            </w:tr>
            <w:tr w14:paraId="48481D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98" w:type="pct"/>
                  <w:vAlign w:val="center"/>
                </w:tcPr>
                <w:p w14:paraId="0D10B647">
                  <w:pPr>
                    <w:adjustRightInd w:val="0"/>
                    <w:jc w:val="center"/>
                    <w:rPr>
                      <w:rFonts w:hint="eastAsia"/>
                      <w:szCs w:val="21"/>
                    </w:rPr>
                  </w:pPr>
                  <w:r>
                    <w:rPr>
                      <w:rFonts w:hint="eastAsia"/>
                      <w:szCs w:val="21"/>
                    </w:rPr>
                    <w:t>22710</w:t>
                  </w:r>
                </w:p>
              </w:tc>
              <w:tc>
                <w:tcPr>
                  <w:tcW w:w="2501" w:type="pct"/>
                  <w:vAlign w:val="center"/>
                </w:tcPr>
                <w:p w14:paraId="3892F05D">
                  <w:pPr>
                    <w:adjustRightInd w:val="0"/>
                    <w:jc w:val="center"/>
                    <w:rPr>
                      <w:szCs w:val="21"/>
                    </w:rPr>
                  </w:pPr>
                  <w:r>
                    <w:rPr>
                      <w:rFonts w:hint="eastAsia"/>
                      <w:szCs w:val="21"/>
                    </w:rPr>
                    <w:t>453</w:t>
                  </w:r>
                </w:p>
              </w:tc>
            </w:tr>
            <w:tr w14:paraId="36355E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98" w:type="pct"/>
                  <w:vAlign w:val="center"/>
                </w:tcPr>
                <w:p w14:paraId="24640F31">
                  <w:pPr>
                    <w:adjustRightInd w:val="0"/>
                    <w:jc w:val="center"/>
                    <w:rPr>
                      <w:rFonts w:hint="eastAsia"/>
                      <w:szCs w:val="21"/>
                    </w:rPr>
                  </w:pPr>
                  <w:r>
                    <w:rPr>
                      <w:rFonts w:hint="eastAsia"/>
                      <w:szCs w:val="21"/>
                    </w:rPr>
                    <w:t>26495</w:t>
                  </w:r>
                </w:p>
              </w:tc>
              <w:tc>
                <w:tcPr>
                  <w:tcW w:w="2501" w:type="pct"/>
                  <w:vAlign w:val="center"/>
                </w:tcPr>
                <w:p w14:paraId="71180C2D">
                  <w:pPr>
                    <w:adjustRightInd w:val="0"/>
                    <w:jc w:val="center"/>
                    <w:rPr>
                      <w:szCs w:val="21"/>
                    </w:rPr>
                  </w:pPr>
                  <w:r>
                    <w:rPr>
                      <w:rFonts w:hint="eastAsia"/>
                      <w:szCs w:val="21"/>
                    </w:rPr>
                    <w:t>461</w:t>
                  </w:r>
                </w:p>
              </w:tc>
            </w:tr>
            <w:tr w14:paraId="7D5A79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98" w:type="pct"/>
                  <w:vAlign w:val="center"/>
                </w:tcPr>
                <w:p w14:paraId="79A0E29F">
                  <w:pPr>
                    <w:adjustRightInd w:val="0"/>
                    <w:jc w:val="center"/>
                    <w:rPr>
                      <w:rFonts w:hint="eastAsia"/>
                      <w:szCs w:val="21"/>
                    </w:rPr>
                  </w:pPr>
                  <w:r>
                    <w:rPr>
                      <w:rFonts w:hint="eastAsia"/>
                      <w:szCs w:val="21"/>
                    </w:rPr>
                    <w:t>30280</w:t>
                  </w:r>
                </w:p>
              </w:tc>
              <w:tc>
                <w:tcPr>
                  <w:tcW w:w="2501" w:type="pct"/>
                  <w:vAlign w:val="center"/>
                </w:tcPr>
                <w:p w14:paraId="52866E39">
                  <w:pPr>
                    <w:adjustRightInd w:val="0"/>
                    <w:jc w:val="center"/>
                    <w:rPr>
                      <w:szCs w:val="21"/>
                    </w:rPr>
                  </w:pPr>
                  <w:r>
                    <w:rPr>
                      <w:rFonts w:hint="eastAsia"/>
                      <w:szCs w:val="21"/>
                    </w:rPr>
                    <w:t>463</w:t>
                  </w:r>
                </w:p>
              </w:tc>
            </w:tr>
            <w:tr w14:paraId="28C9FB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98" w:type="pct"/>
                  <w:vAlign w:val="center"/>
                </w:tcPr>
                <w:p w14:paraId="65778519">
                  <w:pPr>
                    <w:adjustRightInd w:val="0"/>
                    <w:jc w:val="center"/>
                    <w:rPr>
                      <w:rFonts w:hint="eastAsia"/>
                      <w:szCs w:val="21"/>
                    </w:rPr>
                  </w:pPr>
                  <w:r>
                    <w:rPr>
                      <w:rFonts w:hint="eastAsia"/>
                      <w:szCs w:val="21"/>
                    </w:rPr>
                    <w:t>34065</w:t>
                  </w:r>
                </w:p>
              </w:tc>
              <w:tc>
                <w:tcPr>
                  <w:tcW w:w="2501" w:type="pct"/>
                  <w:vAlign w:val="center"/>
                </w:tcPr>
                <w:p w14:paraId="0300CE7B">
                  <w:pPr>
                    <w:adjustRightInd w:val="0"/>
                    <w:jc w:val="center"/>
                    <w:rPr>
                      <w:szCs w:val="21"/>
                    </w:rPr>
                  </w:pPr>
                  <w:r>
                    <w:rPr>
                      <w:rFonts w:hint="eastAsia"/>
                      <w:szCs w:val="21"/>
                    </w:rPr>
                    <w:t>468</w:t>
                  </w:r>
                </w:p>
              </w:tc>
            </w:tr>
            <w:tr w14:paraId="2BF078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98" w:type="pct"/>
                  <w:vAlign w:val="center"/>
                </w:tcPr>
                <w:p w14:paraId="1ADE6B63">
                  <w:pPr>
                    <w:adjustRightInd w:val="0"/>
                    <w:jc w:val="center"/>
                    <w:rPr>
                      <w:rFonts w:hint="eastAsia"/>
                      <w:szCs w:val="21"/>
                    </w:rPr>
                  </w:pPr>
                  <w:r>
                    <w:rPr>
                      <w:rFonts w:hint="eastAsia"/>
                      <w:szCs w:val="21"/>
                    </w:rPr>
                    <w:t>37850</w:t>
                  </w:r>
                </w:p>
              </w:tc>
              <w:tc>
                <w:tcPr>
                  <w:tcW w:w="2501" w:type="pct"/>
                  <w:vAlign w:val="center"/>
                </w:tcPr>
                <w:p w14:paraId="2E85D9C5">
                  <w:pPr>
                    <w:adjustRightInd w:val="0"/>
                    <w:jc w:val="center"/>
                    <w:rPr>
                      <w:szCs w:val="21"/>
                    </w:rPr>
                  </w:pPr>
                  <w:r>
                    <w:rPr>
                      <w:rFonts w:hint="eastAsia"/>
                      <w:szCs w:val="21"/>
                    </w:rPr>
                    <w:t>471</w:t>
                  </w:r>
                </w:p>
              </w:tc>
            </w:tr>
            <w:tr w14:paraId="7FEBA6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98" w:type="pct"/>
                  <w:vAlign w:val="center"/>
                </w:tcPr>
                <w:p w14:paraId="4A7F3B62">
                  <w:pPr>
                    <w:adjustRightInd w:val="0"/>
                    <w:jc w:val="center"/>
                    <w:rPr>
                      <w:rFonts w:hint="eastAsia"/>
                      <w:szCs w:val="21"/>
                    </w:rPr>
                  </w:pPr>
                  <w:r>
                    <w:rPr>
                      <w:rFonts w:hint="eastAsia"/>
                      <w:szCs w:val="21"/>
                    </w:rPr>
                    <w:t>56775</w:t>
                  </w:r>
                </w:p>
              </w:tc>
              <w:tc>
                <w:tcPr>
                  <w:tcW w:w="2501" w:type="pct"/>
                  <w:vAlign w:val="center"/>
                </w:tcPr>
                <w:p w14:paraId="7EE7EDFC">
                  <w:pPr>
                    <w:adjustRightInd w:val="0"/>
                    <w:jc w:val="center"/>
                    <w:rPr>
                      <w:szCs w:val="21"/>
                    </w:rPr>
                  </w:pPr>
                  <w:r>
                    <w:rPr>
                      <w:rFonts w:hint="eastAsia"/>
                      <w:szCs w:val="21"/>
                    </w:rPr>
                    <w:t>481</w:t>
                  </w:r>
                </w:p>
              </w:tc>
            </w:tr>
            <w:tr w14:paraId="4546EA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98" w:type="pct"/>
                  <w:vAlign w:val="center"/>
                </w:tcPr>
                <w:p w14:paraId="153014BF">
                  <w:pPr>
                    <w:adjustRightInd w:val="0"/>
                    <w:jc w:val="center"/>
                    <w:rPr>
                      <w:rFonts w:hint="eastAsia"/>
                      <w:szCs w:val="21"/>
                    </w:rPr>
                  </w:pPr>
                  <w:r>
                    <w:rPr>
                      <w:rFonts w:hint="eastAsia"/>
                      <w:szCs w:val="21"/>
                    </w:rPr>
                    <w:t>75700</w:t>
                  </w:r>
                </w:p>
              </w:tc>
              <w:tc>
                <w:tcPr>
                  <w:tcW w:w="2501" w:type="pct"/>
                  <w:vAlign w:val="center"/>
                </w:tcPr>
                <w:p w14:paraId="1C762A78">
                  <w:pPr>
                    <w:adjustRightInd w:val="0"/>
                    <w:jc w:val="center"/>
                    <w:rPr>
                      <w:szCs w:val="21"/>
                    </w:rPr>
                  </w:pPr>
                  <w:r>
                    <w:rPr>
                      <w:rFonts w:hint="eastAsia"/>
                      <w:szCs w:val="21"/>
                    </w:rPr>
                    <w:t>483</w:t>
                  </w:r>
                </w:p>
              </w:tc>
            </w:tr>
            <w:tr w14:paraId="20737D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98" w:type="pct"/>
                  <w:vAlign w:val="center"/>
                </w:tcPr>
                <w:p w14:paraId="6CCA5C25">
                  <w:pPr>
                    <w:adjustRightInd w:val="0"/>
                    <w:jc w:val="center"/>
                    <w:rPr>
                      <w:rFonts w:hint="eastAsia"/>
                      <w:szCs w:val="21"/>
                    </w:rPr>
                  </w:pPr>
                  <w:r>
                    <w:rPr>
                      <w:rFonts w:hint="eastAsia"/>
                      <w:szCs w:val="21"/>
                    </w:rPr>
                    <w:t>94625</w:t>
                  </w:r>
                </w:p>
              </w:tc>
              <w:tc>
                <w:tcPr>
                  <w:tcW w:w="2501" w:type="pct"/>
                  <w:vAlign w:val="center"/>
                </w:tcPr>
                <w:p w14:paraId="5A65EABF">
                  <w:pPr>
                    <w:adjustRightInd w:val="0"/>
                    <w:jc w:val="center"/>
                    <w:rPr>
                      <w:szCs w:val="21"/>
                    </w:rPr>
                  </w:pPr>
                  <w:r>
                    <w:rPr>
                      <w:rFonts w:hint="eastAsia"/>
                      <w:szCs w:val="21"/>
                    </w:rPr>
                    <w:t>488</w:t>
                  </w:r>
                </w:p>
              </w:tc>
            </w:tr>
            <w:tr w14:paraId="078510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2"/>
                  <w:vAlign w:val="center"/>
                </w:tcPr>
                <w:p w14:paraId="6EF1B326">
                  <w:pPr>
                    <w:adjustRightInd w:val="0"/>
                    <w:jc w:val="center"/>
                    <w:rPr>
                      <w:rFonts w:hint="eastAsia"/>
                      <w:szCs w:val="21"/>
                    </w:rPr>
                  </w:pPr>
                  <w:r>
                    <w:rPr>
                      <w:rFonts w:hint="eastAsia"/>
                      <w:szCs w:val="21"/>
                    </w:rPr>
                    <w:t>注：如果各储罐油气管线连通，则受影响的加油枪数等于汽油加油枪总数，否则，仅统计通过油气管线与被检测储罐相联的加油枪数。本项目各汽油储罐之间油气管线连通。</w:t>
                  </w:r>
                </w:p>
              </w:tc>
            </w:tr>
          </w:tbl>
          <w:p w14:paraId="410A78AC">
            <w:pPr>
              <w:adjustRightInd w:val="0"/>
              <w:snapToGrid w:val="0"/>
              <w:spacing w:line="360" w:lineRule="auto"/>
              <w:jc w:val="left"/>
              <w:rPr>
                <w:rFonts w:hint="eastAsia"/>
                <w:b/>
                <w:bCs/>
                <w:sz w:val="24"/>
              </w:rPr>
            </w:pPr>
            <w:r>
              <w:rPr>
                <w:rFonts w:hint="eastAsia"/>
                <w:b/>
                <w:bCs/>
                <w:sz w:val="24"/>
              </w:rPr>
              <w:t>3.9废水排放标准</w:t>
            </w:r>
          </w:p>
          <w:p w14:paraId="3ABA2FB2">
            <w:pPr>
              <w:adjustRightInd w:val="0"/>
              <w:snapToGrid w:val="0"/>
              <w:spacing w:line="360" w:lineRule="auto"/>
              <w:ind w:firstLine="480" w:firstLineChars="200"/>
              <w:rPr>
                <w:rFonts w:hint="eastAsia"/>
                <w:sz w:val="24"/>
              </w:rPr>
            </w:pPr>
            <w:r>
              <w:rPr>
                <w:rFonts w:hint="eastAsia"/>
                <w:sz w:val="24"/>
              </w:rPr>
              <w:t>生活污水经生化池处理后达《污水综合排放标准》（GB8978-1996）三级标准后排入园区污水管网，接入大耍坝污水处理</w:t>
            </w:r>
            <w:r>
              <w:rPr>
                <w:rFonts w:hint="eastAsia"/>
                <w:color w:val="000000"/>
                <w:sz w:val="24"/>
              </w:rPr>
              <w:t>厂</w:t>
            </w:r>
            <w:r>
              <w:rPr>
                <w:rFonts w:hint="eastAsia"/>
                <w:sz w:val="24"/>
              </w:rPr>
              <w:t>处理达《城镇污水处理厂污染物排放标准》（GB18918-2002）一级B标后排入长江。</w:t>
            </w:r>
            <w:r>
              <w:rPr>
                <w:rFonts w:hint="eastAsia"/>
                <w:bCs/>
                <w:sz w:val="24"/>
              </w:rPr>
              <w:t>初期雨水及场地冲洗废水经截水沟进入三段式隔油池隔油沉砂处理达《污水综合排放标准》（GB8978-1996）三级标准后排入园区污水管网，</w:t>
            </w:r>
            <w:r>
              <w:rPr>
                <w:rFonts w:hint="eastAsia"/>
                <w:sz w:val="24"/>
              </w:rPr>
              <w:t>接入大耍坝污水处理</w:t>
            </w:r>
            <w:r>
              <w:rPr>
                <w:rFonts w:hint="eastAsia"/>
                <w:color w:val="000000"/>
                <w:sz w:val="24"/>
              </w:rPr>
              <w:t>厂</w:t>
            </w:r>
            <w:r>
              <w:rPr>
                <w:rFonts w:hint="eastAsia"/>
                <w:sz w:val="24"/>
              </w:rPr>
              <w:t>处理达《城镇污水处理厂污染物排放标准》（GB18918-2002</w:t>
            </w:r>
            <w:r>
              <w:rPr>
                <w:rFonts w:hint="eastAsia"/>
                <w:bCs/>
                <w:sz w:val="24"/>
              </w:rPr>
              <w:t>）一级B标后排入长江。雨水进入隔油池前端设置切换阀，后期雨水直接进入园区雨水管网。</w:t>
            </w:r>
            <w:r>
              <w:rPr>
                <w:rFonts w:hint="eastAsia"/>
                <w:sz w:val="24"/>
              </w:rPr>
              <w:t>详见下表：</w:t>
            </w:r>
          </w:p>
          <w:p w14:paraId="127CF0D6">
            <w:pPr>
              <w:pStyle w:val="68"/>
              <w:spacing w:line="240" w:lineRule="auto"/>
              <w:rPr>
                <w:rFonts w:hint="eastAsia" w:ascii="黑体" w:hAnsi="黑体" w:eastAsia="黑体" w:cs="黑体"/>
                <w:b w:val="0"/>
                <w:bCs w:val="0"/>
                <w:lang w:val="zh-CN"/>
              </w:rPr>
            </w:pPr>
            <w:r>
              <w:rPr>
                <w:rFonts w:hint="eastAsia" w:ascii="黑体" w:hAnsi="黑体" w:eastAsia="黑体" w:cs="黑体"/>
                <w:b w:val="0"/>
                <w:bCs w:val="0"/>
                <w:lang w:val="zh-CN"/>
              </w:rPr>
              <w:t>表</w:t>
            </w:r>
            <w:r>
              <w:rPr>
                <w:rFonts w:hint="eastAsia" w:ascii="黑体" w:hAnsi="黑体" w:eastAsia="黑体" w:cs="黑体"/>
                <w:b w:val="0"/>
                <w:bCs w:val="0"/>
                <w:color w:val="000000"/>
                <w:lang w:val="zh-CN"/>
              </w:rPr>
              <w:t xml:space="preserve">3-11 </w:t>
            </w:r>
            <w:r>
              <w:rPr>
                <w:rFonts w:hint="eastAsia" w:ascii="黑体" w:hAnsi="黑体" w:eastAsia="黑体" w:cs="黑体"/>
                <w:b w:val="0"/>
                <w:bCs w:val="0"/>
                <w:color w:val="000000"/>
              </w:rPr>
              <w:t xml:space="preserve"> </w:t>
            </w:r>
            <w:r>
              <w:rPr>
                <w:rFonts w:hint="eastAsia" w:ascii="黑体" w:hAnsi="黑体" w:eastAsia="黑体" w:cs="黑体"/>
                <w:b w:val="0"/>
                <w:bCs w:val="0"/>
                <w:color w:val="000000"/>
                <w:lang w:val="zh-CN"/>
              </w:rPr>
              <w:t>污水</w:t>
            </w:r>
            <w:r>
              <w:rPr>
                <w:rFonts w:hint="eastAsia" w:ascii="黑体" w:hAnsi="黑体" w:eastAsia="黑体" w:cs="黑体"/>
                <w:b w:val="0"/>
                <w:bCs w:val="0"/>
                <w:lang w:val="zh-CN"/>
              </w:rPr>
              <w:t>排放标准  单位：mg/L</w:t>
            </w:r>
          </w:p>
          <w:tbl>
            <w:tblPr>
              <w:tblStyle w:val="23"/>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18"/>
              <w:gridCol w:w="743"/>
              <w:gridCol w:w="955"/>
              <w:gridCol w:w="748"/>
              <w:gridCol w:w="628"/>
              <w:gridCol w:w="873"/>
              <w:gridCol w:w="950"/>
              <w:gridCol w:w="1117"/>
            </w:tblGrid>
            <w:tr w14:paraId="677E63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16" w:hRule="atLeast"/>
                <w:jc w:val="center"/>
              </w:trPr>
              <w:tc>
                <w:tcPr>
                  <w:tcW w:w="1302" w:type="pct"/>
                  <w:vAlign w:val="center"/>
                </w:tcPr>
                <w:p w14:paraId="57820D9D">
                  <w:pPr>
                    <w:adjustRightInd w:val="0"/>
                    <w:snapToGrid w:val="0"/>
                    <w:ind w:right="-42"/>
                    <w:jc w:val="center"/>
                    <w:rPr>
                      <w:szCs w:val="21"/>
                    </w:rPr>
                  </w:pPr>
                  <w:r>
                    <w:rPr>
                      <w:rFonts w:hint="eastAsia"/>
                      <w:szCs w:val="21"/>
                    </w:rPr>
                    <w:t>标准</w:t>
                  </w:r>
                </w:p>
              </w:tc>
              <w:tc>
                <w:tcPr>
                  <w:tcW w:w="457" w:type="pct"/>
                  <w:vAlign w:val="center"/>
                </w:tcPr>
                <w:p w14:paraId="5D2227E9">
                  <w:pPr>
                    <w:pStyle w:val="18"/>
                    <w:adjustRightInd w:val="0"/>
                    <w:spacing w:after="0"/>
                    <w:ind w:left="0" w:leftChars="0"/>
                    <w:jc w:val="center"/>
                    <w:rPr>
                      <w:sz w:val="21"/>
                      <w:szCs w:val="21"/>
                    </w:rPr>
                  </w:pPr>
                  <w:r>
                    <w:rPr>
                      <w:sz w:val="21"/>
                      <w:szCs w:val="21"/>
                    </w:rPr>
                    <w:t>pH</w:t>
                  </w:r>
                </w:p>
              </w:tc>
              <w:tc>
                <w:tcPr>
                  <w:tcW w:w="587" w:type="pct"/>
                  <w:vAlign w:val="center"/>
                </w:tcPr>
                <w:p w14:paraId="61381931">
                  <w:pPr>
                    <w:adjustRightInd w:val="0"/>
                    <w:snapToGrid w:val="0"/>
                    <w:jc w:val="center"/>
                    <w:rPr>
                      <w:szCs w:val="21"/>
                    </w:rPr>
                  </w:pPr>
                  <w:r>
                    <w:rPr>
                      <w:szCs w:val="21"/>
                    </w:rPr>
                    <w:t>COD</w:t>
                  </w:r>
                </w:p>
              </w:tc>
              <w:tc>
                <w:tcPr>
                  <w:tcW w:w="460" w:type="pct"/>
                  <w:vAlign w:val="center"/>
                </w:tcPr>
                <w:p w14:paraId="3830B07D">
                  <w:pPr>
                    <w:adjustRightInd w:val="0"/>
                    <w:snapToGrid w:val="0"/>
                    <w:jc w:val="center"/>
                    <w:rPr>
                      <w:szCs w:val="21"/>
                    </w:rPr>
                  </w:pPr>
                  <w:r>
                    <w:rPr>
                      <w:szCs w:val="21"/>
                    </w:rPr>
                    <w:t>BOD</w:t>
                  </w:r>
                  <w:r>
                    <w:rPr>
                      <w:szCs w:val="21"/>
                      <w:vertAlign w:val="subscript"/>
                    </w:rPr>
                    <w:t>5</w:t>
                  </w:r>
                </w:p>
              </w:tc>
              <w:tc>
                <w:tcPr>
                  <w:tcW w:w="386" w:type="pct"/>
                  <w:vAlign w:val="center"/>
                </w:tcPr>
                <w:p w14:paraId="1909FEF9">
                  <w:pPr>
                    <w:adjustRightInd w:val="0"/>
                    <w:snapToGrid w:val="0"/>
                    <w:jc w:val="center"/>
                    <w:rPr>
                      <w:szCs w:val="21"/>
                    </w:rPr>
                  </w:pPr>
                  <w:r>
                    <w:rPr>
                      <w:szCs w:val="21"/>
                    </w:rPr>
                    <w:t>SS</w:t>
                  </w:r>
                </w:p>
              </w:tc>
              <w:tc>
                <w:tcPr>
                  <w:tcW w:w="537" w:type="pct"/>
                  <w:vAlign w:val="center"/>
                </w:tcPr>
                <w:p w14:paraId="09667E2D">
                  <w:pPr>
                    <w:adjustRightInd w:val="0"/>
                    <w:snapToGrid w:val="0"/>
                    <w:jc w:val="center"/>
                    <w:rPr>
                      <w:szCs w:val="21"/>
                    </w:rPr>
                  </w:pPr>
                  <w:r>
                    <w:rPr>
                      <w:szCs w:val="21"/>
                    </w:rPr>
                    <w:t>NH</w:t>
                  </w:r>
                  <w:r>
                    <w:rPr>
                      <w:szCs w:val="21"/>
                      <w:vertAlign w:val="subscript"/>
                    </w:rPr>
                    <w:t>3</w:t>
                  </w:r>
                  <w:r>
                    <w:rPr>
                      <w:szCs w:val="21"/>
                    </w:rPr>
                    <w:t>-N</w:t>
                  </w:r>
                </w:p>
              </w:tc>
              <w:tc>
                <w:tcPr>
                  <w:tcW w:w="584" w:type="pct"/>
                  <w:vAlign w:val="center"/>
                </w:tcPr>
                <w:p w14:paraId="7813E75D">
                  <w:pPr>
                    <w:adjustRightInd w:val="0"/>
                    <w:snapToGrid w:val="0"/>
                    <w:jc w:val="center"/>
                    <w:rPr>
                      <w:rFonts w:hint="eastAsia"/>
                      <w:szCs w:val="21"/>
                    </w:rPr>
                  </w:pPr>
                  <w:r>
                    <w:rPr>
                      <w:rFonts w:hint="eastAsia"/>
                      <w:szCs w:val="21"/>
                    </w:rPr>
                    <w:t>石油类</w:t>
                  </w:r>
                </w:p>
              </w:tc>
              <w:tc>
                <w:tcPr>
                  <w:tcW w:w="687" w:type="pct"/>
                  <w:vAlign w:val="center"/>
                </w:tcPr>
                <w:p w14:paraId="1993E9C0">
                  <w:pPr>
                    <w:adjustRightInd w:val="0"/>
                    <w:snapToGrid w:val="0"/>
                    <w:jc w:val="center"/>
                    <w:rPr>
                      <w:rFonts w:hint="eastAsia"/>
                      <w:szCs w:val="21"/>
                    </w:rPr>
                  </w:pPr>
                  <w:r>
                    <w:rPr>
                      <w:rFonts w:hint="eastAsia"/>
                      <w:szCs w:val="21"/>
                    </w:rPr>
                    <w:t>动植物油</w:t>
                  </w:r>
                </w:p>
              </w:tc>
            </w:tr>
            <w:tr w14:paraId="6CE610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65" w:hRule="atLeast"/>
                <w:jc w:val="center"/>
              </w:trPr>
              <w:tc>
                <w:tcPr>
                  <w:tcW w:w="1302" w:type="pct"/>
                  <w:vAlign w:val="center"/>
                </w:tcPr>
                <w:p w14:paraId="7027E1A6">
                  <w:pPr>
                    <w:adjustRightInd w:val="0"/>
                    <w:snapToGrid w:val="0"/>
                    <w:ind w:right="-42"/>
                    <w:jc w:val="center"/>
                    <w:rPr>
                      <w:szCs w:val="21"/>
                    </w:rPr>
                  </w:pPr>
                  <w:r>
                    <w:rPr>
                      <w:rFonts w:hint="eastAsia"/>
                      <w:szCs w:val="21"/>
                    </w:rPr>
                    <w:t>（</w:t>
                  </w:r>
                  <w:r>
                    <w:rPr>
                      <w:szCs w:val="21"/>
                    </w:rPr>
                    <w:t>GB8978-1996</w:t>
                  </w:r>
                  <w:r>
                    <w:rPr>
                      <w:rFonts w:hint="eastAsia"/>
                      <w:szCs w:val="21"/>
                    </w:rPr>
                    <w:t>）三级标准</w:t>
                  </w:r>
                </w:p>
              </w:tc>
              <w:tc>
                <w:tcPr>
                  <w:tcW w:w="457" w:type="pct"/>
                  <w:vAlign w:val="center"/>
                </w:tcPr>
                <w:p w14:paraId="3C76B7A6">
                  <w:pPr>
                    <w:adjustRightInd w:val="0"/>
                    <w:snapToGrid w:val="0"/>
                    <w:jc w:val="center"/>
                    <w:rPr>
                      <w:szCs w:val="21"/>
                    </w:rPr>
                  </w:pPr>
                  <w:r>
                    <w:rPr>
                      <w:szCs w:val="21"/>
                    </w:rPr>
                    <w:t>6</w:t>
                  </w:r>
                  <w:r>
                    <w:rPr>
                      <w:rFonts w:hint="eastAsia"/>
                      <w:szCs w:val="21"/>
                    </w:rPr>
                    <w:t>～</w:t>
                  </w:r>
                  <w:r>
                    <w:rPr>
                      <w:szCs w:val="21"/>
                    </w:rPr>
                    <w:t>9</w:t>
                  </w:r>
                </w:p>
              </w:tc>
              <w:tc>
                <w:tcPr>
                  <w:tcW w:w="587" w:type="pct"/>
                  <w:vAlign w:val="center"/>
                </w:tcPr>
                <w:p w14:paraId="38C82182">
                  <w:pPr>
                    <w:adjustRightInd w:val="0"/>
                    <w:snapToGrid w:val="0"/>
                    <w:jc w:val="center"/>
                    <w:rPr>
                      <w:szCs w:val="21"/>
                    </w:rPr>
                  </w:pPr>
                  <w:r>
                    <w:rPr>
                      <w:szCs w:val="21"/>
                    </w:rPr>
                    <w:t>500</w:t>
                  </w:r>
                </w:p>
              </w:tc>
              <w:tc>
                <w:tcPr>
                  <w:tcW w:w="460" w:type="pct"/>
                  <w:vAlign w:val="center"/>
                </w:tcPr>
                <w:p w14:paraId="086210B3">
                  <w:pPr>
                    <w:jc w:val="center"/>
                    <w:rPr>
                      <w:szCs w:val="21"/>
                    </w:rPr>
                  </w:pPr>
                  <w:r>
                    <w:rPr>
                      <w:szCs w:val="21"/>
                    </w:rPr>
                    <w:t>300</w:t>
                  </w:r>
                </w:p>
              </w:tc>
              <w:tc>
                <w:tcPr>
                  <w:tcW w:w="386" w:type="pct"/>
                  <w:vAlign w:val="center"/>
                </w:tcPr>
                <w:p w14:paraId="4B98C523">
                  <w:pPr>
                    <w:adjustRightInd w:val="0"/>
                    <w:snapToGrid w:val="0"/>
                    <w:jc w:val="center"/>
                    <w:rPr>
                      <w:szCs w:val="21"/>
                    </w:rPr>
                  </w:pPr>
                  <w:r>
                    <w:rPr>
                      <w:szCs w:val="21"/>
                    </w:rPr>
                    <w:t>400</w:t>
                  </w:r>
                </w:p>
              </w:tc>
              <w:tc>
                <w:tcPr>
                  <w:tcW w:w="537" w:type="pct"/>
                  <w:vAlign w:val="center"/>
                </w:tcPr>
                <w:p w14:paraId="226E284F">
                  <w:pPr>
                    <w:adjustRightInd w:val="0"/>
                    <w:snapToGrid w:val="0"/>
                    <w:jc w:val="center"/>
                    <w:rPr>
                      <w:szCs w:val="21"/>
                    </w:rPr>
                  </w:pPr>
                  <w:r>
                    <w:rPr>
                      <w:szCs w:val="21"/>
                    </w:rPr>
                    <w:t>45*</w:t>
                  </w:r>
                </w:p>
              </w:tc>
              <w:tc>
                <w:tcPr>
                  <w:tcW w:w="584" w:type="pct"/>
                  <w:vAlign w:val="center"/>
                </w:tcPr>
                <w:p w14:paraId="2C292F45">
                  <w:pPr>
                    <w:adjustRightInd w:val="0"/>
                    <w:snapToGrid w:val="0"/>
                    <w:jc w:val="center"/>
                    <w:rPr>
                      <w:rFonts w:hint="eastAsia"/>
                      <w:szCs w:val="21"/>
                    </w:rPr>
                  </w:pPr>
                  <w:r>
                    <w:rPr>
                      <w:rFonts w:hint="eastAsia"/>
                      <w:szCs w:val="21"/>
                    </w:rPr>
                    <w:t>20</w:t>
                  </w:r>
                </w:p>
              </w:tc>
              <w:tc>
                <w:tcPr>
                  <w:tcW w:w="687" w:type="pct"/>
                  <w:vAlign w:val="center"/>
                </w:tcPr>
                <w:p w14:paraId="6D71FA42">
                  <w:pPr>
                    <w:adjustRightInd w:val="0"/>
                    <w:snapToGrid w:val="0"/>
                    <w:jc w:val="center"/>
                    <w:rPr>
                      <w:szCs w:val="21"/>
                    </w:rPr>
                  </w:pPr>
                  <w:r>
                    <w:rPr>
                      <w:rFonts w:hint="eastAsia"/>
                      <w:szCs w:val="21"/>
                    </w:rPr>
                    <w:t>100</w:t>
                  </w:r>
                </w:p>
              </w:tc>
            </w:tr>
            <w:tr w14:paraId="5B67B6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71" w:hRule="atLeast"/>
                <w:jc w:val="center"/>
              </w:trPr>
              <w:tc>
                <w:tcPr>
                  <w:tcW w:w="1302" w:type="pct"/>
                  <w:vAlign w:val="center"/>
                </w:tcPr>
                <w:p w14:paraId="46DF1216">
                  <w:pPr>
                    <w:adjustRightInd w:val="0"/>
                    <w:snapToGrid w:val="0"/>
                    <w:ind w:right="-42"/>
                    <w:jc w:val="center"/>
                    <w:rPr>
                      <w:szCs w:val="21"/>
                    </w:rPr>
                  </w:pPr>
                  <w:r>
                    <w:rPr>
                      <w:rFonts w:hint="eastAsia"/>
                      <w:szCs w:val="21"/>
                    </w:rPr>
                    <w:t>（</w:t>
                  </w:r>
                  <w:r>
                    <w:rPr>
                      <w:szCs w:val="21"/>
                    </w:rPr>
                    <w:t>GB18918-2002</w:t>
                  </w:r>
                  <w:r>
                    <w:rPr>
                      <w:rFonts w:hint="eastAsia"/>
                      <w:szCs w:val="21"/>
                    </w:rPr>
                    <w:t>）一级B标准</w:t>
                  </w:r>
                </w:p>
              </w:tc>
              <w:tc>
                <w:tcPr>
                  <w:tcW w:w="457" w:type="pct"/>
                  <w:vAlign w:val="center"/>
                </w:tcPr>
                <w:p w14:paraId="1264E180">
                  <w:pPr>
                    <w:adjustRightInd w:val="0"/>
                    <w:snapToGrid w:val="0"/>
                    <w:jc w:val="center"/>
                    <w:rPr>
                      <w:szCs w:val="21"/>
                    </w:rPr>
                  </w:pPr>
                  <w:r>
                    <w:rPr>
                      <w:szCs w:val="21"/>
                    </w:rPr>
                    <w:t>6</w:t>
                  </w:r>
                  <w:r>
                    <w:rPr>
                      <w:rFonts w:hint="eastAsia"/>
                      <w:szCs w:val="21"/>
                    </w:rPr>
                    <w:t>～</w:t>
                  </w:r>
                  <w:r>
                    <w:rPr>
                      <w:szCs w:val="21"/>
                    </w:rPr>
                    <w:t>9</w:t>
                  </w:r>
                </w:p>
              </w:tc>
              <w:tc>
                <w:tcPr>
                  <w:tcW w:w="587" w:type="pct"/>
                  <w:vAlign w:val="center"/>
                </w:tcPr>
                <w:p w14:paraId="5FC98E7F">
                  <w:pPr>
                    <w:adjustRightInd w:val="0"/>
                    <w:snapToGrid w:val="0"/>
                    <w:jc w:val="center"/>
                    <w:rPr>
                      <w:szCs w:val="21"/>
                    </w:rPr>
                  </w:pPr>
                  <w:r>
                    <w:rPr>
                      <w:rFonts w:hint="eastAsia"/>
                      <w:szCs w:val="21"/>
                    </w:rPr>
                    <w:t>60</w:t>
                  </w:r>
                </w:p>
              </w:tc>
              <w:tc>
                <w:tcPr>
                  <w:tcW w:w="460" w:type="pct"/>
                  <w:vAlign w:val="center"/>
                </w:tcPr>
                <w:p w14:paraId="02CA3C6C">
                  <w:pPr>
                    <w:jc w:val="center"/>
                    <w:rPr>
                      <w:szCs w:val="21"/>
                    </w:rPr>
                  </w:pPr>
                  <w:r>
                    <w:rPr>
                      <w:rFonts w:hint="eastAsia"/>
                      <w:szCs w:val="21"/>
                    </w:rPr>
                    <w:t>20</w:t>
                  </w:r>
                </w:p>
              </w:tc>
              <w:tc>
                <w:tcPr>
                  <w:tcW w:w="386" w:type="pct"/>
                  <w:vAlign w:val="center"/>
                </w:tcPr>
                <w:p w14:paraId="7BAF2A7B">
                  <w:pPr>
                    <w:adjustRightInd w:val="0"/>
                    <w:snapToGrid w:val="0"/>
                    <w:jc w:val="center"/>
                    <w:rPr>
                      <w:szCs w:val="21"/>
                    </w:rPr>
                  </w:pPr>
                  <w:r>
                    <w:rPr>
                      <w:rFonts w:hint="eastAsia"/>
                      <w:szCs w:val="21"/>
                    </w:rPr>
                    <w:t>20</w:t>
                  </w:r>
                </w:p>
              </w:tc>
              <w:tc>
                <w:tcPr>
                  <w:tcW w:w="537" w:type="pct"/>
                  <w:vAlign w:val="center"/>
                </w:tcPr>
                <w:p w14:paraId="1368D701">
                  <w:pPr>
                    <w:adjustRightInd w:val="0"/>
                    <w:snapToGrid w:val="0"/>
                    <w:jc w:val="center"/>
                    <w:rPr>
                      <w:szCs w:val="21"/>
                    </w:rPr>
                  </w:pPr>
                  <w:r>
                    <w:rPr>
                      <w:rFonts w:hint="eastAsia"/>
                      <w:szCs w:val="21"/>
                    </w:rPr>
                    <w:t>8（15）</w:t>
                  </w:r>
                </w:p>
              </w:tc>
              <w:tc>
                <w:tcPr>
                  <w:tcW w:w="584" w:type="pct"/>
                  <w:vAlign w:val="center"/>
                </w:tcPr>
                <w:p w14:paraId="3BC404EA">
                  <w:pPr>
                    <w:adjustRightInd w:val="0"/>
                    <w:snapToGrid w:val="0"/>
                    <w:jc w:val="center"/>
                    <w:rPr>
                      <w:rFonts w:hint="eastAsia"/>
                      <w:szCs w:val="21"/>
                    </w:rPr>
                  </w:pPr>
                  <w:r>
                    <w:rPr>
                      <w:rFonts w:hint="eastAsia"/>
                      <w:szCs w:val="21"/>
                    </w:rPr>
                    <w:t>3</w:t>
                  </w:r>
                </w:p>
              </w:tc>
              <w:tc>
                <w:tcPr>
                  <w:tcW w:w="687" w:type="pct"/>
                  <w:vAlign w:val="center"/>
                </w:tcPr>
                <w:p w14:paraId="26051550">
                  <w:pPr>
                    <w:adjustRightInd w:val="0"/>
                    <w:snapToGrid w:val="0"/>
                    <w:jc w:val="center"/>
                    <w:rPr>
                      <w:rFonts w:hint="eastAsia"/>
                      <w:szCs w:val="21"/>
                    </w:rPr>
                  </w:pPr>
                  <w:r>
                    <w:rPr>
                      <w:rFonts w:hint="eastAsia"/>
                      <w:szCs w:val="21"/>
                    </w:rPr>
                    <w:t>3</w:t>
                  </w:r>
                </w:p>
              </w:tc>
            </w:tr>
          </w:tbl>
          <w:p w14:paraId="73AFBE63">
            <w:pPr>
              <w:adjustRightInd w:val="0"/>
              <w:snapToGrid w:val="0"/>
              <w:jc w:val="left"/>
              <w:rPr>
                <w:rFonts w:hint="eastAsia"/>
                <w:sz w:val="24"/>
              </w:rPr>
            </w:pPr>
            <w:r>
              <w:rPr>
                <w:rFonts w:hint="eastAsia"/>
                <w:sz w:val="18"/>
                <w:szCs w:val="18"/>
              </w:rPr>
              <w:t>注：</w:t>
            </w:r>
            <w:r>
              <w:rPr>
                <w:sz w:val="18"/>
                <w:szCs w:val="18"/>
              </w:rPr>
              <w:t>*</w:t>
            </w:r>
            <w:r>
              <w:rPr>
                <w:rFonts w:hint="eastAsia"/>
                <w:sz w:val="18"/>
                <w:szCs w:val="18"/>
              </w:rPr>
              <w:t>根据《</w:t>
            </w:r>
            <w:r>
              <w:rPr>
                <w:rStyle w:val="54"/>
                <w:rFonts w:hint="eastAsia"/>
                <w:sz w:val="18"/>
                <w:szCs w:val="18"/>
              </w:rPr>
              <w:t>关于纳管排污单位氨氮执行标准的复函》（环函</w:t>
            </w:r>
            <w:r>
              <w:rPr>
                <w:rStyle w:val="54"/>
                <w:sz w:val="18"/>
                <w:szCs w:val="18"/>
              </w:rPr>
              <w:t>[2004]454</w:t>
            </w:r>
            <w:r>
              <w:rPr>
                <w:rStyle w:val="54"/>
                <w:rFonts w:hint="eastAsia"/>
                <w:sz w:val="18"/>
                <w:szCs w:val="18"/>
              </w:rPr>
              <w:t>号），《污水排放综合标准》（</w:t>
            </w:r>
            <w:r>
              <w:rPr>
                <w:rStyle w:val="54"/>
                <w:sz w:val="18"/>
                <w:szCs w:val="18"/>
              </w:rPr>
              <w:t>GB8978-1996</w:t>
            </w:r>
            <w:r>
              <w:rPr>
                <w:rStyle w:val="54"/>
                <w:rFonts w:hint="eastAsia"/>
                <w:sz w:val="18"/>
                <w:szCs w:val="18"/>
              </w:rPr>
              <w:t>）中氨氮没有限值，可暂时执行《污水排入城镇下水道水质标准》（</w:t>
            </w:r>
            <w:r>
              <w:rPr>
                <w:rStyle w:val="54"/>
                <w:sz w:val="18"/>
                <w:szCs w:val="18"/>
              </w:rPr>
              <w:t>GB/T31962-2015</w:t>
            </w:r>
            <w:r>
              <w:rPr>
                <w:rStyle w:val="54"/>
                <w:rFonts w:hint="eastAsia"/>
                <w:sz w:val="18"/>
                <w:szCs w:val="18"/>
              </w:rPr>
              <w:t>）。括号外数值为水温＞12℃时的控制指标，括号内数值为水温≤12℃时的控制指标。</w:t>
            </w:r>
          </w:p>
          <w:p w14:paraId="62EC077B">
            <w:pPr>
              <w:adjustRightInd w:val="0"/>
              <w:snapToGrid w:val="0"/>
              <w:spacing w:line="360" w:lineRule="auto"/>
              <w:jc w:val="left"/>
              <w:rPr>
                <w:rFonts w:hint="eastAsia"/>
                <w:b/>
                <w:bCs/>
                <w:sz w:val="24"/>
              </w:rPr>
            </w:pPr>
            <w:r>
              <w:rPr>
                <w:rFonts w:hint="eastAsia"/>
                <w:b/>
                <w:bCs/>
                <w:sz w:val="24"/>
              </w:rPr>
              <w:t>3.10噪声排放标准</w:t>
            </w:r>
          </w:p>
          <w:p w14:paraId="6FA53F6B">
            <w:pPr>
              <w:adjustRightInd w:val="0"/>
              <w:snapToGrid w:val="0"/>
              <w:spacing w:line="360" w:lineRule="auto"/>
              <w:ind w:firstLine="454"/>
              <w:jc w:val="left"/>
              <w:rPr>
                <w:kern w:val="0"/>
                <w:sz w:val="24"/>
              </w:rPr>
            </w:pPr>
            <w:r>
              <w:rPr>
                <w:rFonts w:hint="eastAsia"/>
                <w:kern w:val="0"/>
                <w:sz w:val="24"/>
              </w:rPr>
              <w:t>项目</w:t>
            </w:r>
            <w:r>
              <w:rPr>
                <w:kern w:val="0"/>
                <w:sz w:val="24"/>
              </w:rPr>
              <w:t>施工期执行《建筑施工场界环境噪声排放标准》（GB12523-2011）标准，</w:t>
            </w:r>
            <w:r>
              <w:rPr>
                <w:color w:val="000000"/>
                <w:kern w:val="0"/>
                <w:sz w:val="24"/>
              </w:rPr>
              <w:t>项目</w:t>
            </w:r>
            <w:r>
              <w:rPr>
                <w:rFonts w:hint="eastAsia"/>
                <w:color w:val="000000"/>
                <w:kern w:val="0"/>
                <w:sz w:val="24"/>
              </w:rPr>
              <w:t>南侧紧邻聚业大道，营运期噪声排放执行《工业企业厂界环境噪声排放标准》（</w:t>
            </w:r>
            <w:r>
              <w:rPr>
                <w:color w:val="000000"/>
                <w:kern w:val="0"/>
                <w:sz w:val="24"/>
              </w:rPr>
              <w:t>GB12348</w:t>
            </w:r>
            <w:r>
              <w:rPr>
                <w:rFonts w:hint="eastAsia"/>
                <w:color w:val="000000"/>
                <w:kern w:val="0"/>
                <w:sz w:val="24"/>
              </w:rPr>
              <w:t>－</w:t>
            </w:r>
            <w:r>
              <w:rPr>
                <w:color w:val="000000"/>
                <w:kern w:val="0"/>
                <w:sz w:val="24"/>
              </w:rPr>
              <w:t>2008</w:t>
            </w:r>
            <w:r>
              <w:rPr>
                <w:rFonts w:hint="eastAsia"/>
                <w:color w:val="000000"/>
                <w:kern w:val="0"/>
                <w:sz w:val="24"/>
              </w:rPr>
              <w:t>）</w:t>
            </w:r>
            <w:r>
              <w:rPr>
                <w:color w:val="000000"/>
                <w:kern w:val="0"/>
                <w:sz w:val="24"/>
              </w:rPr>
              <w:t>3</w:t>
            </w:r>
            <w:r>
              <w:rPr>
                <w:rFonts w:hint="eastAsia"/>
                <w:color w:val="000000"/>
                <w:kern w:val="0"/>
                <w:sz w:val="24"/>
              </w:rPr>
              <w:t>类和</w:t>
            </w:r>
            <w:r>
              <w:rPr>
                <w:color w:val="000000"/>
                <w:kern w:val="0"/>
                <w:sz w:val="24"/>
              </w:rPr>
              <w:t>4</w:t>
            </w:r>
            <w:r>
              <w:rPr>
                <w:rFonts w:hint="eastAsia"/>
                <w:color w:val="000000"/>
                <w:kern w:val="0"/>
                <w:sz w:val="24"/>
              </w:rPr>
              <w:t>类标准（聚业大道侧）</w:t>
            </w:r>
            <w:r>
              <w:rPr>
                <w:color w:val="000000"/>
                <w:kern w:val="0"/>
                <w:sz w:val="24"/>
              </w:rPr>
              <w:t>，具体标准限值见表3-</w:t>
            </w:r>
            <w:r>
              <w:rPr>
                <w:rFonts w:hint="eastAsia"/>
                <w:color w:val="000000"/>
                <w:kern w:val="0"/>
                <w:sz w:val="24"/>
              </w:rPr>
              <w:t>12</w:t>
            </w:r>
            <w:r>
              <w:rPr>
                <w:color w:val="000000"/>
                <w:kern w:val="0"/>
                <w:sz w:val="24"/>
              </w:rPr>
              <w:t>、3-</w:t>
            </w:r>
            <w:r>
              <w:rPr>
                <w:rFonts w:hint="eastAsia"/>
                <w:color w:val="000000"/>
                <w:kern w:val="0"/>
                <w:sz w:val="24"/>
              </w:rPr>
              <w:t>13</w:t>
            </w:r>
            <w:r>
              <w:rPr>
                <w:color w:val="000000"/>
                <w:kern w:val="0"/>
                <w:sz w:val="24"/>
              </w:rPr>
              <w:t>。</w:t>
            </w:r>
          </w:p>
          <w:p w14:paraId="0EA2924E">
            <w:pPr>
              <w:pStyle w:val="68"/>
              <w:spacing w:line="240" w:lineRule="auto"/>
              <w:rPr>
                <w:rFonts w:hint="eastAsia" w:ascii="黑体" w:hAnsi="黑体" w:eastAsia="黑体" w:cs="黑体"/>
                <w:b w:val="0"/>
                <w:bCs w:val="0"/>
                <w:color w:val="000000"/>
                <w:lang w:val="zh-CN"/>
              </w:rPr>
            </w:pPr>
            <w:r>
              <w:rPr>
                <w:rFonts w:hint="eastAsia" w:ascii="黑体" w:hAnsi="黑体" w:eastAsia="黑体" w:cs="黑体"/>
                <w:b w:val="0"/>
                <w:bCs w:val="0"/>
                <w:color w:val="000000"/>
                <w:lang w:val="zh-CN"/>
              </w:rPr>
              <w:t>表3-12《建筑施工场界环境噪声排放标准》（GB12523-2011）单位：dB（A）</w:t>
            </w:r>
          </w:p>
          <w:tbl>
            <w:tblPr>
              <w:tblStyle w:val="23"/>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715"/>
              <w:gridCol w:w="2717"/>
              <w:gridCol w:w="2706"/>
            </w:tblGrid>
            <w:tr w14:paraId="475CA1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20" w:hRule="atLeast"/>
              </w:trPr>
              <w:tc>
                <w:tcPr>
                  <w:tcW w:w="1668" w:type="pct"/>
                  <w:vAlign w:val="center"/>
                </w:tcPr>
                <w:p w14:paraId="2CB7CF55">
                  <w:pPr>
                    <w:spacing w:line="240" w:lineRule="exact"/>
                    <w:jc w:val="center"/>
                    <w:rPr>
                      <w:color w:val="000000"/>
                      <w:szCs w:val="21"/>
                    </w:rPr>
                  </w:pPr>
                  <w:r>
                    <w:rPr>
                      <w:color w:val="000000"/>
                      <w:szCs w:val="21"/>
                    </w:rPr>
                    <w:t>时段</w:t>
                  </w:r>
                </w:p>
              </w:tc>
              <w:tc>
                <w:tcPr>
                  <w:tcW w:w="1669" w:type="pct"/>
                  <w:vAlign w:val="center"/>
                </w:tcPr>
                <w:p w14:paraId="55C7A8E5">
                  <w:pPr>
                    <w:spacing w:line="240" w:lineRule="exact"/>
                    <w:jc w:val="center"/>
                    <w:rPr>
                      <w:color w:val="000000"/>
                      <w:szCs w:val="21"/>
                    </w:rPr>
                  </w:pPr>
                  <w:r>
                    <w:rPr>
                      <w:color w:val="000000"/>
                      <w:szCs w:val="21"/>
                    </w:rPr>
                    <w:t>昼间</w:t>
                  </w:r>
                </w:p>
              </w:tc>
              <w:tc>
                <w:tcPr>
                  <w:tcW w:w="1662" w:type="pct"/>
                  <w:vAlign w:val="center"/>
                </w:tcPr>
                <w:p w14:paraId="43009068">
                  <w:pPr>
                    <w:spacing w:line="240" w:lineRule="exact"/>
                    <w:jc w:val="center"/>
                    <w:rPr>
                      <w:color w:val="000000"/>
                      <w:szCs w:val="21"/>
                    </w:rPr>
                  </w:pPr>
                  <w:r>
                    <w:rPr>
                      <w:color w:val="000000"/>
                      <w:szCs w:val="21"/>
                    </w:rPr>
                    <w:t>夜间</w:t>
                  </w:r>
                </w:p>
              </w:tc>
            </w:tr>
            <w:tr w14:paraId="4B0947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1668" w:type="pct"/>
                  <w:vAlign w:val="center"/>
                </w:tcPr>
                <w:p w14:paraId="0E064729">
                  <w:pPr>
                    <w:spacing w:line="240" w:lineRule="exact"/>
                    <w:jc w:val="center"/>
                    <w:rPr>
                      <w:color w:val="000000"/>
                      <w:szCs w:val="21"/>
                    </w:rPr>
                  </w:pPr>
                  <w:r>
                    <w:rPr>
                      <w:color w:val="000000"/>
                      <w:szCs w:val="21"/>
                    </w:rPr>
                    <w:t>标准值</w:t>
                  </w:r>
                </w:p>
              </w:tc>
              <w:tc>
                <w:tcPr>
                  <w:tcW w:w="1669" w:type="pct"/>
                  <w:vAlign w:val="center"/>
                </w:tcPr>
                <w:p w14:paraId="7D89AD98">
                  <w:pPr>
                    <w:spacing w:line="240" w:lineRule="exact"/>
                    <w:jc w:val="center"/>
                    <w:rPr>
                      <w:color w:val="000000"/>
                      <w:szCs w:val="21"/>
                    </w:rPr>
                  </w:pPr>
                  <w:r>
                    <w:rPr>
                      <w:color w:val="000000"/>
                      <w:szCs w:val="21"/>
                    </w:rPr>
                    <w:t>70</w:t>
                  </w:r>
                </w:p>
              </w:tc>
              <w:tc>
                <w:tcPr>
                  <w:tcW w:w="1662" w:type="pct"/>
                  <w:vAlign w:val="center"/>
                </w:tcPr>
                <w:p w14:paraId="5964A552">
                  <w:pPr>
                    <w:spacing w:line="240" w:lineRule="exact"/>
                    <w:jc w:val="center"/>
                    <w:rPr>
                      <w:color w:val="000000"/>
                      <w:szCs w:val="21"/>
                    </w:rPr>
                  </w:pPr>
                  <w:r>
                    <w:rPr>
                      <w:color w:val="000000"/>
                      <w:szCs w:val="21"/>
                    </w:rPr>
                    <w:t>55</w:t>
                  </w:r>
                </w:p>
              </w:tc>
            </w:tr>
          </w:tbl>
          <w:p w14:paraId="02795DDF">
            <w:pPr>
              <w:pStyle w:val="68"/>
              <w:spacing w:line="240" w:lineRule="auto"/>
              <w:rPr>
                <w:rFonts w:hint="eastAsia" w:ascii="黑体" w:hAnsi="黑体" w:eastAsia="黑体" w:cs="黑体"/>
                <w:b w:val="0"/>
                <w:bCs w:val="0"/>
                <w:color w:val="000000"/>
                <w:lang w:val="zh-CN"/>
              </w:rPr>
            </w:pPr>
            <w:r>
              <w:rPr>
                <w:rFonts w:hint="eastAsia" w:ascii="黑体" w:hAnsi="黑体" w:eastAsia="黑体" w:cs="黑体"/>
                <w:b w:val="0"/>
                <w:bCs w:val="0"/>
                <w:color w:val="000000"/>
                <w:lang w:val="zh-CN"/>
              </w:rPr>
              <w:t>表3-13 《工业企业厂界环境噪声排放标准》（GB12348－2008）单位：dB（A）</w:t>
            </w:r>
          </w:p>
          <w:tbl>
            <w:tblPr>
              <w:tblStyle w:val="2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33"/>
              <w:gridCol w:w="1265"/>
              <w:gridCol w:w="1377"/>
              <w:gridCol w:w="1377"/>
              <w:gridCol w:w="2288"/>
            </w:tblGrid>
            <w:tr w14:paraId="169A90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903" w:type="pct"/>
                  <w:gridSpan w:val="2"/>
                  <w:tcBorders>
                    <w:top w:val="single" w:color="auto" w:sz="12" w:space="0"/>
                    <w:left w:val="nil"/>
                    <w:bottom w:val="single" w:color="auto" w:sz="4" w:space="0"/>
                    <w:right w:val="single" w:color="auto" w:sz="4" w:space="0"/>
                  </w:tcBorders>
                  <w:vAlign w:val="center"/>
                </w:tcPr>
                <w:p w14:paraId="47117916">
                  <w:pPr>
                    <w:adjustRightInd w:val="0"/>
                    <w:snapToGrid w:val="0"/>
                    <w:spacing w:line="360" w:lineRule="exact"/>
                    <w:jc w:val="center"/>
                    <w:rPr>
                      <w:color w:val="000000"/>
                      <w:szCs w:val="21"/>
                    </w:rPr>
                  </w:pPr>
                  <w:r>
                    <w:rPr>
                      <w:rFonts w:hint="eastAsia"/>
                      <w:color w:val="000000"/>
                      <w:szCs w:val="21"/>
                    </w:rPr>
                    <w:t>时</w:t>
                  </w:r>
                  <w:r>
                    <w:rPr>
                      <w:color w:val="000000"/>
                      <w:szCs w:val="21"/>
                    </w:rPr>
                    <w:t xml:space="preserve"> </w:t>
                  </w:r>
                  <w:r>
                    <w:rPr>
                      <w:rFonts w:hint="eastAsia"/>
                      <w:color w:val="000000"/>
                      <w:szCs w:val="21"/>
                    </w:rPr>
                    <w:t>段</w:t>
                  </w:r>
                </w:p>
              </w:tc>
              <w:tc>
                <w:tcPr>
                  <w:tcW w:w="846" w:type="pct"/>
                  <w:tcBorders>
                    <w:top w:val="single" w:color="auto" w:sz="12" w:space="0"/>
                    <w:left w:val="single" w:color="auto" w:sz="4" w:space="0"/>
                    <w:bottom w:val="single" w:color="auto" w:sz="4" w:space="0"/>
                    <w:right w:val="single" w:color="auto" w:sz="4" w:space="0"/>
                  </w:tcBorders>
                  <w:vAlign w:val="center"/>
                </w:tcPr>
                <w:p w14:paraId="6870C3E5">
                  <w:pPr>
                    <w:adjustRightInd w:val="0"/>
                    <w:snapToGrid w:val="0"/>
                    <w:spacing w:line="360" w:lineRule="exact"/>
                    <w:jc w:val="center"/>
                    <w:rPr>
                      <w:color w:val="000000"/>
                      <w:szCs w:val="21"/>
                    </w:rPr>
                  </w:pPr>
                  <w:r>
                    <w:rPr>
                      <w:rFonts w:hint="eastAsia"/>
                      <w:color w:val="000000"/>
                      <w:szCs w:val="21"/>
                    </w:rPr>
                    <w:t>昼间</w:t>
                  </w:r>
                </w:p>
              </w:tc>
              <w:tc>
                <w:tcPr>
                  <w:tcW w:w="846" w:type="pct"/>
                  <w:tcBorders>
                    <w:top w:val="single" w:color="auto" w:sz="12" w:space="0"/>
                    <w:left w:val="single" w:color="auto" w:sz="4" w:space="0"/>
                    <w:bottom w:val="single" w:color="auto" w:sz="4" w:space="0"/>
                    <w:right w:val="nil"/>
                  </w:tcBorders>
                  <w:vAlign w:val="center"/>
                </w:tcPr>
                <w:p w14:paraId="158C8DB9">
                  <w:pPr>
                    <w:adjustRightInd w:val="0"/>
                    <w:snapToGrid w:val="0"/>
                    <w:spacing w:line="360" w:lineRule="exact"/>
                    <w:jc w:val="center"/>
                    <w:rPr>
                      <w:color w:val="000000"/>
                      <w:szCs w:val="21"/>
                    </w:rPr>
                  </w:pPr>
                  <w:r>
                    <w:rPr>
                      <w:rFonts w:hint="eastAsia"/>
                      <w:color w:val="000000"/>
                      <w:szCs w:val="21"/>
                    </w:rPr>
                    <w:t>夜间</w:t>
                  </w:r>
                </w:p>
              </w:tc>
              <w:tc>
                <w:tcPr>
                  <w:tcW w:w="1405" w:type="pct"/>
                  <w:tcBorders>
                    <w:top w:val="single" w:color="auto" w:sz="12" w:space="0"/>
                    <w:left w:val="single" w:color="auto" w:sz="4" w:space="0"/>
                    <w:bottom w:val="single" w:color="auto" w:sz="4" w:space="0"/>
                    <w:right w:val="nil"/>
                  </w:tcBorders>
                  <w:vAlign w:val="center"/>
                </w:tcPr>
                <w:p w14:paraId="3DB96B80">
                  <w:pPr>
                    <w:adjustRightInd w:val="0"/>
                    <w:snapToGrid w:val="0"/>
                    <w:spacing w:line="360" w:lineRule="exact"/>
                    <w:jc w:val="center"/>
                    <w:rPr>
                      <w:color w:val="000000"/>
                      <w:szCs w:val="21"/>
                    </w:rPr>
                  </w:pPr>
                  <w:r>
                    <w:rPr>
                      <w:rFonts w:hint="eastAsia"/>
                      <w:color w:val="000000"/>
                      <w:szCs w:val="21"/>
                    </w:rPr>
                    <w:t>执行厂界</w:t>
                  </w:r>
                </w:p>
              </w:tc>
            </w:tr>
            <w:tr w14:paraId="37C0C0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1126" w:type="pct"/>
                  <w:vMerge w:val="restart"/>
                  <w:tcBorders>
                    <w:top w:val="single" w:color="auto" w:sz="4" w:space="0"/>
                    <w:left w:val="nil"/>
                    <w:bottom w:val="single" w:color="auto" w:sz="12" w:space="0"/>
                    <w:right w:val="single" w:color="auto" w:sz="4" w:space="0"/>
                  </w:tcBorders>
                  <w:vAlign w:val="center"/>
                </w:tcPr>
                <w:p w14:paraId="5FF31162">
                  <w:pPr>
                    <w:adjustRightInd w:val="0"/>
                    <w:snapToGrid w:val="0"/>
                    <w:spacing w:line="360" w:lineRule="exact"/>
                    <w:jc w:val="center"/>
                    <w:rPr>
                      <w:color w:val="000000"/>
                      <w:szCs w:val="21"/>
                    </w:rPr>
                  </w:pPr>
                  <w:r>
                    <w:rPr>
                      <w:rFonts w:hint="eastAsia"/>
                      <w:color w:val="000000"/>
                      <w:szCs w:val="21"/>
                    </w:rPr>
                    <w:t>标准值</w:t>
                  </w:r>
                </w:p>
              </w:tc>
              <w:tc>
                <w:tcPr>
                  <w:tcW w:w="777" w:type="pct"/>
                  <w:tcBorders>
                    <w:top w:val="single" w:color="auto" w:sz="4" w:space="0"/>
                    <w:left w:val="single" w:color="auto" w:sz="4" w:space="0"/>
                    <w:bottom w:val="single" w:color="auto" w:sz="4" w:space="0"/>
                    <w:right w:val="single" w:color="auto" w:sz="4" w:space="0"/>
                  </w:tcBorders>
                  <w:vAlign w:val="center"/>
                </w:tcPr>
                <w:p w14:paraId="09C64182">
                  <w:pPr>
                    <w:adjustRightInd w:val="0"/>
                    <w:snapToGrid w:val="0"/>
                    <w:spacing w:line="360" w:lineRule="exact"/>
                    <w:jc w:val="center"/>
                    <w:rPr>
                      <w:color w:val="000000"/>
                      <w:szCs w:val="21"/>
                    </w:rPr>
                  </w:pPr>
                  <w:r>
                    <w:rPr>
                      <w:color w:val="000000"/>
                      <w:szCs w:val="21"/>
                    </w:rPr>
                    <w:t>3</w:t>
                  </w:r>
                  <w:r>
                    <w:rPr>
                      <w:rFonts w:hint="eastAsia"/>
                      <w:color w:val="000000"/>
                      <w:szCs w:val="21"/>
                    </w:rPr>
                    <w:t>类</w:t>
                  </w:r>
                </w:p>
              </w:tc>
              <w:tc>
                <w:tcPr>
                  <w:tcW w:w="846" w:type="pct"/>
                  <w:tcBorders>
                    <w:top w:val="single" w:color="auto" w:sz="4" w:space="0"/>
                    <w:left w:val="single" w:color="auto" w:sz="4" w:space="0"/>
                    <w:bottom w:val="single" w:color="auto" w:sz="4" w:space="0"/>
                    <w:right w:val="single" w:color="auto" w:sz="4" w:space="0"/>
                  </w:tcBorders>
                  <w:vAlign w:val="center"/>
                </w:tcPr>
                <w:p w14:paraId="121EDCA3">
                  <w:pPr>
                    <w:adjustRightInd w:val="0"/>
                    <w:snapToGrid w:val="0"/>
                    <w:spacing w:line="360" w:lineRule="exact"/>
                    <w:jc w:val="center"/>
                    <w:rPr>
                      <w:color w:val="000000"/>
                      <w:szCs w:val="21"/>
                    </w:rPr>
                  </w:pPr>
                  <w:r>
                    <w:rPr>
                      <w:color w:val="000000"/>
                      <w:szCs w:val="21"/>
                    </w:rPr>
                    <w:t>65</w:t>
                  </w:r>
                </w:p>
              </w:tc>
              <w:tc>
                <w:tcPr>
                  <w:tcW w:w="846" w:type="pct"/>
                  <w:tcBorders>
                    <w:top w:val="single" w:color="auto" w:sz="4" w:space="0"/>
                    <w:left w:val="single" w:color="auto" w:sz="4" w:space="0"/>
                    <w:bottom w:val="single" w:color="auto" w:sz="4" w:space="0"/>
                    <w:right w:val="nil"/>
                  </w:tcBorders>
                  <w:vAlign w:val="center"/>
                </w:tcPr>
                <w:p w14:paraId="7B33FF1E">
                  <w:pPr>
                    <w:adjustRightInd w:val="0"/>
                    <w:snapToGrid w:val="0"/>
                    <w:spacing w:line="360" w:lineRule="exact"/>
                    <w:jc w:val="center"/>
                    <w:rPr>
                      <w:color w:val="000000"/>
                      <w:szCs w:val="21"/>
                    </w:rPr>
                  </w:pPr>
                  <w:r>
                    <w:rPr>
                      <w:color w:val="000000"/>
                      <w:szCs w:val="21"/>
                    </w:rPr>
                    <w:t>55</w:t>
                  </w:r>
                </w:p>
              </w:tc>
              <w:tc>
                <w:tcPr>
                  <w:tcW w:w="1405" w:type="pct"/>
                  <w:tcBorders>
                    <w:top w:val="single" w:color="auto" w:sz="4" w:space="0"/>
                    <w:left w:val="single" w:color="auto" w:sz="4" w:space="0"/>
                    <w:bottom w:val="single" w:color="auto" w:sz="4" w:space="0"/>
                    <w:right w:val="nil"/>
                  </w:tcBorders>
                  <w:vAlign w:val="center"/>
                </w:tcPr>
                <w:p w14:paraId="6E08B123">
                  <w:pPr>
                    <w:adjustRightInd w:val="0"/>
                    <w:snapToGrid w:val="0"/>
                    <w:spacing w:line="360" w:lineRule="exact"/>
                    <w:jc w:val="center"/>
                    <w:rPr>
                      <w:color w:val="000000"/>
                      <w:szCs w:val="21"/>
                    </w:rPr>
                  </w:pPr>
                  <w:r>
                    <w:rPr>
                      <w:rFonts w:hint="eastAsia"/>
                      <w:color w:val="000000"/>
                      <w:szCs w:val="21"/>
                    </w:rPr>
                    <w:t>东、西、北厂界</w:t>
                  </w:r>
                </w:p>
              </w:tc>
            </w:tr>
            <w:tr w14:paraId="75401D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126" w:type="pct"/>
                  <w:vMerge w:val="continue"/>
                  <w:tcBorders>
                    <w:top w:val="single" w:color="auto" w:sz="4" w:space="0"/>
                    <w:left w:val="nil"/>
                    <w:bottom w:val="single" w:color="auto" w:sz="12" w:space="0"/>
                    <w:right w:val="single" w:color="auto" w:sz="4" w:space="0"/>
                  </w:tcBorders>
                  <w:vAlign w:val="center"/>
                </w:tcPr>
                <w:p w14:paraId="3B4C018C">
                  <w:pPr>
                    <w:widowControl/>
                    <w:jc w:val="left"/>
                    <w:rPr>
                      <w:color w:val="000000"/>
                      <w:szCs w:val="21"/>
                    </w:rPr>
                  </w:pPr>
                </w:p>
              </w:tc>
              <w:tc>
                <w:tcPr>
                  <w:tcW w:w="777" w:type="pct"/>
                  <w:tcBorders>
                    <w:top w:val="single" w:color="auto" w:sz="4" w:space="0"/>
                    <w:left w:val="single" w:color="auto" w:sz="4" w:space="0"/>
                    <w:bottom w:val="single" w:color="auto" w:sz="12" w:space="0"/>
                    <w:right w:val="single" w:color="auto" w:sz="4" w:space="0"/>
                  </w:tcBorders>
                  <w:vAlign w:val="center"/>
                </w:tcPr>
                <w:p w14:paraId="01A24010">
                  <w:pPr>
                    <w:adjustRightInd w:val="0"/>
                    <w:snapToGrid w:val="0"/>
                    <w:spacing w:line="360" w:lineRule="exact"/>
                    <w:jc w:val="center"/>
                    <w:rPr>
                      <w:color w:val="000000"/>
                      <w:szCs w:val="21"/>
                    </w:rPr>
                  </w:pPr>
                  <w:r>
                    <w:rPr>
                      <w:color w:val="000000"/>
                      <w:szCs w:val="21"/>
                    </w:rPr>
                    <w:t>4</w:t>
                  </w:r>
                  <w:r>
                    <w:rPr>
                      <w:rFonts w:hint="eastAsia"/>
                      <w:color w:val="000000"/>
                      <w:szCs w:val="21"/>
                    </w:rPr>
                    <w:t>类</w:t>
                  </w:r>
                </w:p>
              </w:tc>
              <w:tc>
                <w:tcPr>
                  <w:tcW w:w="846" w:type="pct"/>
                  <w:tcBorders>
                    <w:top w:val="single" w:color="auto" w:sz="4" w:space="0"/>
                    <w:left w:val="single" w:color="auto" w:sz="4" w:space="0"/>
                    <w:bottom w:val="single" w:color="auto" w:sz="12" w:space="0"/>
                    <w:right w:val="single" w:color="auto" w:sz="4" w:space="0"/>
                  </w:tcBorders>
                  <w:vAlign w:val="center"/>
                </w:tcPr>
                <w:p w14:paraId="06594897">
                  <w:pPr>
                    <w:adjustRightInd w:val="0"/>
                    <w:snapToGrid w:val="0"/>
                    <w:spacing w:line="360" w:lineRule="exact"/>
                    <w:jc w:val="center"/>
                    <w:rPr>
                      <w:color w:val="000000"/>
                      <w:szCs w:val="21"/>
                    </w:rPr>
                  </w:pPr>
                  <w:r>
                    <w:rPr>
                      <w:color w:val="000000"/>
                      <w:szCs w:val="21"/>
                    </w:rPr>
                    <w:t>70</w:t>
                  </w:r>
                </w:p>
              </w:tc>
              <w:tc>
                <w:tcPr>
                  <w:tcW w:w="846" w:type="pct"/>
                  <w:tcBorders>
                    <w:top w:val="single" w:color="auto" w:sz="4" w:space="0"/>
                    <w:left w:val="single" w:color="auto" w:sz="4" w:space="0"/>
                    <w:bottom w:val="single" w:color="auto" w:sz="12" w:space="0"/>
                    <w:right w:val="nil"/>
                  </w:tcBorders>
                  <w:vAlign w:val="center"/>
                </w:tcPr>
                <w:p w14:paraId="4CD3BC88">
                  <w:pPr>
                    <w:adjustRightInd w:val="0"/>
                    <w:snapToGrid w:val="0"/>
                    <w:spacing w:line="360" w:lineRule="exact"/>
                    <w:jc w:val="center"/>
                    <w:rPr>
                      <w:color w:val="000000"/>
                      <w:szCs w:val="21"/>
                    </w:rPr>
                  </w:pPr>
                  <w:r>
                    <w:rPr>
                      <w:color w:val="000000"/>
                      <w:szCs w:val="21"/>
                    </w:rPr>
                    <w:t>55</w:t>
                  </w:r>
                </w:p>
              </w:tc>
              <w:tc>
                <w:tcPr>
                  <w:tcW w:w="1405" w:type="pct"/>
                  <w:tcBorders>
                    <w:top w:val="single" w:color="auto" w:sz="4" w:space="0"/>
                    <w:left w:val="single" w:color="auto" w:sz="4" w:space="0"/>
                    <w:bottom w:val="single" w:color="auto" w:sz="12" w:space="0"/>
                    <w:right w:val="nil"/>
                  </w:tcBorders>
                  <w:vAlign w:val="center"/>
                </w:tcPr>
                <w:p w14:paraId="65076E96">
                  <w:pPr>
                    <w:adjustRightInd w:val="0"/>
                    <w:snapToGrid w:val="0"/>
                    <w:spacing w:line="360" w:lineRule="exact"/>
                    <w:jc w:val="center"/>
                    <w:rPr>
                      <w:color w:val="000000"/>
                      <w:szCs w:val="21"/>
                    </w:rPr>
                  </w:pPr>
                  <w:r>
                    <w:rPr>
                      <w:rFonts w:hint="eastAsia"/>
                      <w:color w:val="000000"/>
                      <w:szCs w:val="21"/>
                    </w:rPr>
                    <w:t>南厂界</w:t>
                  </w:r>
                </w:p>
              </w:tc>
            </w:tr>
          </w:tbl>
          <w:p w14:paraId="69D49739">
            <w:pPr>
              <w:adjustRightInd w:val="0"/>
              <w:snapToGrid w:val="0"/>
              <w:spacing w:line="360" w:lineRule="auto"/>
              <w:jc w:val="left"/>
              <w:rPr>
                <w:rFonts w:hint="eastAsia"/>
                <w:b/>
                <w:bCs/>
                <w:sz w:val="24"/>
              </w:rPr>
            </w:pPr>
            <w:r>
              <w:rPr>
                <w:rFonts w:hint="eastAsia"/>
                <w:b/>
                <w:bCs/>
                <w:sz w:val="24"/>
              </w:rPr>
              <w:t>3.11固废排放标准</w:t>
            </w:r>
          </w:p>
          <w:p w14:paraId="700975A1">
            <w:pPr>
              <w:wordWrap w:val="0"/>
              <w:adjustRightInd w:val="0"/>
              <w:snapToGrid w:val="0"/>
              <w:spacing w:line="360" w:lineRule="auto"/>
              <w:ind w:firstLine="480" w:firstLineChars="200"/>
              <w:rPr>
                <w:kern w:val="0"/>
                <w:sz w:val="24"/>
              </w:rPr>
            </w:pPr>
            <w:r>
              <w:rPr>
                <w:kern w:val="0"/>
                <w:sz w:val="24"/>
              </w:rPr>
              <w:t>一般工业</w:t>
            </w:r>
            <w:r>
              <w:rPr>
                <w:rFonts w:hint="eastAsia"/>
                <w:kern w:val="0"/>
                <w:sz w:val="24"/>
              </w:rPr>
              <w:t>固体废物：根据</w:t>
            </w:r>
            <w:r>
              <w:rPr>
                <w:kern w:val="0"/>
                <w:sz w:val="24"/>
              </w:rPr>
              <w:t>《一般工业固体废物贮存</w:t>
            </w:r>
            <w:r>
              <w:rPr>
                <w:rFonts w:hint="eastAsia"/>
                <w:kern w:val="0"/>
                <w:sz w:val="24"/>
              </w:rPr>
              <w:t>和填埋</w:t>
            </w:r>
            <w:r>
              <w:rPr>
                <w:kern w:val="0"/>
                <w:sz w:val="24"/>
              </w:rPr>
              <w:t>污染控制标准》（GB18599-20</w:t>
            </w:r>
            <w:r>
              <w:rPr>
                <w:rFonts w:hint="eastAsia"/>
                <w:kern w:val="0"/>
                <w:sz w:val="24"/>
              </w:rPr>
              <w:t>20</w:t>
            </w:r>
            <w:r>
              <w:rPr>
                <w:kern w:val="0"/>
                <w:sz w:val="24"/>
              </w:rPr>
              <w:t>）</w:t>
            </w:r>
            <w:r>
              <w:rPr>
                <w:rFonts w:hint="eastAsia"/>
                <w:kern w:val="0"/>
                <w:sz w:val="24"/>
              </w:rPr>
              <w:t>，</w:t>
            </w:r>
            <w:r>
              <w:rPr>
                <w:kern w:val="0"/>
                <w:sz w:val="24"/>
              </w:rPr>
              <w:t>采用库房、包装工具贮存一般工业固体废物，贮存过程应满足相应防渗漏、防雨淋、防扬尘等环境保护要求</w:t>
            </w:r>
            <w:r>
              <w:rPr>
                <w:rFonts w:hint="eastAsia"/>
                <w:kern w:val="0"/>
                <w:sz w:val="24"/>
              </w:rPr>
              <w:t>。</w:t>
            </w:r>
          </w:p>
          <w:p w14:paraId="204E6295">
            <w:pPr>
              <w:wordWrap w:val="0"/>
              <w:adjustRightInd w:val="0"/>
              <w:snapToGrid w:val="0"/>
              <w:spacing w:line="360" w:lineRule="auto"/>
              <w:ind w:firstLine="480" w:firstLineChars="200"/>
              <w:rPr>
                <w:rFonts w:hint="eastAsia"/>
                <w:sz w:val="24"/>
              </w:rPr>
            </w:pPr>
            <w:r>
              <w:rPr>
                <w:rFonts w:hint="eastAsia"/>
                <w:kern w:val="0"/>
                <w:sz w:val="24"/>
              </w:rPr>
              <w:t>危险废物：按</w:t>
            </w:r>
            <w:r>
              <w:rPr>
                <w:kern w:val="0"/>
                <w:sz w:val="24"/>
              </w:rPr>
              <w:t>《国家危险废物名录》（</w:t>
            </w:r>
            <w:r>
              <w:rPr>
                <w:rFonts w:hint="eastAsia"/>
                <w:kern w:val="0"/>
                <w:sz w:val="24"/>
              </w:rPr>
              <w:t>2021年版</w:t>
            </w:r>
            <w:r>
              <w:rPr>
                <w:kern w:val="0"/>
                <w:sz w:val="24"/>
              </w:rPr>
              <w:t>）</w:t>
            </w:r>
            <w:r>
              <w:rPr>
                <w:rFonts w:hint="eastAsia"/>
                <w:kern w:val="0"/>
                <w:sz w:val="24"/>
              </w:rPr>
              <w:t>、</w:t>
            </w:r>
            <w:r>
              <w:rPr>
                <w:kern w:val="0"/>
                <w:sz w:val="24"/>
              </w:rPr>
              <w:t>《危险废物贮存污染控制标准》（GB18597-2001）</w:t>
            </w:r>
            <w:r>
              <w:rPr>
                <w:rFonts w:hint="eastAsia"/>
                <w:kern w:val="0"/>
                <w:sz w:val="24"/>
              </w:rPr>
              <w:t>及2013年修改单（公告2013年第36号）进行识别、贮存和管理。</w:t>
            </w:r>
          </w:p>
        </w:tc>
      </w:tr>
      <w:tr w14:paraId="50F62C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5" w:type="dxa"/>
            <w:vAlign w:val="center"/>
          </w:tcPr>
          <w:p w14:paraId="04739D0F">
            <w:pPr>
              <w:pStyle w:val="21"/>
              <w:adjustRightInd w:val="0"/>
              <w:snapToGrid w:val="0"/>
              <w:spacing w:before="0" w:beforeAutospacing="0" w:after="0" w:afterAutospacing="0" w:line="360" w:lineRule="auto"/>
              <w:jc w:val="center"/>
              <w:rPr>
                <w:rFonts w:hint="eastAsia" w:cs="宋体"/>
                <w:color w:val="000000"/>
                <w:kern w:val="2"/>
                <w:szCs w:val="24"/>
              </w:rPr>
            </w:pPr>
            <w:r>
              <w:rPr>
                <w:rFonts w:hint="eastAsia" w:cs="宋体"/>
                <w:color w:val="000000"/>
                <w:kern w:val="2"/>
                <w:szCs w:val="24"/>
              </w:rPr>
              <w:t>总量</w:t>
            </w:r>
          </w:p>
          <w:p w14:paraId="07C7BD05">
            <w:pPr>
              <w:pStyle w:val="21"/>
              <w:adjustRightInd w:val="0"/>
              <w:snapToGrid w:val="0"/>
              <w:spacing w:before="0" w:beforeAutospacing="0" w:after="0" w:afterAutospacing="0" w:line="360" w:lineRule="auto"/>
              <w:jc w:val="center"/>
              <w:rPr>
                <w:rFonts w:hint="eastAsia" w:cs="宋体"/>
                <w:color w:val="000000"/>
                <w:kern w:val="2"/>
                <w:szCs w:val="24"/>
              </w:rPr>
            </w:pPr>
            <w:r>
              <w:rPr>
                <w:rFonts w:hint="eastAsia" w:cs="宋体"/>
                <w:color w:val="000000"/>
                <w:kern w:val="2"/>
                <w:szCs w:val="24"/>
              </w:rPr>
              <w:t>控制</w:t>
            </w:r>
          </w:p>
          <w:p w14:paraId="651C230B">
            <w:pPr>
              <w:pStyle w:val="21"/>
              <w:adjustRightInd w:val="0"/>
              <w:snapToGrid w:val="0"/>
              <w:spacing w:before="0" w:beforeAutospacing="0" w:after="0" w:afterAutospacing="0" w:line="360" w:lineRule="auto"/>
              <w:jc w:val="center"/>
              <w:rPr>
                <w:rFonts w:cs="宋体"/>
                <w:color w:val="000000"/>
                <w:szCs w:val="21"/>
              </w:rPr>
            </w:pPr>
            <w:r>
              <w:rPr>
                <w:rFonts w:hint="eastAsia" w:cs="宋体"/>
                <w:color w:val="000000"/>
                <w:kern w:val="2"/>
                <w:szCs w:val="24"/>
              </w:rPr>
              <w:t>指标</w:t>
            </w:r>
          </w:p>
        </w:tc>
        <w:tc>
          <w:tcPr>
            <w:tcW w:w="8356" w:type="dxa"/>
            <w:vAlign w:val="center"/>
          </w:tcPr>
          <w:p w14:paraId="6C27AAB2">
            <w:pPr>
              <w:adjustRightInd w:val="0"/>
              <w:snapToGrid w:val="0"/>
              <w:jc w:val="center"/>
              <w:rPr>
                <w:rFonts w:hint="eastAsia" w:ascii="宋体" w:hAnsi="宋体" w:cs="宋体"/>
                <w:color w:val="000000"/>
                <w:kern w:val="0"/>
                <w:sz w:val="24"/>
              </w:rPr>
            </w:pPr>
            <w:r>
              <w:rPr>
                <w:rFonts w:hint="eastAsia" w:ascii="宋体" w:hAnsi="宋体" w:cs="宋体"/>
                <w:color w:val="000000"/>
                <w:kern w:val="0"/>
                <w:sz w:val="24"/>
              </w:rPr>
              <w:t>本项目废水进入园区污水管网，再经集中污水处理厂处理达标后排放，为间接排放，不设污染物总量控制指标</w:t>
            </w:r>
          </w:p>
        </w:tc>
      </w:tr>
    </w:tbl>
    <w:p w14:paraId="57631280">
      <w:pPr>
        <w:pStyle w:val="21"/>
        <w:jc w:val="center"/>
        <w:outlineLvl w:val="0"/>
        <w:rPr>
          <w:rFonts w:ascii="黑体" w:hAnsi="黑体" w:eastAsia="黑体"/>
          <w:snapToGrid w:val="0"/>
          <w:sz w:val="30"/>
          <w:szCs w:val="30"/>
        </w:rPr>
      </w:pPr>
      <w:r>
        <w:rPr>
          <w:rFonts w:ascii="黑体" w:hAnsi="黑体" w:eastAsia="黑体"/>
          <w:snapToGrid w:val="0"/>
          <w:sz w:val="36"/>
          <w:szCs w:val="36"/>
        </w:rPr>
        <w:br w:type="page"/>
      </w:r>
      <w:r>
        <w:rPr>
          <w:rFonts w:hint="eastAsia" w:ascii="黑体" w:hAnsi="黑体" w:eastAsia="黑体"/>
          <w:snapToGrid w:val="0"/>
          <w:sz w:val="30"/>
          <w:szCs w:val="30"/>
        </w:rPr>
        <w:t>四、主要环境影响和保护措施</w:t>
      </w:r>
    </w:p>
    <w:tbl>
      <w:tblPr>
        <w:tblStyle w:val="23"/>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29"/>
        <w:gridCol w:w="8279"/>
      </w:tblGrid>
      <w:tr w14:paraId="377B21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9" w:type="dxa"/>
            <w:tcMar>
              <w:left w:w="28" w:type="dxa"/>
              <w:right w:w="28" w:type="dxa"/>
            </w:tcMar>
            <w:vAlign w:val="center"/>
          </w:tcPr>
          <w:p w14:paraId="496DB736">
            <w:pPr>
              <w:pStyle w:val="21"/>
              <w:adjustRightInd w:val="0"/>
              <w:snapToGrid w:val="0"/>
              <w:spacing w:before="0" w:beforeAutospacing="0" w:after="0" w:afterAutospacing="0" w:line="360" w:lineRule="auto"/>
              <w:jc w:val="center"/>
              <w:rPr>
                <w:rFonts w:hint="eastAsia" w:cs="宋体"/>
                <w:kern w:val="2"/>
                <w:szCs w:val="24"/>
              </w:rPr>
            </w:pPr>
            <w:r>
              <w:rPr>
                <w:rFonts w:hint="eastAsia" w:cs="宋体"/>
                <w:kern w:val="2"/>
                <w:szCs w:val="24"/>
              </w:rPr>
              <w:t>施工</w:t>
            </w:r>
          </w:p>
          <w:p w14:paraId="4FD76EF4">
            <w:pPr>
              <w:pStyle w:val="21"/>
              <w:adjustRightInd w:val="0"/>
              <w:snapToGrid w:val="0"/>
              <w:spacing w:before="0" w:beforeAutospacing="0" w:after="0" w:afterAutospacing="0" w:line="360" w:lineRule="auto"/>
              <w:jc w:val="center"/>
              <w:rPr>
                <w:rFonts w:hint="eastAsia" w:cs="宋体"/>
                <w:kern w:val="2"/>
                <w:szCs w:val="24"/>
              </w:rPr>
            </w:pPr>
            <w:r>
              <w:rPr>
                <w:rFonts w:hint="eastAsia" w:cs="宋体"/>
                <w:kern w:val="2"/>
                <w:szCs w:val="24"/>
              </w:rPr>
              <w:t>期环</w:t>
            </w:r>
          </w:p>
          <w:p w14:paraId="7DC76590">
            <w:pPr>
              <w:pStyle w:val="21"/>
              <w:adjustRightInd w:val="0"/>
              <w:snapToGrid w:val="0"/>
              <w:spacing w:before="0" w:beforeAutospacing="0" w:after="0" w:afterAutospacing="0" w:line="360" w:lineRule="auto"/>
              <w:jc w:val="center"/>
              <w:rPr>
                <w:rFonts w:hint="eastAsia" w:cs="宋体"/>
                <w:kern w:val="2"/>
                <w:szCs w:val="24"/>
              </w:rPr>
            </w:pPr>
            <w:r>
              <w:rPr>
                <w:rFonts w:hint="eastAsia" w:cs="宋体"/>
                <w:kern w:val="2"/>
                <w:szCs w:val="24"/>
              </w:rPr>
              <w:t>境保</w:t>
            </w:r>
          </w:p>
          <w:p w14:paraId="3EAFF82B">
            <w:pPr>
              <w:pStyle w:val="21"/>
              <w:adjustRightInd w:val="0"/>
              <w:snapToGrid w:val="0"/>
              <w:spacing w:before="0" w:beforeAutospacing="0" w:after="0" w:afterAutospacing="0" w:line="360" w:lineRule="auto"/>
              <w:jc w:val="center"/>
              <w:rPr>
                <w:rFonts w:hint="eastAsia" w:cs="宋体"/>
                <w:kern w:val="2"/>
                <w:szCs w:val="24"/>
              </w:rPr>
            </w:pPr>
            <w:r>
              <w:rPr>
                <w:rFonts w:hint="eastAsia" w:cs="宋体"/>
                <w:kern w:val="2"/>
                <w:szCs w:val="24"/>
              </w:rPr>
              <w:t>护措</w:t>
            </w:r>
          </w:p>
          <w:p w14:paraId="7051E092">
            <w:pPr>
              <w:pStyle w:val="21"/>
              <w:adjustRightInd w:val="0"/>
              <w:snapToGrid w:val="0"/>
              <w:spacing w:before="0" w:beforeAutospacing="0" w:after="0" w:afterAutospacing="0" w:line="360" w:lineRule="auto"/>
              <w:jc w:val="center"/>
              <w:rPr>
                <w:rFonts w:hint="eastAsia" w:cs="宋体"/>
                <w:bCs/>
                <w:kern w:val="2"/>
                <w:sz w:val="21"/>
                <w:szCs w:val="21"/>
              </w:rPr>
            </w:pPr>
            <w:r>
              <w:rPr>
                <w:rFonts w:hint="eastAsia" w:cs="宋体"/>
                <w:kern w:val="2"/>
                <w:szCs w:val="24"/>
              </w:rPr>
              <w:t>施</w:t>
            </w:r>
          </w:p>
        </w:tc>
        <w:tc>
          <w:tcPr>
            <w:tcW w:w="8279" w:type="dxa"/>
            <w:vAlign w:val="center"/>
          </w:tcPr>
          <w:p w14:paraId="7EE07541">
            <w:pPr>
              <w:adjustRightInd w:val="0"/>
              <w:snapToGrid w:val="0"/>
              <w:spacing w:line="360" w:lineRule="auto"/>
              <w:rPr>
                <w:rFonts w:hint="eastAsia" w:ascii="宋体" w:hAnsi="宋体" w:cs="宋体"/>
                <w:b/>
                <w:bCs/>
                <w:sz w:val="24"/>
              </w:rPr>
            </w:pPr>
            <w:r>
              <w:rPr>
                <w:rFonts w:hint="eastAsia" w:ascii="宋体" w:hAnsi="宋体" w:cs="宋体"/>
                <w:b/>
                <w:bCs/>
                <w:sz w:val="24"/>
              </w:rPr>
              <w:t>4.1施工期防治措施</w:t>
            </w:r>
          </w:p>
          <w:p w14:paraId="4930A864">
            <w:pPr>
              <w:pStyle w:val="50"/>
              <w:spacing w:line="360" w:lineRule="auto"/>
              <w:ind w:firstLine="480"/>
              <w:rPr>
                <w:rFonts w:hint="eastAsia"/>
                <w:color w:val="000000"/>
                <w:sz w:val="24"/>
              </w:rPr>
            </w:pPr>
            <w:r>
              <w:rPr>
                <w:color w:val="000000"/>
                <w:sz w:val="24"/>
              </w:rPr>
              <w:t>施工期主要污染物为燃油动力机械的燃油废气、施工粉尘、施工生产废水、噪声、土石方和建筑垃圾，以及施工人员生活污水和生活垃圾等。</w:t>
            </w:r>
          </w:p>
          <w:p w14:paraId="56E17F7B">
            <w:pPr>
              <w:pStyle w:val="50"/>
              <w:spacing w:line="360" w:lineRule="auto"/>
              <w:ind w:firstLine="482"/>
              <w:rPr>
                <w:rFonts w:hint="eastAsia"/>
                <w:b/>
                <w:sz w:val="24"/>
                <w:szCs w:val="24"/>
              </w:rPr>
            </w:pPr>
            <w:r>
              <w:rPr>
                <w:rFonts w:hint="eastAsia"/>
                <w:b/>
                <w:color w:val="000000"/>
                <w:sz w:val="24"/>
              </w:rPr>
              <w:t xml:space="preserve">（1）废气 </w:t>
            </w:r>
          </w:p>
          <w:p w14:paraId="09644453">
            <w:pPr>
              <w:pStyle w:val="50"/>
              <w:spacing w:line="360" w:lineRule="auto"/>
              <w:ind w:firstLine="482"/>
              <w:rPr>
                <w:sz w:val="24"/>
                <w:szCs w:val="24"/>
              </w:rPr>
            </w:pPr>
            <w:r>
              <w:rPr>
                <w:rFonts w:hint="eastAsia"/>
                <w:b/>
                <w:sz w:val="24"/>
                <w:szCs w:val="24"/>
              </w:rPr>
              <w:t>防治措施：</w:t>
            </w:r>
            <w:r>
              <w:rPr>
                <w:color w:val="000000"/>
                <w:sz w:val="24"/>
              </w:rPr>
              <w:t>通过加强对设备的维护保养</w:t>
            </w:r>
            <w:r>
              <w:rPr>
                <w:rFonts w:hint="eastAsia"/>
                <w:color w:val="000000"/>
                <w:sz w:val="24"/>
              </w:rPr>
              <w:t>，</w:t>
            </w:r>
            <w:r>
              <w:rPr>
                <w:color w:val="000000"/>
                <w:sz w:val="24"/>
              </w:rPr>
              <w:t>为减轻施工扬尘对其影响，建设方应根据《重庆市大气污染防治条例》（2018年7月26日修订），并参照执行《重庆市主城区尘污染防治办法》（市政府令第272号）等要求，采取确实有效扬尘控制措施</w:t>
            </w:r>
            <w:r>
              <w:rPr>
                <w:rFonts w:hint="eastAsia"/>
                <w:color w:val="000000"/>
                <w:sz w:val="24"/>
              </w:rPr>
              <w:t>。如下：</w:t>
            </w:r>
          </w:p>
          <w:p w14:paraId="015B9A51">
            <w:pPr>
              <w:pStyle w:val="50"/>
              <w:spacing w:line="360" w:lineRule="auto"/>
              <w:ind w:firstLine="480"/>
              <w:rPr>
                <w:rFonts w:hint="eastAsia"/>
                <w:sz w:val="24"/>
                <w:szCs w:val="24"/>
              </w:rPr>
            </w:pPr>
            <w:r>
              <w:rPr>
                <w:rFonts w:hint="eastAsia"/>
                <w:sz w:val="24"/>
                <w:szCs w:val="24"/>
              </w:rPr>
              <w:t>（1）对砂石、水泥等易撒漏物质密闭运输，防止撒漏。</w:t>
            </w:r>
          </w:p>
          <w:p w14:paraId="0B4E58BC">
            <w:pPr>
              <w:pStyle w:val="50"/>
              <w:spacing w:line="360" w:lineRule="auto"/>
              <w:ind w:firstLine="480"/>
              <w:rPr>
                <w:rFonts w:hint="eastAsia"/>
                <w:sz w:val="24"/>
                <w:szCs w:val="24"/>
              </w:rPr>
            </w:pPr>
            <w:r>
              <w:rPr>
                <w:rFonts w:hint="eastAsia"/>
                <w:sz w:val="24"/>
                <w:szCs w:val="24"/>
              </w:rPr>
              <w:t>（2）施工车辆出入口路面实行硬地坪，</w:t>
            </w:r>
            <w:r>
              <w:rPr>
                <w:sz w:val="24"/>
                <w:szCs w:val="24"/>
              </w:rPr>
              <w:t>建筑材料</w:t>
            </w:r>
            <w:r>
              <w:rPr>
                <w:rFonts w:hint="eastAsia"/>
                <w:sz w:val="24"/>
                <w:szCs w:val="24"/>
              </w:rPr>
              <w:t>及土石方的临时</w:t>
            </w:r>
            <w:r>
              <w:rPr>
                <w:sz w:val="24"/>
                <w:szCs w:val="24"/>
              </w:rPr>
              <w:t>堆放地必须硬化。</w:t>
            </w:r>
            <w:r>
              <w:rPr>
                <w:rFonts w:hint="eastAsia"/>
                <w:sz w:val="24"/>
                <w:szCs w:val="24"/>
              </w:rPr>
              <w:t>土石方临时堆场必须严格执行水保措施，防止扬尘及水土流失。施工时应增加洒水降尘频次，尤其是大风天气和易产生扬尘的施工阶段。</w:t>
            </w:r>
          </w:p>
          <w:p w14:paraId="0C9B8F3B">
            <w:pPr>
              <w:pStyle w:val="50"/>
              <w:spacing w:line="360" w:lineRule="auto"/>
              <w:ind w:firstLine="480"/>
              <w:rPr>
                <w:rFonts w:hint="eastAsia"/>
                <w:sz w:val="24"/>
                <w:szCs w:val="24"/>
              </w:rPr>
            </w:pPr>
            <w:r>
              <w:rPr>
                <w:rFonts w:hint="eastAsia"/>
                <w:sz w:val="24"/>
                <w:szCs w:val="24"/>
              </w:rPr>
              <w:t>（3）工地四周围挡封闭施工，围挡不低于1.8m，围挡要坚固、规范、美观</w:t>
            </w:r>
            <w:r>
              <w:rPr>
                <w:sz w:val="24"/>
                <w:szCs w:val="24"/>
              </w:rPr>
              <w:t>。</w:t>
            </w:r>
          </w:p>
          <w:p w14:paraId="19EBB406">
            <w:pPr>
              <w:pStyle w:val="50"/>
              <w:spacing w:line="360" w:lineRule="auto"/>
              <w:ind w:firstLine="480"/>
              <w:rPr>
                <w:rFonts w:hint="eastAsia"/>
                <w:sz w:val="24"/>
                <w:szCs w:val="24"/>
              </w:rPr>
            </w:pPr>
            <w:r>
              <w:rPr>
                <w:rFonts w:hint="eastAsia"/>
                <w:sz w:val="24"/>
                <w:szCs w:val="24"/>
              </w:rPr>
              <w:t>（4）</w:t>
            </w:r>
            <w:r>
              <w:rPr>
                <w:sz w:val="24"/>
                <w:szCs w:val="24"/>
              </w:rPr>
              <w:t>使用预拌混凝土</w:t>
            </w:r>
            <w:r>
              <w:rPr>
                <w:rFonts w:hint="eastAsia"/>
                <w:sz w:val="24"/>
                <w:szCs w:val="24"/>
              </w:rPr>
              <w:t>，</w:t>
            </w:r>
            <w:r>
              <w:rPr>
                <w:sz w:val="24"/>
                <w:szCs w:val="24"/>
              </w:rPr>
              <w:t>禁止施工现场搅拌混凝土。</w:t>
            </w:r>
          </w:p>
          <w:p w14:paraId="15358BF1">
            <w:pPr>
              <w:pStyle w:val="50"/>
              <w:spacing w:line="360" w:lineRule="auto"/>
              <w:ind w:firstLine="480"/>
              <w:rPr>
                <w:rFonts w:hint="eastAsia"/>
                <w:sz w:val="24"/>
                <w:szCs w:val="24"/>
              </w:rPr>
            </w:pPr>
            <w:r>
              <w:rPr>
                <w:rFonts w:hint="eastAsia"/>
                <w:sz w:val="24"/>
                <w:szCs w:val="24"/>
              </w:rPr>
              <w:t>（5）加强施工现场运输车辆管理，注重车辆的维护保养，严禁使用冒黑烟车辆，采取设置车辆清洗设施及配套的污水、泥浆沉淀池（废水循环使用，不外排），运输车辆在冲洗干净后方可驶出，严禁车辆带泥上路，限制车速，严禁超高、超载运输；保证所运物品无撒漏、扬散，防止建筑材料、垃圾和尘土飞扬、洒落和流溢，有效抑制粉尘和二次扬尘污染；驶出工地的车辆必须车身整洁，装载车厢完好，装载货物堆码整齐，不得污染道路</w:t>
            </w:r>
            <w:r>
              <w:rPr>
                <w:sz w:val="24"/>
                <w:szCs w:val="24"/>
              </w:rPr>
              <w:t>。</w:t>
            </w:r>
          </w:p>
          <w:p w14:paraId="437576AB">
            <w:pPr>
              <w:pStyle w:val="50"/>
              <w:spacing w:line="360" w:lineRule="auto"/>
              <w:ind w:firstLine="480"/>
              <w:rPr>
                <w:rFonts w:hint="eastAsia"/>
                <w:sz w:val="24"/>
                <w:szCs w:val="24"/>
              </w:rPr>
            </w:pPr>
            <w:r>
              <w:rPr>
                <w:rFonts w:hint="eastAsia"/>
                <w:sz w:val="24"/>
                <w:szCs w:val="24"/>
              </w:rPr>
              <w:t>（6）将施工养护使用的水泥集中堆放在库房或临时工棚内，对破包和撒落于地面的水泥及时清扫。</w:t>
            </w:r>
          </w:p>
          <w:p w14:paraId="7E800D1C">
            <w:pPr>
              <w:pStyle w:val="50"/>
              <w:spacing w:line="360" w:lineRule="auto"/>
              <w:ind w:firstLine="480"/>
              <w:rPr>
                <w:rFonts w:hint="eastAsia"/>
                <w:sz w:val="24"/>
                <w:szCs w:val="24"/>
              </w:rPr>
            </w:pPr>
            <w:r>
              <w:rPr>
                <w:rFonts w:hint="eastAsia"/>
                <w:sz w:val="24"/>
                <w:szCs w:val="24"/>
              </w:rPr>
              <w:t xml:space="preserve">（7）施工场区不使用油耗高、效率低、废气排放严重的施工机械，对燃油设备合理配置，加强管理，工程运输车辆尾气达标。 </w:t>
            </w:r>
          </w:p>
          <w:p w14:paraId="64DD2A97">
            <w:pPr>
              <w:pStyle w:val="50"/>
              <w:wordWrap w:val="0"/>
              <w:adjustRightInd w:val="0"/>
              <w:snapToGrid w:val="0"/>
              <w:spacing w:line="360" w:lineRule="auto"/>
              <w:ind w:firstLine="480"/>
              <w:rPr>
                <w:rFonts w:hint="eastAsia"/>
                <w:sz w:val="24"/>
                <w:szCs w:val="24"/>
              </w:rPr>
            </w:pPr>
            <w:r>
              <w:rPr>
                <w:rFonts w:hint="eastAsia"/>
                <w:sz w:val="24"/>
                <w:szCs w:val="24"/>
              </w:rPr>
              <w:t>（8）</w:t>
            </w:r>
            <w:r>
              <w:rPr>
                <w:sz w:val="24"/>
                <w:szCs w:val="24"/>
              </w:rPr>
              <w:t>控制</w:t>
            </w:r>
            <w:r>
              <w:rPr>
                <w:rFonts w:hint="eastAsia"/>
                <w:sz w:val="24"/>
                <w:szCs w:val="24"/>
              </w:rPr>
              <w:t>绿化过程中</w:t>
            </w:r>
            <w:r>
              <w:rPr>
                <w:sz w:val="24"/>
                <w:szCs w:val="24"/>
              </w:rPr>
              <w:t>植物栽种</w:t>
            </w:r>
            <w:r>
              <w:rPr>
                <w:rFonts w:hint="eastAsia"/>
                <w:sz w:val="24"/>
                <w:szCs w:val="24"/>
              </w:rPr>
              <w:t>产生的粉尘</w:t>
            </w:r>
            <w:r>
              <w:rPr>
                <w:sz w:val="24"/>
                <w:szCs w:val="24"/>
              </w:rPr>
              <w:t>，行道树树池</w:t>
            </w:r>
            <w:r>
              <w:rPr>
                <w:rFonts w:hint="eastAsia"/>
                <w:sz w:val="24"/>
                <w:szCs w:val="24"/>
              </w:rPr>
              <w:t>需</w:t>
            </w:r>
            <w:r>
              <w:rPr>
                <w:sz w:val="24"/>
                <w:szCs w:val="24"/>
              </w:rPr>
              <w:t>绿化、硬化</w:t>
            </w:r>
            <w:r>
              <w:rPr>
                <w:rFonts w:hint="eastAsia"/>
                <w:sz w:val="24"/>
                <w:szCs w:val="24"/>
              </w:rPr>
              <w:t>、</w:t>
            </w:r>
            <w:r>
              <w:rPr>
                <w:sz w:val="24"/>
                <w:szCs w:val="24"/>
              </w:rPr>
              <w:t>防尘覆盖</w:t>
            </w:r>
            <w:r>
              <w:rPr>
                <w:rFonts w:hint="eastAsia"/>
                <w:sz w:val="24"/>
                <w:szCs w:val="24"/>
              </w:rPr>
              <w:t>，</w:t>
            </w:r>
            <w:r>
              <w:rPr>
                <w:sz w:val="24"/>
                <w:szCs w:val="24"/>
              </w:rPr>
              <w:t>花台内泥土不能高于花台边沿</w:t>
            </w:r>
            <w:r>
              <w:rPr>
                <w:rFonts w:hint="eastAsia"/>
                <w:sz w:val="24"/>
                <w:szCs w:val="24"/>
              </w:rPr>
              <w:t>，</w:t>
            </w:r>
            <w:r>
              <w:rPr>
                <w:sz w:val="24"/>
                <w:szCs w:val="24"/>
              </w:rPr>
              <w:t>植物栽种弃土及时清运，路面及时冲洗</w:t>
            </w:r>
            <w:r>
              <w:rPr>
                <w:rFonts w:hint="eastAsia"/>
                <w:sz w:val="24"/>
                <w:szCs w:val="24"/>
              </w:rPr>
              <w:t>。</w:t>
            </w:r>
          </w:p>
          <w:p w14:paraId="6C35DB6C">
            <w:pPr>
              <w:pStyle w:val="50"/>
              <w:wordWrap w:val="0"/>
              <w:adjustRightInd w:val="0"/>
              <w:snapToGrid w:val="0"/>
              <w:spacing w:line="360" w:lineRule="auto"/>
              <w:ind w:firstLine="480"/>
              <w:rPr>
                <w:rFonts w:hint="eastAsia"/>
                <w:sz w:val="24"/>
                <w:szCs w:val="24"/>
              </w:rPr>
            </w:pPr>
            <w:r>
              <w:rPr>
                <w:rFonts w:hint="eastAsia"/>
                <w:sz w:val="24"/>
                <w:szCs w:val="24"/>
              </w:rPr>
              <w:t>（9）加快施工进度，尽量缩短工期。</w:t>
            </w:r>
          </w:p>
          <w:p w14:paraId="69204D7E">
            <w:pPr>
              <w:pStyle w:val="50"/>
              <w:wordWrap w:val="0"/>
              <w:adjustRightInd w:val="0"/>
              <w:snapToGrid w:val="0"/>
              <w:spacing w:line="360" w:lineRule="auto"/>
              <w:ind w:firstLine="482"/>
              <w:rPr>
                <w:b/>
                <w:sz w:val="24"/>
                <w:szCs w:val="24"/>
              </w:rPr>
            </w:pPr>
            <w:r>
              <w:rPr>
                <w:rFonts w:hint="eastAsia"/>
                <w:b/>
                <w:color w:val="000000"/>
                <w:sz w:val="24"/>
              </w:rPr>
              <w:t>（2）废水</w:t>
            </w:r>
          </w:p>
          <w:p w14:paraId="0A19F8EB">
            <w:pPr>
              <w:wordWrap w:val="0"/>
              <w:adjustRightInd w:val="0"/>
              <w:snapToGrid w:val="0"/>
              <w:spacing w:line="360" w:lineRule="auto"/>
              <w:ind w:firstLine="482" w:firstLineChars="200"/>
              <w:rPr>
                <w:color w:val="000000"/>
                <w:sz w:val="24"/>
              </w:rPr>
            </w:pPr>
            <w:r>
              <w:rPr>
                <w:rFonts w:hint="eastAsia"/>
                <w:b/>
                <w:sz w:val="24"/>
              </w:rPr>
              <w:t>防治措施：</w:t>
            </w:r>
            <w:r>
              <w:rPr>
                <w:color w:val="000000"/>
                <w:sz w:val="24"/>
              </w:rPr>
              <w:t>①拟建项目施工人员主要为附近居民，产生的生活污水依托周边现有污水处理设施，因此，项目产生的生活污水对地表水环境影响小。</w:t>
            </w:r>
          </w:p>
          <w:p w14:paraId="00B242DF">
            <w:pPr>
              <w:wordWrap w:val="0"/>
              <w:adjustRightInd w:val="0"/>
              <w:snapToGrid w:val="0"/>
              <w:spacing w:line="360" w:lineRule="auto"/>
              <w:ind w:firstLine="480" w:firstLineChars="200"/>
              <w:rPr>
                <w:rFonts w:hint="eastAsia"/>
                <w:color w:val="000000"/>
                <w:kern w:val="0"/>
                <w:sz w:val="24"/>
              </w:rPr>
            </w:pPr>
            <w:r>
              <w:rPr>
                <w:color w:val="000000"/>
                <w:sz w:val="24"/>
              </w:rPr>
              <w:t>②施工场地四周设排水沟，场地内设置沉淀池，出入场地运输车辆的冲洗废水经</w:t>
            </w:r>
            <w:r>
              <w:rPr>
                <w:color w:val="000000"/>
                <w:kern w:val="0"/>
                <w:sz w:val="24"/>
              </w:rPr>
              <w:t>沉淀后回用，不外排。</w:t>
            </w:r>
          </w:p>
          <w:p w14:paraId="1E562DFD">
            <w:pPr>
              <w:wordWrap w:val="0"/>
              <w:adjustRightInd w:val="0"/>
              <w:snapToGrid w:val="0"/>
              <w:spacing w:line="360" w:lineRule="auto"/>
              <w:ind w:firstLine="480" w:firstLineChars="200"/>
              <w:rPr>
                <w:rFonts w:hint="eastAsia"/>
                <w:sz w:val="24"/>
              </w:rPr>
            </w:pPr>
            <w:r>
              <w:rPr>
                <w:color w:val="000000"/>
                <w:sz w:val="24"/>
              </w:rPr>
              <w:t>③严格限制用水量，降低废水排放量，减轻其对地表水的影响。</w:t>
            </w:r>
          </w:p>
          <w:p w14:paraId="194DEB5B">
            <w:pPr>
              <w:pStyle w:val="50"/>
              <w:adjustRightInd w:val="0"/>
              <w:snapToGrid w:val="0"/>
              <w:spacing w:line="360" w:lineRule="auto"/>
              <w:ind w:firstLine="482"/>
              <w:rPr>
                <w:b/>
                <w:sz w:val="24"/>
                <w:szCs w:val="24"/>
              </w:rPr>
            </w:pPr>
            <w:r>
              <w:rPr>
                <w:rFonts w:hint="eastAsia"/>
                <w:b/>
                <w:color w:val="000000"/>
                <w:sz w:val="24"/>
              </w:rPr>
              <w:t>（</w:t>
            </w:r>
            <w:r>
              <w:rPr>
                <w:b/>
                <w:color w:val="000000"/>
                <w:sz w:val="24"/>
              </w:rPr>
              <w:t>3</w:t>
            </w:r>
            <w:r>
              <w:rPr>
                <w:rFonts w:hAnsi="宋体"/>
                <w:b/>
                <w:color w:val="000000"/>
                <w:sz w:val="24"/>
              </w:rPr>
              <w:t>）噪声</w:t>
            </w:r>
          </w:p>
          <w:p w14:paraId="2C5A1680">
            <w:pPr>
              <w:pStyle w:val="50"/>
              <w:adjustRightInd w:val="0"/>
              <w:snapToGrid w:val="0"/>
              <w:spacing w:line="360" w:lineRule="auto"/>
              <w:ind w:firstLine="482"/>
              <w:rPr>
                <w:color w:val="000000"/>
                <w:sz w:val="24"/>
              </w:rPr>
            </w:pPr>
            <w:r>
              <w:rPr>
                <w:rFonts w:hAnsi="宋体"/>
                <w:b/>
                <w:sz w:val="24"/>
                <w:szCs w:val="24"/>
              </w:rPr>
              <w:t>防治措施：</w:t>
            </w:r>
            <w:r>
              <w:rPr>
                <w:rFonts w:hAnsi="宋体"/>
                <w:color w:val="000000"/>
                <w:sz w:val="24"/>
              </w:rPr>
              <w:t>合理安排施工时间、严禁高噪声施工机械在夜间使用、合理布局施工机械，采用低噪声设备。</w:t>
            </w:r>
          </w:p>
          <w:p w14:paraId="64B1332E">
            <w:pPr>
              <w:autoSpaceDE w:val="0"/>
              <w:autoSpaceDN w:val="0"/>
              <w:adjustRightInd w:val="0"/>
              <w:snapToGrid w:val="0"/>
              <w:spacing w:line="360" w:lineRule="auto"/>
              <w:ind w:firstLine="480" w:firstLineChars="200"/>
              <w:rPr>
                <w:color w:val="000000"/>
                <w:sz w:val="24"/>
              </w:rPr>
            </w:pPr>
            <w:r>
              <w:rPr>
                <w:rFonts w:hAnsi="宋体"/>
                <w:color w:val="000000"/>
                <w:sz w:val="24"/>
              </w:rPr>
              <w:t>为减轻施工噪声对周围环境敏感点的影响，项目施工应执行《重庆市环境噪声污染防治办法》</w:t>
            </w:r>
            <w:r>
              <w:rPr>
                <w:rFonts w:hAnsi="宋体"/>
                <w:snapToGrid w:val="0"/>
                <w:color w:val="000000"/>
                <w:kern w:val="0"/>
                <w:sz w:val="24"/>
              </w:rPr>
              <w:t>（重庆市人民政府令第</w:t>
            </w:r>
            <w:r>
              <w:rPr>
                <w:snapToGrid w:val="0"/>
                <w:color w:val="000000"/>
                <w:kern w:val="0"/>
                <w:sz w:val="24"/>
              </w:rPr>
              <w:t>270</w:t>
            </w:r>
            <w:r>
              <w:rPr>
                <w:rFonts w:hAnsi="宋体"/>
                <w:snapToGrid w:val="0"/>
                <w:color w:val="000000"/>
                <w:kern w:val="0"/>
                <w:sz w:val="24"/>
              </w:rPr>
              <w:t>号）</w:t>
            </w:r>
            <w:r>
              <w:rPr>
                <w:rFonts w:hAnsi="宋体"/>
                <w:color w:val="000000"/>
                <w:sz w:val="24"/>
              </w:rPr>
              <w:t>有关规定和要求，采取如下噪声防治措施：</w:t>
            </w:r>
          </w:p>
          <w:p w14:paraId="0C0E4F36">
            <w:pPr>
              <w:tabs>
                <w:tab w:val="left" w:pos="0"/>
              </w:tabs>
              <w:adjustRightInd w:val="0"/>
              <w:snapToGrid w:val="0"/>
              <w:spacing w:line="360" w:lineRule="auto"/>
              <w:ind w:firstLine="480" w:firstLineChars="200"/>
              <w:rPr>
                <w:color w:val="000000"/>
                <w:sz w:val="24"/>
              </w:rPr>
            </w:pPr>
            <w:r>
              <w:rPr>
                <w:rFonts w:ascii="宋体" w:hAnsi="宋体"/>
                <w:color w:val="000000"/>
                <w:sz w:val="24"/>
              </w:rPr>
              <w:t>①</w:t>
            </w:r>
            <w:r>
              <w:rPr>
                <w:rFonts w:hAnsi="宋体"/>
                <w:color w:val="000000"/>
                <w:sz w:val="24"/>
              </w:rPr>
              <w:t>严格落实</w:t>
            </w:r>
            <w:r>
              <w:rPr>
                <w:color w:val="000000"/>
                <w:sz w:val="24"/>
              </w:rPr>
              <w:t>“</w:t>
            </w:r>
            <w:r>
              <w:rPr>
                <w:rFonts w:hAnsi="宋体"/>
                <w:color w:val="000000"/>
                <w:sz w:val="24"/>
              </w:rPr>
              <w:t>重庆市环境噪声污染防治办法</w:t>
            </w:r>
            <w:r>
              <w:rPr>
                <w:color w:val="000000"/>
                <w:sz w:val="24"/>
              </w:rPr>
              <w:t xml:space="preserve">” </w:t>
            </w:r>
            <w:r>
              <w:rPr>
                <w:rFonts w:hAnsi="宋体"/>
                <w:color w:val="000000"/>
                <w:sz w:val="24"/>
              </w:rPr>
              <w:t>的各项要求，创造良好的施工环境，做到文明施工。</w:t>
            </w:r>
            <w:r>
              <w:rPr>
                <w:color w:val="000000"/>
                <w:sz w:val="24"/>
              </w:rPr>
              <w:t xml:space="preserve"> </w:t>
            </w:r>
          </w:p>
          <w:p w14:paraId="4F2E4B01">
            <w:pPr>
              <w:tabs>
                <w:tab w:val="left" w:pos="0"/>
              </w:tabs>
              <w:adjustRightInd w:val="0"/>
              <w:snapToGrid w:val="0"/>
              <w:spacing w:line="360" w:lineRule="auto"/>
              <w:ind w:firstLine="480" w:firstLineChars="200"/>
              <w:rPr>
                <w:color w:val="000000"/>
                <w:sz w:val="24"/>
              </w:rPr>
            </w:pPr>
            <w:r>
              <w:rPr>
                <w:rFonts w:ascii="宋体" w:hAnsi="宋体"/>
                <w:color w:val="000000"/>
                <w:sz w:val="24"/>
              </w:rPr>
              <w:t>②</w:t>
            </w:r>
            <w:r>
              <w:rPr>
                <w:rFonts w:hAnsi="宋体"/>
                <w:color w:val="000000"/>
                <w:sz w:val="24"/>
              </w:rPr>
              <w:t>施工单位应当于施工期间在施工场所公示项目名称、项目建设内容和时间、项目业主联系方式、施工单位名称、工地负责人及联系方式、可能产生的噪声污染和采取的防治措施。</w:t>
            </w:r>
          </w:p>
          <w:p w14:paraId="533F4345">
            <w:pPr>
              <w:tabs>
                <w:tab w:val="left" w:pos="0"/>
              </w:tabs>
              <w:adjustRightInd w:val="0"/>
              <w:snapToGrid w:val="0"/>
              <w:spacing w:line="360" w:lineRule="auto"/>
              <w:ind w:firstLine="480" w:firstLineChars="200"/>
              <w:rPr>
                <w:color w:val="000000"/>
                <w:sz w:val="24"/>
              </w:rPr>
            </w:pPr>
            <w:r>
              <w:rPr>
                <w:rFonts w:ascii="宋体" w:hAnsi="宋体"/>
                <w:color w:val="000000"/>
                <w:sz w:val="24"/>
              </w:rPr>
              <w:t>③</w:t>
            </w:r>
            <w:r>
              <w:rPr>
                <w:rFonts w:hAnsi="宋体"/>
                <w:color w:val="000000"/>
                <w:sz w:val="24"/>
              </w:rPr>
              <w:t>禁止</w:t>
            </w:r>
            <w:bookmarkStart w:id="5" w:name="_GoBack"/>
            <w:bookmarkEnd w:id="5"/>
            <w:r>
              <w:rPr>
                <w:color w:val="000000"/>
                <w:sz w:val="24"/>
              </w:rPr>
              <w:t>22</w:t>
            </w:r>
            <w:r>
              <w:rPr>
                <w:rFonts w:hAnsi="宋体"/>
                <w:color w:val="000000"/>
                <w:sz w:val="24"/>
              </w:rPr>
              <w:t>点至次日晨</w:t>
            </w:r>
            <w:r>
              <w:rPr>
                <w:color w:val="000000"/>
                <w:sz w:val="24"/>
              </w:rPr>
              <w:t>6</w:t>
            </w:r>
            <w:r>
              <w:rPr>
                <w:rFonts w:hAnsi="宋体"/>
                <w:color w:val="000000"/>
                <w:sz w:val="24"/>
              </w:rPr>
              <w:t>点进行产生环境噪声污染的建筑施工作业。进行抢修、抢险作业的需要夜间施工的，施工单位应当采取噪声污染防治措施，并同时将夜间作业项目、预计作业时间向所在区</w:t>
            </w:r>
            <w:r>
              <w:rPr>
                <w:rFonts w:hint="eastAsia" w:hAnsi="宋体"/>
                <w:color w:val="000000"/>
                <w:sz w:val="24"/>
              </w:rPr>
              <w:t>生态环境局</w:t>
            </w:r>
            <w:r>
              <w:rPr>
                <w:rFonts w:hAnsi="宋体"/>
                <w:color w:val="000000"/>
                <w:sz w:val="24"/>
              </w:rPr>
              <w:t>报告。因生产工艺要求或者特殊需要必须夜间施工作业的，施工单位应当于夜间施工前</w:t>
            </w:r>
            <w:r>
              <w:rPr>
                <w:color w:val="000000"/>
                <w:sz w:val="24"/>
              </w:rPr>
              <w:t>4</w:t>
            </w:r>
            <w:r>
              <w:rPr>
                <w:rFonts w:hAnsi="宋体"/>
                <w:color w:val="000000"/>
                <w:sz w:val="24"/>
              </w:rPr>
              <w:t>日按照有关法律法规的规定报批。</w:t>
            </w:r>
          </w:p>
          <w:p w14:paraId="59DFD6AA">
            <w:pPr>
              <w:tabs>
                <w:tab w:val="left" w:pos="0"/>
              </w:tabs>
              <w:adjustRightInd w:val="0"/>
              <w:snapToGrid w:val="0"/>
              <w:spacing w:line="360" w:lineRule="auto"/>
              <w:ind w:firstLine="480" w:firstLineChars="200"/>
              <w:rPr>
                <w:color w:val="000000"/>
                <w:sz w:val="24"/>
              </w:rPr>
            </w:pPr>
            <w:r>
              <w:rPr>
                <w:rFonts w:ascii="宋体" w:hAnsi="宋体"/>
                <w:color w:val="000000"/>
                <w:sz w:val="24"/>
              </w:rPr>
              <w:t>④</w:t>
            </w:r>
            <w:r>
              <w:rPr>
                <w:rFonts w:hAnsi="宋体"/>
                <w:color w:val="000000"/>
                <w:sz w:val="24"/>
              </w:rPr>
              <w:t>尽量采用先进的施工机械和技术，选用低噪声作业机具。</w:t>
            </w:r>
          </w:p>
          <w:p w14:paraId="44E56228">
            <w:pPr>
              <w:tabs>
                <w:tab w:val="left" w:pos="0"/>
              </w:tabs>
              <w:adjustRightInd w:val="0"/>
              <w:snapToGrid w:val="0"/>
              <w:spacing w:line="360" w:lineRule="auto"/>
              <w:ind w:firstLine="480" w:firstLineChars="200"/>
              <w:rPr>
                <w:color w:val="000000"/>
                <w:sz w:val="24"/>
              </w:rPr>
            </w:pPr>
            <w:r>
              <w:rPr>
                <w:rFonts w:ascii="宋体" w:hAnsi="宋体"/>
                <w:color w:val="000000"/>
                <w:sz w:val="24"/>
              </w:rPr>
              <w:t>⑤</w:t>
            </w:r>
            <w:r>
              <w:rPr>
                <w:rFonts w:hAnsi="宋体"/>
                <w:color w:val="000000"/>
                <w:sz w:val="24"/>
              </w:rPr>
              <w:t>采用商品混凝土。</w:t>
            </w:r>
          </w:p>
          <w:p w14:paraId="18FA94F9">
            <w:pPr>
              <w:tabs>
                <w:tab w:val="left" w:pos="0"/>
              </w:tabs>
              <w:adjustRightInd w:val="0"/>
              <w:snapToGrid w:val="0"/>
              <w:spacing w:line="360" w:lineRule="auto"/>
              <w:ind w:firstLine="480" w:firstLineChars="200"/>
              <w:rPr>
                <w:color w:val="000000"/>
                <w:sz w:val="24"/>
              </w:rPr>
            </w:pPr>
            <w:r>
              <w:rPr>
                <w:rFonts w:ascii="宋体" w:hAnsi="宋体"/>
                <w:color w:val="000000"/>
                <w:sz w:val="24"/>
              </w:rPr>
              <w:t>⑥</w:t>
            </w:r>
            <w:r>
              <w:rPr>
                <w:rFonts w:hAnsi="宋体"/>
                <w:color w:val="000000"/>
                <w:sz w:val="24"/>
              </w:rPr>
              <w:t>尽量将高噪声设备布置在远离居民点区域。</w:t>
            </w:r>
          </w:p>
          <w:p w14:paraId="1D9D94C4">
            <w:pPr>
              <w:tabs>
                <w:tab w:val="left" w:pos="0"/>
              </w:tabs>
              <w:adjustRightInd w:val="0"/>
              <w:snapToGrid w:val="0"/>
              <w:spacing w:line="360" w:lineRule="auto"/>
              <w:ind w:firstLine="480" w:firstLineChars="200"/>
              <w:rPr>
                <w:color w:val="000000"/>
                <w:sz w:val="24"/>
              </w:rPr>
            </w:pPr>
            <w:r>
              <w:rPr>
                <w:rFonts w:ascii="宋体" w:hAnsi="宋体"/>
                <w:color w:val="000000"/>
                <w:sz w:val="24"/>
              </w:rPr>
              <w:t>⑦</w:t>
            </w:r>
            <w:r>
              <w:rPr>
                <w:rFonts w:hAnsi="宋体"/>
                <w:color w:val="000000"/>
                <w:sz w:val="24"/>
              </w:rPr>
              <w:t>加强对施工人员的环境宣传和教育，使其认真落实各项降噪措施。</w:t>
            </w:r>
          </w:p>
          <w:p w14:paraId="2B5ACEBF">
            <w:pPr>
              <w:tabs>
                <w:tab w:val="left" w:pos="0"/>
              </w:tabs>
              <w:adjustRightInd w:val="0"/>
              <w:snapToGrid w:val="0"/>
              <w:spacing w:line="360" w:lineRule="auto"/>
              <w:ind w:firstLine="480" w:firstLineChars="200"/>
              <w:rPr>
                <w:color w:val="000000"/>
                <w:sz w:val="24"/>
              </w:rPr>
            </w:pPr>
            <w:r>
              <w:rPr>
                <w:rFonts w:ascii="宋体" w:hAnsi="宋体"/>
                <w:color w:val="000000"/>
                <w:sz w:val="24"/>
              </w:rPr>
              <w:t>⑧</w:t>
            </w:r>
            <w:r>
              <w:rPr>
                <w:rFonts w:hAnsi="宋体"/>
                <w:color w:val="000000"/>
                <w:sz w:val="24"/>
              </w:rPr>
              <w:t>运输车辆经过主要居民点等敏感点时应限速、禁止鸣笛。</w:t>
            </w:r>
          </w:p>
          <w:p w14:paraId="6A7A97AA">
            <w:pPr>
              <w:tabs>
                <w:tab w:val="left" w:pos="0"/>
              </w:tabs>
              <w:adjustRightInd w:val="0"/>
              <w:snapToGrid w:val="0"/>
              <w:spacing w:line="360" w:lineRule="auto"/>
              <w:ind w:firstLine="480" w:firstLineChars="200"/>
              <w:rPr>
                <w:color w:val="000000"/>
                <w:sz w:val="24"/>
              </w:rPr>
            </w:pPr>
            <w:r>
              <w:rPr>
                <w:color w:val="000000"/>
                <w:sz w:val="24"/>
              </w:rPr>
              <w:fldChar w:fldCharType="begin"/>
            </w:r>
            <w:r>
              <w:rPr>
                <w:color w:val="000000"/>
                <w:sz w:val="24"/>
              </w:rPr>
              <w:instrText xml:space="preserve"> = 9 \* GB3 </w:instrText>
            </w:r>
            <w:r>
              <w:rPr>
                <w:color w:val="000000"/>
                <w:sz w:val="24"/>
              </w:rPr>
              <w:fldChar w:fldCharType="separate"/>
            </w:r>
            <w:r>
              <w:rPr>
                <w:rFonts w:ascii="宋体" w:hAnsi="宋体"/>
                <w:color w:val="000000"/>
                <w:sz w:val="24"/>
              </w:rPr>
              <w:t>⑨</w:t>
            </w:r>
            <w:r>
              <w:rPr>
                <w:color w:val="000000"/>
                <w:sz w:val="24"/>
              </w:rPr>
              <w:fldChar w:fldCharType="end"/>
            </w:r>
            <w:r>
              <w:rPr>
                <w:rFonts w:hAnsi="宋体"/>
                <w:color w:val="000000"/>
                <w:sz w:val="24"/>
              </w:rPr>
              <w:t>尽量通过集中作业缩短高噪声作业持续时间，同时尽量将作业时间安排在上午</w:t>
            </w:r>
            <w:r>
              <w:rPr>
                <w:color w:val="000000"/>
                <w:sz w:val="24"/>
              </w:rPr>
              <w:t>9</w:t>
            </w:r>
            <w:r>
              <w:rPr>
                <w:rFonts w:hAnsi="宋体"/>
                <w:color w:val="000000"/>
                <w:sz w:val="24"/>
              </w:rPr>
              <w:t>点</w:t>
            </w:r>
            <w:r>
              <w:rPr>
                <w:color w:val="000000"/>
                <w:sz w:val="24"/>
              </w:rPr>
              <w:t>-12</w:t>
            </w:r>
            <w:r>
              <w:rPr>
                <w:rFonts w:hAnsi="宋体"/>
                <w:color w:val="000000"/>
                <w:sz w:val="24"/>
              </w:rPr>
              <w:t>点，下午</w:t>
            </w:r>
            <w:r>
              <w:rPr>
                <w:color w:val="000000"/>
                <w:sz w:val="24"/>
              </w:rPr>
              <w:t>2</w:t>
            </w:r>
            <w:r>
              <w:rPr>
                <w:rFonts w:hAnsi="宋体"/>
                <w:color w:val="000000"/>
                <w:sz w:val="24"/>
              </w:rPr>
              <w:t>点</w:t>
            </w:r>
            <w:r>
              <w:rPr>
                <w:color w:val="000000"/>
                <w:sz w:val="24"/>
              </w:rPr>
              <w:t>-5</w:t>
            </w:r>
            <w:r>
              <w:rPr>
                <w:rFonts w:hAnsi="宋体"/>
                <w:color w:val="000000"/>
                <w:sz w:val="24"/>
              </w:rPr>
              <w:t>点。</w:t>
            </w:r>
          </w:p>
          <w:p w14:paraId="04C1066D">
            <w:pPr>
              <w:pStyle w:val="50"/>
              <w:adjustRightInd w:val="0"/>
              <w:snapToGrid w:val="0"/>
              <w:spacing w:line="360" w:lineRule="auto"/>
              <w:ind w:firstLine="480"/>
              <w:rPr>
                <w:color w:val="000000"/>
                <w:sz w:val="24"/>
              </w:rPr>
            </w:pPr>
            <w:r>
              <w:rPr>
                <w:color w:val="000000"/>
                <w:sz w:val="24"/>
                <w:lang w:val="zh-CN"/>
              </w:rPr>
              <w:fldChar w:fldCharType="begin"/>
            </w:r>
            <w:r>
              <w:rPr>
                <w:color w:val="000000"/>
                <w:sz w:val="24"/>
                <w:lang w:val="zh-CN"/>
              </w:rPr>
              <w:instrText xml:space="preserve"> = 10 \* GB3 </w:instrText>
            </w:r>
            <w:r>
              <w:rPr>
                <w:color w:val="000000"/>
                <w:sz w:val="24"/>
                <w:lang w:val="zh-CN"/>
              </w:rPr>
              <w:fldChar w:fldCharType="separate"/>
            </w:r>
            <w:r>
              <w:rPr>
                <w:rFonts w:ascii="宋体" w:hAnsi="宋体"/>
                <w:color w:val="000000"/>
                <w:sz w:val="24"/>
                <w:lang w:val="zh-CN"/>
              </w:rPr>
              <w:t>⑩</w:t>
            </w:r>
            <w:r>
              <w:rPr>
                <w:color w:val="000000"/>
                <w:sz w:val="24"/>
                <w:lang w:val="zh-CN"/>
              </w:rPr>
              <w:fldChar w:fldCharType="end"/>
            </w:r>
            <w:r>
              <w:rPr>
                <w:rFonts w:hAnsi="宋体"/>
                <w:color w:val="000000"/>
                <w:sz w:val="24"/>
                <w:lang w:val="zh-CN"/>
              </w:rPr>
              <w:t>在高考、中考前</w:t>
            </w:r>
            <w:r>
              <w:rPr>
                <w:color w:val="000000"/>
                <w:sz w:val="24"/>
                <w:lang w:val="zh-CN"/>
              </w:rPr>
              <w:t>15</w:t>
            </w:r>
            <w:r>
              <w:rPr>
                <w:rFonts w:hAnsi="宋体"/>
                <w:color w:val="000000"/>
                <w:sz w:val="24"/>
                <w:lang w:val="zh-CN"/>
              </w:rPr>
              <w:t>日内及考试期间，禁止产生噪声污染的夜间施工作业；高、中考试期间，</w:t>
            </w:r>
            <w:r>
              <w:rPr>
                <w:color w:val="000000"/>
                <w:sz w:val="24"/>
                <w:lang w:val="zh-CN"/>
              </w:rPr>
              <w:t>24</w:t>
            </w:r>
            <w:r>
              <w:rPr>
                <w:rFonts w:hAnsi="宋体"/>
                <w:color w:val="000000"/>
                <w:sz w:val="24"/>
                <w:lang w:val="zh-CN"/>
              </w:rPr>
              <w:t>小时内禁止进行产生噪声污染的施工作业。</w:t>
            </w:r>
          </w:p>
          <w:p w14:paraId="190D0A77">
            <w:pPr>
              <w:pStyle w:val="50"/>
              <w:adjustRightInd w:val="0"/>
              <w:snapToGrid w:val="0"/>
              <w:spacing w:line="360" w:lineRule="auto"/>
              <w:ind w:firstLine="482"/>
              <w:rPr>
                <w:b/>
                <w:sz w:val="24"/>
                <w:szCs w:val="24"/>
              </w:rPr>
            </w:pPr>
            <w:r>
              <w:rPr>
                <w:rFonts w:hAnsi="宋体"/>
                <w:b/>
                <w:color w:val="000000"/>
                <w:sz w:val="24"/>
              </w:rPr>
              <w:t>（</w:t>
            </w:r>
            <w:r>
              <w:rPr>
                <w:b/>
                <w:color w:val="000000"/>
                <w:sz w:val="24"/>
              </w:rPr>
              <w:t>4</w:t>
            </w:r>
            <w:r>
              <w:rPr>
                <w:rFonts w:hAnsi="宋体"/>
                <w:b/>
                <w:color w:val="000000"/>
                <w:sz w:val="24"/>
              </w:rPr>
              <w:t>）固废</w:t>
            </w:r>
          </w:p>
          <w:p w14:paraId="1157A50D">
            <w:pPr>
              <w:autoSpaceDE w:val="0"/>
              <w:autoSpaceDN w:val="0"/>
              <w:adjustRightInd w:val="0"/>
              <w:snapToGrid w:val="0"/>
              <w:spacing w:line="360" w:lineRule="auto"/>
              <w:ind w:firstLine="482" w:firstLineChars="200"/>
              <w:rPr>
                <w:color w:val="000000"/>
                <w:sz w:val="24"/>
                <w:szCs w:val="22"/>
                <w:lang w:val="zh-CN"/>
              </w:rPr>
            </w:pPr>
            <w:r>
              <w:rPr>
                <w:rFonts w:hAnsi="宋体"/>
                <w:b/>
                <w:sz w:val="24"/>
              </w:rPr>
              <w:t>防治措施：</w:t>
            </w:r>
            <w:r>
              <w:rPr>
                <w:rFonts w:ascii="宋体" w:hAnsi="宋体"/>
                <w:color w:val="000000"/>
                <w:sz w:val="24"/>
                <w:szCs w:val="22"/>
                <w:lang w:val="zh-CN"/>
              </w:rPr>
              <w:t>①</w:t>
            </w:r>
            <w:r>
              <w:rPr>
                <w:rFonts w:hAnsi="宋体"/>
                <w:color w:val="000000"/>
                <w:sz w:val="24"/>
                <w:szCs w:val="22"/>
                <w:lang w:val="zh-CN"/>
              </w:rPr>
              <w:t>拟建项目建筑垃圾收集后送市政部门指定的渣场处理，不能随意堆放。</w:t>
            </w:r>
          </w:p>
          <w:p w14:paraId="24589594">
            <w:pPr>
              <w:pStyle w:val="50"/>
              <w:adjustRightInd w:val="0"/>
              <w:snapToGrid w:val="0"/>
              <w:spacing w:line="360" w:lineRule="auto"/>
              <w:ind w:firstLine="480"/>
              <w:rPr>
                <w:color w:val="000000"/>
                <w:sz w:val="24"/>
                <w:lang w:val="zh-CN"/>
              </w:rPr>
            </w:pPr>
            <w:r>
              <w:rPr>
                <w:rFonts w:ascii="宋体" w:hAnsi="宋体"/>
                <w:color w:val="000000"/>
                <w:sz w:val="24"/>
                <w:lang w:val="zh-CN"/>
              </w:rPr>
              <w:t>②</w:t>
            </w:r>
            <w:r>
              <w:rPr>
                <w:rFonts w:hAnsi="宋体"/>
                <w:color w:val="000000"/>
                <w:sz w:val="24"/>
                <w:lang w:val="zh-CN"/>
              </w:rPr>
              <w:t>施工现场设生活垃圾收集桶，施工人员生活垃圾收集后定期送附近的生活垃圾收集点交环卫部门处理。</w:t>
            </w:r>
          </w:p>
          <w:p w14:paraId="1089CDBE">
            <w:pPr>
              <w:spacing w:line="360" w:lineRule="auto"/>
              <w:ind w:firstLine="454"/>
              <w:rPr>
                <w:rFonts w:hint="eastAsia" w:hAnsi="宋体"/>
                <w:b/>
                <w:color w:val="000000"/>
                <w:sz w:val="24"/>
              </w:rPr>
            </w:pPr>
            <w:r>
              <w:rPr>
                <w:rFonts w:hAnsi="宋体"/>
                <w:b/>
                <w:color w:val="000000"/>
                <w:sz w:val="24"/>
              </w:rPr>
              <w:t>（</w:t>
            </w:r>
            <w:r>
              <w:rPr>
                <w:rFonts w:hint="eastAsia"/>
                <w:b/>
                <w:color w:val="000000"/>
                <w:sz w:val="24"/>
              </w:rPr>
              <w:t>5</w:t>
            </w:r>
            <w:r>
              <w:rPr>
                <w:rFonts w:hAnsi="宋体"/>
                <w:b/>
                <w:color w:val="000000"/>
                <w:sz w:val="24"/>
              </w:rPr>
              <w:t>）</w:t>
            </w:r>
            <w:r>
              <w:rPr>
                <w:rFonts w:hint="eastAsia" w:hAnsi="宋体"/>
                <w:b/>
                <w:color w:val="000000"/>
                <w:sz w:val="24"/>
              </w:rPr>
              <w:t>生态</w:t>
            </w:r>
          </w:p>
          <w:p w14:paraId="2B521A87">
            <w:pPr>
              <w:spacing w:line="360" w:lineRule="auto"/>
              <w:ind w:firstLine="454"/>
              <w:rPr>
                <w:rFonts w:hint="eastAsia" w:hAnsi="宋体"/>
                <w:sz w:val="24"/>
              </w:rPr>
            </w:pPr>
            <w:r>
              <w:rPr>
                <w:rFonts w:hAnsi="宋体"/>
                <w:b/>
                <w:sz w:val="24"/>
              </w:rPr>
              <w:t>防治措施：</w:t>
            </w:r>
            <w:r>
              <w:rPr>
                <w:rFonts w:hint="eastAsia" w:hAnsi="宋体"/>
                <w:sz w:val="24"/>
              </w:rPr>
              <w:t>随着施工基地开挖、填方、平整，原有地表土层受到破坏，土壤松动，施工过程中由于挖方及填方过程中形成的土堆如不及时清理，遇到较大降雨冲刷，易发生水土流失。因此采取应加强施工期管理，合理安排施工进度，可以避免发生水土流失，施工期结束后，建设场地被水泥、建筑物及植被覆盖，有利于消除水土流失的不利影响。</w:t>
            </w:r>
          </w:p>
          <w:p w14:paraId="5DD90666">
            <w:pPr>
              <w:pStyle w:val="2"/>
              <w:rPr>
                <w:rFonts w:hint="eastAsia"/>
              </w:rPr>
            </w:pPr>
          </w:p>
          <w:p w14:paraId="1F3AE746">
            <w:pPr>
              <w:rPr>
                <w:rFonts w:hint="eastAsia"/>
              </w:rPr>
            </w:pPr>
          </w:p>
          <w:p w14:paraId="5C724650">
            <w:pPr>
              <w:pStyle w:val="2"/>
              <w:rPr>
                <w:rFonts w:hint="eastAsia"/>
              </w:rPr>
            </w:pPr>
          </w:p>
          <w:p w14:paraId="6B049155">
            <w:pPr>
              <w:rPr>
                <w:rFonts w:hint="eastAsia"/>
              </w:rPr>
            </w:pPr>
          </w:p>
          <w:p w14:paraId="61ECEC51">
            <w:pPr>
              <w:pStyle w:val="2"/>
              <w:rPr>
                <w:rFonts w:hint="eastAsia"/>
              </w:rPr>
            </w:pPr>
          </w:p>
          <w:p w14:paraId="626BD2D1">
            <w:pPr>
              <w:rPr>
                <w:rFonts w:hint="eastAsia"/>
              </w:rPr>
            </w:pPr>
          </w:p>
          <w:p w14:paraId="588266D0">
            <w:pPr>
              <w:pStyle w:val="2"/>
              <w:rPr>
                <w:rFonts w:hint="eastAsia"/>
              </w:rPr>
            </w:pPr>
          </w:p>
          <w:p w14:paraId="1F5AA0B9">
            <w:pPr>
              <w:rPr>
                <w:rFonts w:hint="eastAsia"/>
              </w:rPr>
            </w:pPr>
          </w:p>
          <w:p w14:paraId="56DAF1BA">
            <w:pPr>
              <w:pStyle w:val="2"/>
              <w:rPr>
                <w:rFonts w:hint="eastAsia"/>
              </w:rPr>
            </w:pPr>
          </w:p>
          <w:p w14:paraId="16D0628D">
            <w:pPr>
              <w:pStyle w:val="2"/>
              <w:rPr>
                <w:rFonts w:hint="eastAsia"/>
              </w:rPr>
            </w:pPr>
          </w:p>
          <w:p w14:paraId="7EB49377">
            <w:pPr>
              <w:pStyle w:val="2"/>
              <w:rPr>
                <w:rFonts w:hint="eastAsia"/>
              </w:rPr>
            </w:pPr>
          </w:p>
        </w:tc>
      </w:tr>
    </w:tbl>
    <w:p w14:paraId="1C9FC926">
      <w:pPr>
        <w:pStyle w:val="21"/>
        <w:adjustRightInd w:val="0"/>
        <w:snapToGrid w:val="0"/>
        <w:spacing w:before="0" w:beforeAutospacing="0" w:after="0" w:afterAutospacing="0" w:line="360" w:lineRule="auto"/>
        <w:jc w:val="both"/>
        <w:rPr>
          <w:rFonts w:hint="eastAsia" w:cs="宋体"/>
          <w:kern w:val="2"/>
          <w:szCs w:val="24"/>
        </w:rPr>
        <w:sectPr>
          <w:pgSz w:w="11907" w:h="16840"/>
          <w:pgMar w:top="1701" w:right="1531" w:bottom="2127" w:left="1531" w:header="851" w:footer="851" w:gutter="0"/>
          <w:cols w:space="720" w:num="1"/>
          <w:docGrid w:linePitch="312" w:charSpace="0"/>
        </w:sectPr>
      </w:pPr>
    </w:p>
    <w:tbl>
      <w:tblPr>
        <w:tblStyle w:val="23"/>
        <w:tblW w:w="901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11"/>
        <w:gridCol w:w="8307"/>
      </w:tblGrid>
      <w:tr w14:paraId="2E2DAE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1" w:type="dxa"/>
            <w:tcMar>
              <w:left w:w="28" w:type="dxa"/>
              <w:right w:w="28" w:type="dxa"/>
            </w:tcMar>
            <w:vAlign w:val="center"/>
          </w:tcPr>
          <w:p w14:paraId="524748E1">
            <w:pPr>
              <w:pStyle w:val="21"/>
              <w:adjustRightInd w:val="0"/>
              <w:snapToGrid w:val="0"/>
              <w:spacing w:before="0" w:beforeAutospacing="0" w:after="0" w:afterAutospacing="0" w:line="360" w:lineRule="auto"/>
              <w:jc w:val="center"/>
              <w:rPr>
                <w:rFonts w:hint="eastAsia" w:cs="宋体"/>
                <w:kern w:val="2"/>
                <w:szCs w:val="24"/>
              </w:rPr>
            </w:pPr>
            <w:r>
              <w:rPr>
                <w:rFonts w:hint="eastAsia" w:cs="宋体"/>
                <w:kern w:val="2"/>
                <w:szCs w:val="24"/>
              </w:rPr>
              <w:t>运营</w:t>
            </w:r>
          </w:p>
          <w:p w14:paraId="59AA86CF">
            <w:pPr>
              <w:pStyle w:val="21"/>
              <w:adjustRightInd w:val="0"/>
              <w:snapToGrid w:val="0"/>
              <w:spacing w:before="0" w:beforeAutospacing="0" w:after="0" w:afterAutospacing="0" w:line="360" w:lineRule="auto"/>
              <w:jc w:val="center"/>
              <w:rPr>
                <w:rFonts w:hint="eastAsia" w:cs="宋体"/>
                <w:kern w:val="2"/>
                <w:szCs w:val="24"/>
              </w:rPr>
            </w:pPr>
            <w:r>
              <w:rPr>
                <w:rFonts w:hint="eastAsia" w:cs="宋体"/>
                <w:kern w:val="2"/>
                <w:szCs w:val="24"/>
              </w:rPr>
              <w:t>期环</w:t>
            </w:r>
          </w:p>
          <w:p w14:paraId="698D5B9E">
            <w:pPr>
              <w:pStyle w:val="21"/>
              <w:adjustRightInd w:val="0"/>
              <w:snapToGrid w:val="0"/>
              <w:spacing w:before="0" w:beforeAutospacing="0" w:after="0" w:afterAutospacing="0" w:line="360" w:lineRule="auto"/>
              <w:jc w:val="center"/>
              <w:rPr>
                <w:rFonts w:hint="eastAsia" w:cs="宋体"/>
                <w:kern w:val="2"/>
                <w:szCs w:val="24"/>
              </w:rPr>
            </w:pPr>
            <w:r>
              <w:rPr>
                <w:rFonts w:hint="eastAsia" w:cs="宋体"/>
                <w:kern w:val="2"/>
                <w:szCs w:val="24"/>
              </w:rPr>
              <w:t>境影</w:t>
            </w:r>
          </w:p>
          <w:p w14:paraId="411970E3">
            <w:pPr>
              <w:pStyle w:val="21"/>
              <w:adjustRightInd w:val="0"/>
              <w:snapToGrid w:val="0"/>
              <w:spacing w:before="0" w:beforeAutospacing="0" w:after="0" w:afterAutospacing="0" w:line="360" w:lineRule="auto"/>
              <w:jc w:val="center"/>
              <w:rPr>
                <w:rFonts w:hint="eastAsia" w:cs="宋体"/>
                <w:kern w:val="2"/>
                <w:szCs w:val="24"/>
              </w:rPr>
            </w:pPr>
            <w:r>
              <w:rPr>
                <w:rFonts w:hint="eastAsia" w:cs="宋体"/>
                <w:kern w:val="2"/>
                <w:szCs w:val="24"/>
              </w:rPr>
              <w:t>响和</w:t>
            </w:r>
          </w:p>
          <w:p w14:paraId="68209543">
            <w:pPr>
              <w:pStyle w:val="21"/>
              <w:adjustRightInd w:val="0"/>
              <w:snapToGrid w:val="0"/>
              <w:spacing w:before="0" w:beforeAutospacing="0" w:after="0" w:afterAutospacing="0" w:line="360" w:lineRule="auto"/>
              <w:jc w:val="center"/>
              <w:rPr>
                <w:rFonts w:hint="eastAsia" w:cs="宋体"/>
                <w:kern w:val="2"/>
                <w:szCs w:val="24"/>
              </w:rPr>
            </w:pPr>
            <w:r>
              <w:rPr>
                <w:rFonts w:hint="eastAsia" w:cs="宋体"/>
                <w:kern w:val="2"/>
                <w:szCs w:val="24"/>
              </w:rPr>
              <w:t>保护</w:t>
            </w:r>
          </w:p>
          <w:p w14:paraId="23BF4FA7">
            <w:pPr>
              <w:pStyle w:val="21"/>
              <w:adjustRightInd w:val="0"/>
              <w:snapToGrid w:val="0"/>
              <w:spacing w:before="0" w:beforeAutospacing="0" w:after="0" w:afterAutospacing="0" w:line="360" w:lineRule="auto"/>
              <w:jc w:val="center"/>
              <w:rPr>
                <w:rFonts w:hint="eastAsia" w:cs="宋体"/>
                <w:kern w:val="2"/>
                <w:szCs w:val="24"/>
              </w:rPr>
            </w:pPr>
            <w:r>
              <w:rPr>
                <w:rFonts w:hint="eastAsia" w:cs="宋体"/>
                <w:kern w:val="2"/>
                <w:szCs w:val="24"/>
              </w:rPr>
              <w:t>措施</w:t>
            </w:r>
          </w:p>
        </w:tc>
        <w:tc>
          <w:tcPr>
            <w:tcW w:w="8307" w:type="dxa"/>
            <w:vAlign w:val="center"/>
          </w:tcPr>
          <w:p w14:paraId="54D7DED1">
            <w:pPr>
              <w:adjustRightInd w:val="0"/>
              <w:snapToGrid w:val="0"/>
              <w:spacing w:line="360" w:lineRule="auto"/>
              <w:rPr>
                <w:rFonts w:ascii="宋体" w:hAnsi="宋体" w:cs="宋体"/>
                <w:b/>
                <w:spacing w:val="-10"/>
                <w:sz w:val="24"/>
              </w:rPr>
            </w:pPr>
            <w:r>
              <w:rPr>
                <w:rFonts w:hint="eastAsia" w:ascii="宋体" w:hAnsi="宋体" w:cs="宋体"/>
                <w:b/>
                <w:spacing w:val="-10"/>
                <w:sz w:val="24"/>
              </w:rPr>
              <w:t>4.2废气污染物产排污及治理设施情况</w:t>
            </w:r>
          </w:p>
          <w:p w14:paraId="534F24AA">
            <w:pPr>
              <w:adjustRightInd w:val="0"/>
              <w:snapToGrid w:val="0"/>
              <w:spacing w:line="360" w:lineRule="auto"/>
              <w:ind w:firstLine="442" w:firstLineChars="200"/>
              <w:rPr>
                <w:rFonts w:hint="eastAsia" w:ascii="宋体" w:hAnsi="宋体" w:cs="宋体"/>
                <w:b/>
                <w:color w:val="000000"/>
                <w:spacing w:val="-10"/>
                <w:sz w:val="24"/>
              </w:rPr>
            </w:pPr>
            <w:r>
              <w:rPr>
                <w:rFonts w:hint="eastAsia" w:ascii="宋体" w:hAnsi="宋体" w:cs="宋体"/>
                <w:b/>
                <w:color w:val="000000"/>
                <w:spacing w:val="-10"/>
                <w:sz w:val="24"/>
              </w:rPr>
              <w:t>（1）废气排放源强</w:t>
            </w:r>
          </w:p>
          <w:p w14:paraId="665ADE33">
            <w:pPr>
              <w:wordWrap w:val="0"/>
              <w:adjustRightInd w:val="0"/>
              <w:snapToGrid w:val="0"/>
              <w:spacing w:line="360" w:lineRule="auto"/>
              <w:ind w:firstLine="480" w:firstLineChars="200"/>
              <w:rPr>
                <w:rFonts w:hint="eastAsia"/>
                <w:color w:val="000000"/>
                <w:kern w:val="0"/>
                <w:sz w:val="24"/>
              </w:rPr>
            </w:pPr>
            <w:r>
              <w:rPr>
                <w:rFonts w:hint="eastAsia"/>
                <w:color w:val="000000"/>
                <w:kern w:val="0"/>
                <w:sz w:val="24"/>
              </w:rPr>
              <w:t>本项目主要大气污染因子为非甲烷总烃，正常营运期期间产生的废气主要来自储油罐呼吸损耗、油罐车卸油灌注以及加油作业过程中排放的少量油气，以非甲烷总烃为污染物指标计算。另外，加油站运营过程中还有过往车辆产生的少量汽车尾气和备用柴油发电机废气。</w:t>
            </w:r>
          </w:p>
          <w:p w14:paraId="6F5C5DE9">
            <w:pPr>
              <w:adjustRightInd w:val="0"/>
              <w:snapToGrid w:val="0"/>
              <w:spacing w:line="360" w:lineRule="auto"/>
              <w:ind w:firstLine="454"/>
              <w:rPr>
                <w:rFonts w:hint="eastAsia" w:ascii="宋体" w:hAnsi="宋体" w:cs="宋体"/>
                <w:bCs/>
                <w:color w:val="000000"/>
                <w:spacing w:val="-10"/>
                <w:sz w:val="24"/>
              </w:rPr>
            </w:pPr>
            <w:r>
              <w:rPr>
                <w:rFonts w:hint="eastAsia" w:ascii="宋体" w:hAnsi="宋体" w:cs="宋体"/>
                <w:bCs/>
                <w:color w:val="000000"/>
                <w:spacing w:val="-10"/>
                <w:sz w:val="24"/>
              </w:rPr>
              <w:t>1）油气</w:t>
            </w:r>
          </w:p>
          <w:p w14:paraId="09085E2A">
            <w:pPr>
              <w:wordWrap w:val="0"/>
              <w:adjustRightInd w:val="0"/>
              <w:snapToGrid w:val="0"/>
              <w:spacing w:line="360" w:lineRule="auto"/>
              <w:ind w:firstLine="480" w:firstLineChars="200"/>
              <w:rPr>
                <w:color w:val="000000"/>
                <w:sz w:val="24"/>
              </w:rPr>
            </w:pPr>
            <w:r>
              <w:rPr>
                <w:color w:val="000000"/>
                <w:kern w:val="0"/>
                <w:sz w:val="24"/>
              </w:rPr>
              <w:t>加油站油气损耗主要来自于油罐车卸油损耗（当油品从油罐车卸油到储油罐中，会产生卸油损耗）、油品贮存损耗（当油品储存于储油罐中，会随着外界环境温度的变化产生油品的储存损耗）及加油作业损耗（当油品从储油罐通过加油机输送到汽车时，会发生加油作业损耗）。油气以无组织排放的形式逸散到空气中</w:t>
            </w:r>
            <w:r>
              <w:rPr>
                <w:color w:val="000000"/>
                <w:sz w:val="24"/>
              </w:rPr>
              <w:t>。</w:t>
            </w:r>
          </w:p>
          <w:p w14:paraId="1283A19E">
            <w:pPr>
              <w:widowControl/>
              <w:adjustRightInd w:val="0"/>
              <w:spacing w:line="360" w:lineRule="auto"/>
              <w:ind w:firstLine="520"/>
              <w:rPr>
                <w:color w:val="000000"/>
                <w:kern w:val="0"/>
                <w:sz w:val="24"/>
              </w:rPr>
            </w:pPr>
            <w:r>
              <w:rPr>
                <w:color w:val="000000"/>
                <w:kern w:val="0"/>
                <w:sz w:val="24"/>
              </w:rPr>
              <w:t>根据《散装液态石油产品损耗》（GB11085-89）中关于四川地区（含重庆）油气损耗率，油品损耗量计算公式如下：</w:t>
            </w:r>
          </w:p>
          <w:p w14:paraId="140D5F65">
            <w:pPr>
              <w:widowControl/>
              <w:adjustRightInd w:val="0"/>
              <w:spacing w:line="360" w:lineRule="auto"/>
              <w:jc w:val="center"/>
              <w:rPr>
                <w:color w:val="000000"/>
                <w:kern w:val="0"/>
                <w:sz w:val="24"/>
              </w:rPr>
            </w:pPr>
            <w:r>
              <w:rPr>
                <w:color w:val="000000"/>
                <w:kern w:val="0"/>
                <w:sz w:val="24"/>
              </w:rPr>
              <w:t>Q=mq</w:t>
            </w:r>
          </w:p>
          <w:p w14:paraId="14DF1A6B">
            <w:pPr>
              <w:adjustRightInd w:val="0"/>
              <w:snapToGrid w:val="0"/>
              <w:spacing w:line="360" w:lineRule="auto"/>
              <w:ind w:firstLine="480" w:firstLineChars="200"/>
              <w:rPr>
                <w:color w:val="000000"/>
                <w:kern w:val="0"/>
                <w:sz w:val="24"/>
              </w:rPr>
            </w:pPr>
            <w:r>
              <w:rPr>
                <w:color w:val="000000"/>
                <w:kern w:val="0"/>
                <w:sz w:val="24"/>
              </w:rPr>
              <w:t>其中：m——油品质量，q——汽油或柴油的相应损耗率。</w:t>
            </w:r>
          </w:p>
          <w:p w14:paraId="375E18C6">
            <w:pPr>
              <w:adjustRightInd w:val="0"/>
              <w:snapToGrid w:val="0"/>
              <w:spacing w:line="360" w:lineRule="auto"/>
              <w:ind w:firstLine="480" w:firstLineChars="200"/>
              <w:rPr>
                <w:rFonts w:hint="eastAsia"/>
                <w:color w:val="000000"/>
                <w:kern w:val="0"/>
                <w:sz w:val="24"/>
              </w:rPr>
            </w:pPr>
            <w:r>
              <w:rPr>
                <w:rFonts w:hint="eastAsia"/>
                <w:color w:val="000000"/>
                <w:kern w:val="0"/>
                <w:sz w:val="24"/>
              </w:rPr>
              <w:t>本项目加油站采用埋地卧式油罐，整个储油及加油系统均为密闭系统，根据</w:t>
            </w:r>
            <w:r>
              <w:rPr>
                <w:color w:val="000000"/>
                <w:kern w:val="0"/>
                <w:sz w:val="24"/>
              </w:rPr>
              <w:t>《散装液态石油产品损耗》（GB11085-89）</w:t>
            </w:r>
            <w:r>
              <w:rPr>
                <w:rFonts w:hint="eastAsia"/>
                <w:color w:val="000000"/>
                <w:kern w:val="0"/>
                <w:sz w:val="24"/>
              </w:rPr>
              <w:t>，卧式罐贮存损耗率忽略不计。</w:t>
            </w:r>
          </w:p>
          <w:p w14:paraId="5197A013">
            <w:pPr>
              <w:adjustRightInd w:val="0"/>
              <w:snapToGrid w:val="0"/>
              <w:spacing w:line="360" w:lineRule="auto"/>
              <w:ind w:firstLine="480" w:firstLineChars="200"/>
              <w:rPr>
                <w:rFonts w:hint="eastAsia"/>
                <w:color w:val="000000"/>
                <w:kern w:val="0"/>
                <w:sz w:val="24"/>
              </w:rPr>
            </w:pPr>
            <w:r>
              <w:rPr>
                <w:rFonts w:hint="eastAsia"/>
                <w:color w:val="000000"/>
                <w:kern w:val="0"/>
                <w:sz w:val="24"/>
              </w:rPr>
              <w:t>①柴油油气</w:t>
            </w:r>
          </w:p>
          <w:p w14:paraId="18BEA7F4">
            <w:pPr>
              <w:adjustRightInd w:val="0"/>
              <w:snapToGrid w:val="0"/>
              <w:spacing w:line="360" w:lineRule="auto"/>
              <w:ind w:firstLine="480" w:firstLineChars="200"/>
              <w:rPr>
                <w:rFonts w:hint="eastAsia"/>
                <w:color w:val="FF0000"/>
                <w:kern w:val="0"/>
                <w:sz w:val="24"/>
              </w:rPr>
            </w:pPr>
            <w:r>
              <w:rPr>
                <w:rFonts w:hint="eastAsia"/>
                <w:color w:val="000000"/>
                <w:kern w:val="0"/>
                <w:sz w:val="24"/>
              </w:rPr>
              <w:t>本项目年销售柴油量1080t。根据</w:t>
            </w:r>
            <w:r>
              <w:rPr>
                <w:color w:val="000000"/>
                <w:kern w:val="0"/>
                <w:sz w:val="24"/>
              </w:rPr>
              <w:t>《散装液态石油产品损耗》（GB11085-89）</w:t>
            </w:r>
            <w:r>
              <w:rPr>
                <w:rFonts w:hint="eastAsia"/>
                <w:color w:val="000000"/>
                <w:kern w:val="0"/>
                <w:sz w:val="24"/>
              </w:rPr>
              <w:t>，A类地区的柴油卸油时会产生0.05%的油气；由于柴油的蒸汽压太低，约为汽油蒸汽压的0.0075倍，因此油罐呼吸排放其蒸发量不予考虑，柴油呼吸损耗产生的油气直接由阻火器（起呼吸阀作用，并同时能阻燃、阻火）排放。另外汽车加油过程中因加油箱为敞开式，会向外逸散油气，当加油流速较快时会有油气产生，则柴油油气损耗量结果见表4-1。</w:t>
            </w:r>
          </w:p>
          <w:p w14:paraId="6D56D4D7">
            <w:pPr>
              <w:pStyle w:val="68"/>
              <w:spacing w:line="240" w:lineRule="auto"/>
              <w:rPr>
                <w:rFonts w:hint="eastAsia" w:ascii="黑体" w:hAnsi="黑体" w:eastAsia="黑体" w:cs="黑体"/>
                <w:b w:val="0"/>
                <w:bCs w:val="0"/>
                <w:color w:val="000000"/>
                <w:lang w:val="zh-CN"/>
              </w:rPr>
            </w:pPr>
            <w:r>
              <w:rPr>
                <w:rFonts w:hint="eastAsia" w:ascii="黑体" w:hAnsi="黑体" w:eastAsia="黑体" w:cs="黑体"/>
                <w:b w:val="0"/>
                <w:bCs w:val="0"/>
                <w:color w:val="000000"/>
                <w:lang w:val="zh-CN"/>
              </w:rPr>
              <w:t>表4-</w:t>
            </w:r>
            <w:r>
              <w:rPr>
                <w:rFonts w:hint="eastAsia" w:ascii="黑体" w:hAnsi="黑体" w:eastAsia="黑体" w:cs="黑体"/>
                <w:b w:val="0"/>
                <w:bCs w:val="0"/>
                <w:color w:val="000000"/>
              </w:rPr>
              <w:t>1</w:t>
            </w:r>
            <w:r>
              <w:rPr>
                <w:rFonts w:hint="eastAsia" w:ascii="黑体" w:hAnsi="黑体" w:eastAsia="黑体" w:cs="黑体"/>
                <w:b w:val="0"/>
                <w:bCs w:val="0"/>
                <w:color w:val="000000"/>
                <w:lang w:val="zh-CN"/>
              </w:rPr>
              <w:t xml:space="preserve">  柴油油气损耗量</w:t>
            </w:r>
          </w:p>
          <w:tbl>
            <w:tblPr>
              <w:tblStyle w:val="23"/>
              <w:tblW w:w="499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031"/>
              <w:gridCol w:w="2525"/>
              <w:gridCol w:w="2526"/>
            </w:tblGrid>
            <w:tr w14:paraId="52B79E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50" w:hRule="atLeast"/>
                <w:jc w:val="center"/>
              </w:trPr>
              <w:tc>
                <w:tcPr>
                  <w:tcW w:w="1875" w:type="pct"/>
                  <w:tcBorders>
                    <w:tl2br w:val="single" w:color="000000" w:sz="2" w:space="0"/>
                  </w:tcBorders>
                  <w:vAlign w:val="center"/>
                </w:tcPr>
                <w:p w14:paraId="2E3E9383">
                  <w:pPr>
                    <w:widowControl/>
                    <w:adjustRightInd w:val="0"/>
                    <w:jc w:val="right"/>
                    <w:rPr>
                      <w:color w:val="000000"/>
                      <w:kern w:val="0"/>
                      <w:szCs w:val="21"/>
                    </w:rPr>
                  </w:pPr>
                  <w:r>
                    <w:rPr>
                      <w:color w:val="000000"/>
                      <w:kern w:val="0"/>
                      <w:szCs w:val="21"/>
                    </w:rPr>
                    <w:t>项目</w:t>
                  </w:r>
                </w:p>
                <w:p w14:paraId="51D50279">
                  <w:pPr>
                    <w:widowControl/>
                    <w:adjustRightInd w:val="0"/>
                    <w:rPr>
                      <w:color w:val="000000"/>
                      <w:kern w:val="0"/>
                      <w:szCs w:val="21"/>
                    </w:rPr>
                  </w:pPr>
                  <w:r>
                    <w:rPr>
                      <w:color w:val="000000"/>
                      <w:kern w:val="0"/>
                      <w:szCs w:val="21"/>
                    </w:rPr>
                    <w:t>损耗类型</w:t>
                  </w:r>
                </w:p>
              </w:tc>
              <w:tc>
                <w:tcPr>
                  <w:tcW w:w="1562" w:type="pct"/>
                  <w:vAlign w:val="center"/>
                </w:tcPr>
                <w:p w14:paraId="6B0FD697">
                  <w:pPr>
                    <w:adjustRightInd w:val="0"/>
                    <w:jc w:val="center"/>
                    <w:rPr>
                      <w:color w:val="000000"/>
                      <w:kern w:val="0"/>
                      <w:szCs w:val="21"/>
                    </w:rPr>
                  </w:pPr>
                  <w:r>
                    <w:rPr>
                      <w:color w:val="000000"/>
                      <w:kern w:val="0"/>
                      <w:szCs w:val="21"/>
                    </w:rPr>
                    <w:t>损耗率</w:t>
                  </w:r>
                </w:p>
                <w:p w14:paraId="51A6E980">
                  <w:pPr>
                    <w:adjustRightInd w:val="0"/>
                    <w:jc w:val="center"/>
                    <w:rPr>
                      <w:color w:val="000000"/>
                      <w:kern w:val="0"/>
                      <w:szCs w:val="21"/>
                    </w:rPr>
                  </w:pPr>
                  <w:r>
                    <w:rPr>
                      <w:color w:val="000000"/>
                      <w:kern w:val="0"/>
                      <w:szCs w:val="21"/>
                    </w:rPr>
                    <w:t>（%）</w:t>
                  </w:r>
                </w:p>
              </w:tc>
              <w:tc>
                <w:tcPr>
                  <w:tcW w:w="1562" w:type="pct"/>
                  <w:vAlign w:val="center"/>
                </w:tcPr>
                <w:p w14:paraId="6363E944">
                  <w:pPr>
                    <w:adjustRightInd w:val="0"/>
                    <w:jc w:val="center"/>
                    <w:rPr>
                      <w:color w:val="000000"/>
                      <w:kern w:val="0"/>
                      <w:szCs w:val="21"/>
                    </w:rPr>
                  </w:pPr>
                  <w:r>
                    <w:rPr>
                      <w:color w:val="000000"/>
                      <w:kern w:val="0"/>
                      <w:szCs w:val="21"/>
                    </w:rPr>
                    <w:t>损耗量</w:t>
                  </w:r>
                </w:p>
                <w:p w14:paraId="173817CD">
                  <w:pPr>
                    <w:adjustRightInd w:val="0"/>
                    <w:jc w:val="center"/>
                    <w:rPr>
                      <w:color w:val="000000"/>
                      <w:kern w:val="0"/>
                      <w:szCs w:val="21"/>
                    </w:rPr>
                  </w:pPr>
                  <w:r>
                    <w:rPr>
                      <w:color w:val="000000"/>
                      <w:kern w:val="0"/>
                      <w:szCs w:val="21"/>
                    </w:rPr>
                    <w:t>（t/a）</w:t>
                  </w:r>
                </w:p>
              </w:tc>
            </w:tr>
            <w:tr w14:paraId="023F74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18" w:hRule="atLeast"/>
                <w:jc w:val="center"/>
              </w:trPr>
              <w:tc>
                <w:tcPr>
                  <w:tcW w:w="1875" w:type="pct"/>
                  <w:vAlign w:val="center"/>
                </w:tcPr>
                <w:p w14:paraId="269C1CF2">
                  <w:pPr>
                    <w:widowControl/>
                    <w:adjustRightInd w:val="0"/>
                    <w:jc w:val="center"/>
                    <w:rPr>
                      <w:color w:val="000000"/>
                      <w:kern w:val="0"/>
                      <w:szCs w:val="21"/>
                    </w:rPr>
                  </w:pPr>
                  <w:r>
                    <w:rPr>
                      <w:color w:val="000000"/>
                      <w:kern w:val="0"/>
                      <w:szCs w:val="21"/>
                    </w:rPr>
                    <w:t>卸油损耗</w:t>
                  </w:r>
                </w:p>
              </w:tc>
              <w:tc>
                <w:tcPr>
                  <w:tcW w:w="1562" w:type="pct"/>
                  <w:vAlign w:val="center"/>
                </w:tcPr>
                <w:p w14:paraId="379B515E">
                  <w:pPr>
                    <w:widowControl/>
                    <w:adjustRightInd w:val="0"/>
                    <w:jc w:val="center"/>
                    <w:rPr>
                      <w:color w:val="000000"/>
                      <w:kern w:val="0"/>
                      <w:szCs w:val="21"/>
                    </w:rPr>
                  </w:pPr>
                  <w:r>
                    <w:rPr>
                      <w:color w:val="000000"/>
                      <w:kern w:val="0"/>
                      <w:szCs w:val="21"/>
                    </w:rPr>
                    <w:t>0.05</w:t>
                  </w:r>
                </w:p>
              </w:tc>
              <w:tc>
                <w:tcPr>
                  <w:tcW w:w="1562" w:type="pct"/>
                  <w:vAlign w:val="center"/>
                </w:tcPr>
                <w:p w14:paraId="09E728A1">
                  <w:pPr>
                    <w:widowControl/>
                    <w:adjustRightInd w:val="0"/>
                    <w:jc w:val="center"/>
                    <w:rPr>
                      <w:color w:val="000000"/>
                      <w:kern w:val="0"/>
                      <w:szCs w:val="21"/>
                    </w:rPr>
                  </w:pPr>
                  <w:r>
                    <w:rPr>
                      <w:rFonts w:hint="eastAsia"/>
                      <w:color w:val="000000"/>
                      <w:kern w:val="0"/>
                      <w:szCs w:val="21"/>
                    </w:rPr>
                    <w:t>0.54</w:t>
                  </w:r>
                </w:p>
              </w:tc>
            </w:tr>
            <w:tr w14:paraId="541EEA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94" w:hRule="atLeast"/>
                <w:jc w:val="center"/>
              </w:trPr>
              <w:tc>
                <w:tcPr>
                  <w:tcW w:w="1875" w:type="pct"/>
                  <w:vAlign w:val="center"/>
                </w:tcPr>
                <w:p w14:paraId="63BA2994">
                  <w:pPr>
                    <w:widowControl/>
                    <w:adjustRightInd w:val="0"/>
                    <w:jc w:val="center"/>
                    <w:rPr>
                      <w:color w:val="000000"/>
                      <w:kern w:val="0"/>
                      <w:szCs w:val="21"/>
                    </w:rPr>
                  </w:pPr>
                  <w:r>
                    <w:rPr>
                      <w:color w:val="000000"/>
                      <w:kern w:val="0"/>
                      <w:szCs w:val="21"/>
                    </w:rPr>
                    <w:t>加油损耗</w:t>
                  </w:r>
                </w:p>
              </w:tc>
              <w:tc>
                <w:tcPr>
                  <w:tcW w:w="1562" w:type="pct"/>
                  <w:vAlign w:val="center"/>
                </w:tcPr>
                <w:p w14:paraId="5C441518">
                  <w:pPr>
                    <w:widowControl/>
                    <w:adjustRightInd w:val="0"/>
                    <w:jc w:val="center"/>
                    <w:rPr>
                      <w:color w:val="000000"/>
                      <w:kern w:val="0"/>
                      <w:szCs w:val="21"/>
                    </w:rPr>
                  </w:pPr>
                  <w:r>
                    <w:rPr>
                      <w:color w:val="000000"/>
                      <w:kern w:val="0"/>
                      <w:szCs w:val="21"/>
                    </w:rPr>
                    <w:t>0.08</w:t>
                  </w:r>
                </w:p>
              </w:tc>
              <w:tc>
                <w:tcPr>
                  <w:tcW w:w="1562" w:type="pct"/>
                  <w:vAlign w:val="center"/>
                </w:tcPr>
                <w:p w14:paraId="1571CA99">
                  <w:pPr>
                    <w:widowControl/>
                    <w:adjustRightInd w:val="0"/>
                    <w:jc w:val="center"/>
                    <w:rPr>
                      <w:color w:val="000000"/>
                      <w:kern w:val="0"/>
                      <w:szCs w:val="21"/>
                    </w:rPr>
                  </w:pPr>
                  <w:r>
                    <w:rPr>
                      <w:rFonts w:hint="eastAsia"/>
                      <w:color w:val="000000"/>
                      <w:kern w:val="0"/>
                      <w:szCs w:val="21"/>
                    </w:rPr>
                    <w:t>0.864</w:t>
                  </w:r>
                </w:p>
              </w:tc>
            </w:tr>
            <w:tr w14:paraId="042EB6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42" w:hRule="atLeast"/>
                <w:jc w:val="center"/>
              </w:trPr>
              <w:tc>
                <w:tcPr>
                  <w:tcW w:w="1875" w:type="pct"/>
                  <w:vAlign w:val="center"/>
                </w:tcPr>
                <w:p w14:paraId="1227B1BF">
                  <w:pPr>
                    <w:widowControl/>
                    <w:adjustRightInd w:val="0"/>
                    <w:jc w:val="center"/>
                    <w:rPr>
                      <w:color w:val="000000"/>
                      <w:kern w:val="0"/>
                      <w:szCs w:val="21"/>
                    </w:rPr>
                  </w:pPr>
                  <w:r>
                    <w:rPr>
                      <w:color w:val="000000"/>
                      <w:kern w:val="0"/>
                      <w:szCs w:val="21"/>
                    </w:rPr>
                    <w:t>合计（损耗量）</w:t>
                  </w:r>
                </w:p>
              </w:tc>
              <w:tc>
                <w:tcPr>
                  <w:tcW w:w="1562" w:type="pct"/>
                  <w:vAlign w:val="center"/>
                </w:tcPr>
                <w:p w14:paraId="0517A3CA">
                  <w:pPr>
                    <w:widowControl/>
                    <w:adjustRightInd w:val="0"/>
                    <w:jc w:val="center"/>
                    <w:rPr>
                      <w:color w:val="000000"/>
                      <w:kern w:val="0"/>
                      <w:szCs w:val="21"/>
                    </w:rPr>
                  </w:pPr>
                  <w:r>
                    <w:rPr>
                      <w:color w:val="000000"/>
                      <w:kern w:val="0"/>
                      <w:szCs w:val="21"/>
                    </w:rPr>
                    <w:t>/</w:t>
                  </w:r>
                </w:p>
              </w:tc>
              <w:tc>
                <w:tcPr>
                  <w:tcW w:w="1562" w:type="pct"/>
                  <w:vAlign w:val="center"/>
                </w:tcPr>
                <w:p w14:paraId="70418315">
                  <w:pPr>
                    <w:widowControl/>
                    <w:adjustRightInd w:val="0"/>
                    <w:jc w:val="center"/>
                    <w:rPr>
                      <w:color w:val="000000"/>
                      <w:kern w:val="0"/>
                      <w:szCs w:val="21"/>
                    </w:rPr>
                  </w:pPr>
                  <w:r>
                    <w:rPr>
                      <w:rFonts w:hint="eastAsia"/>
                      <w:color w:val="000000"/>
                      <w:kern w:val="0"/>
                      <w:szCs w:val="21"/>
                    </w:rPr>
                    <w:t>1.404</w:t>
                  </w:r>
                </w:p>
              </w:tc>
            </w:tr>
            <w:tr w14:paraId="681F50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42" w:hRule="atLeast"/>
                <w:jc w:val="center"/>
              </w:trPr>
              <w:tc>
                <w:tcPr>
                  <w:tcW w:w="5000" w:type="pct"/>
                  <w:gridSpan w:val="3"/>
                  <w:vAlign w:val="center"/>
                </w:tcPr>
                <w:p w14:paraId="3A55B7B9">
                  <w:pPr>
                    <w:widowControl/>
                    <w:adjustRightInd w:val="0"/>
                    <w:rPr>
                      <w:color w:val="000000"/>
                      <w:kern w:val="0"/>
                      <w:szCs w:val="21"/>
                    </w:rPr>
                  </w:pPr>
                  <w:r>
                    <w:rPr>
                      <w:color w:val="000000"/>
                      <w:kern w:val="0"/>
                      <w:szCs w:val="21"/>
                    </w:rPr>
                    <w:t>备注：卧式罐贮存损耗率可以忽略不计。</w:t>
                  </w:r>
                </w:p>
              </w:tc>
            </w:tr>
          </w:tbl>
          <w:p w14:paraId="59EB132B">
            <w:pPr>
              <w:adjustRightInd w:val="0"/>
              <w:snapToGrid w:val="0"/>
              <w:spacing w:line="360" w:lineRule="auto"/>
              <w:ind w:firstLine="480" w:firstLineChars="200"/>
              <w:rPr>
                <w:color w:val="000000"/>
                <w:kern w:val="0"/>
                <w:sz w:val="24"/>
              </w:rPr>
            </w:pPr>
            <w:r>
              <w:rPr>
                <w:color w:val="000000"/>
                <w:kern w:val="0"/>
                <w:sz w:val="24"/>
              </w:rPr>
              <w:t>由表</w:t>
            </w:r>
            <w:r>
              <w:rPr>
                <w:rFonts w:hint="eastAsia"/>
                <w:color w:val="000000"/>
                <w:kern w:val="0"/>
                <w:sz w:val="24"/>
              </w:rPr>
              <w:t>4-2</w:t>
            </w:r>
            <w:r>
              <w:rPr>
                <w:color w:val="000000"/>
                <w:kern w:val="0"/>
                <w:sz w:val="24"/>
              </w:rPr>
              <w:t>可知，拟建项目运营过程中柴油损耗量为</w:t>
            </w:r>
            <w:r>
              <w:rPr>
                <w:rFonts w:hint="eastAsia"/>
                <w:color w:val="000000"/>
                <w:kern w:val="0"/>
                <w:sz w:val="24"/>
              </w:rPr>
              <w:t>1.404</w:t>
            </w:r>
            <w:r>
              <w:rPr>
                <w:color w:val="000000"/>
                <w:kern w:val="0"/>
                <w:sz w:val="24"/>
              </w:rPr>
              <w:t>t/a。</w:t>
            </w:r>
          </w:p>
          <w:p w14:paraId="4C862FEE">
            <w:pPr>
              <w:adjustRightInd w:val="0"/>
              <w:snapToGrid w:val="0"/>
              <w:spacing w:line="360" w:lineRule="auto"/>
              <w:ind w:firstLine="480" w:firstLineChars="200"/>
              <w:rPr>
                <w:rFonts w:hint="eastAsia"/>
                <w:color w:val="000000"/>
                <w:kern w:val="0"/>
                <w:sz w:val="24"/>
              </w:rPr>
            </w:pPr>
            <w:r>
              <w:rPr>
                <w:rFonts w:hint="eastAsia"/>
                <w:color w:val="000000"/>
                <w:kern w:val="0"/>
                <w:sz w:val="24"/>
              </w:rPr>
              <w:t>②汽油油气</w:t>
            </w:r>
          </w:p>
          <w:p w14:paraId="257A0FEE">
            <w:pPr>
              <w:adjustRightInd w:val="0"/>
              <w:snapToGrid w:val="0"/>
              <w:spacing w:line="360" w:lineRule="auto"/>
              <w:ind w:firstLine="480" w:firstLineChars="200"/>
              <w:rPr>
                <w:rFonts w:hint="eastAsia"/>
                <w:color w:val="000000"/>
                <w:kern w:val="0"/>
                <w:sz w:val="24"/>
              </w:rPr>
            </w:pPr>
            <w:r>
              <w:rPr>
                <w:rFonts w:hint="eastAsia"/>
                <w:color w:val="000000"/>
                <w:kern w:val="0"/>
                <w:sz w:val="24"/>
              </w:rPr>
              <w:t>根据项目设计方案，本项目针对汽油设置有卸油油气回收系统（即一次油气回收系统）装置，同时安装</w:t>
            </w:r>
            <w:r>
              <w:rPr>
                <w:color w:val="000000"/>
                <w:kern w:val="0"/>
                <w:sz w:val="24"/>
              </w:rPr>
              <w:t>分散式加油油气回收系统（即二次油气回收系统）</w:t>
            </w:r>
            <w:r>
              <w:rPr>
                <w:rFonts w:hint="eastAsia"/>
                <w:color w:val="000000"/>
                <w:kern w:val="0"/>
                <w:sz w:val="24"/>
              </w:rPr>
              <w:t>，预留三次油气回收系统（</w:t>
            </w:r>
            <w:r>
              <w:rPr>
                <w:color w:val="000000"/>
                <w:kern w:val="0"/>
                <w:sz w:val="24"/>
              </w:rPr>
              <w:t>即</w:t>
            </w:r>
            <w:r>
              <w:rPr>
                <w:rFonts w:hint="eastAsia"/>
                <w:color w:val="000000"/>
                <w:kern w:val="0"/>
                <w:sz w:val="24"/>
              </w:rPr>
              <w:t>油气排放处理装置）。</w:t>
            </w:r>
          </w:p>
          <w:p w14:paraId="0DBF1137">
            <w:pPr>
              <w:widowControl/>
              <w:adjustRightInd w:val="0"/>
              <w:snapToGrid w:val="0"/>
              <w:spacing w:line="360" w:lineRule="auto"/>
              <w:ind w:firstLine="480" w:firstLineChars="200"/>
              <w:rPr>
                <w:color w:val="000000"/>
                <w:kern w:val="0"/>
                <w:sz w:val="24"/>
              </w:rPr>
            </w:pPr>
            <w:r>
              <w:rPr>
                <w:color w:val="000000"/>
                <w:kern w:val="0"/>
                <w:sz w:val="24"/>
              </w:rPr>
              <w:t>卸油油气回收系统：将油灌车向油罐卸油产生的油气密闭回收至油罐车内运往油库处理，为平衡油罐车和</w:t>
            </w:r>
            <w:r>
              <w:rPr>
                <w:rFonts w:hint="eastAsia"/>
                <w:color w:val="000000"/>
                <w:kern w:val="0"/>
                <w:sz w:val="24"/>
              </w:rPr>
              <w:t>埋地</w:t>
            </w:r>
            <w:r>
              <w:rPr>
                <w:color w:val="000000"/>
                <w:kern w:val="0"/>
                <w:sz w:val="24"/>
              </w:rPr>
              <w:t>油罐之间的压强，会有少部分油气经通气立管排放。卸油油气回收系统回收效率95%，余下5%通过通气立管排放。</w:t>
            </w:r>
          </w:p>
          <w:p w14:paraId="2806E789">
            <w:pPr>
              <w:widowControl/>
              <w:adjustRightInd w:val="0"/>
              <w:snapToGrid w:val="0"/>
              <w:spacing w:line="360" w:lineRule="auto"/>
              <w:ind w:firstLine="480" w:firstLineChars="200"/>
              <w:rPr>
                <w:color w:val="000000"/>
                <w:kern w:val="0"/>
                <w:sz w:val="24"/>
              </w:rPr>
            </w:pPr>
            <w:r>
              <w:rPr>
                <w:color w:val="000000"/>
                <w:kern w:val="0"/>
                <w:sz w:val="24"/>
              </w:rPr>
              <w:t>分散式加油油气回收系统：将加油车辆油箱上空产生的油气通过真空辅助回收系统按气液比1.2:1的比例回收至油罐内，少部分油气通过加油车辆油箱接口处逸散至大气环境中，约占全部油气的10%。同时，回收的油气需平衡油罐压强，油罐内油气平衡过程中，少部分油气通过</w:t>
            </w:r>
            <w:r>
              <w:rPr>
                <w:rFonts w:hint="eastAsia"/>
                <w:color w:val="000000"/>
                <w:kern w:val="0"/>
                <w:sz w:val="24"/>
              </w:rPr>
              <w:t>通气立管</w:t>
            </w:r>
            <w:r>
              <w:rPr>
                <w:color w:val="000000"/>
                <w:kern w:val="0"/>
                <w:sz w:val="24"/>
              </w:rPr>
              <w:t>外排。加油油气回收系统回收效率为90%，余下10%通过通气立管排放。</w:t>
            </w:r>
          </w:p>
          <w:p w14:paraId="52911E99">
            <w:pPr>
              <w:widowControl/>
              <w:adjustRightInd w:val="0"/>
              <w:snapToGrid w:val="0"/>
              <w:spacing w:line="360" w:lineRule="auto"/>
              <w:ind w:firstLine="480" w:firstLineChars="200"/>
              <w:rPr>
                <w:color w:val="000000"/>
                <w:kern w:val="0"/>
                <w:sz w:val="24"/>
              </w:rPr>
            </w:pPr>
            <w:r>
              <w:rPr>
                <w:color w:val="000000"/>
                <w:kern w:val="0"/>
                <w:sz w:val="24"/>
              </w:rPr>
              <w:t>拟建项目预计年销售汽油量</w:t>
            </w:r>
            <w:r>
              <w:rPr>
                <w:rFonts w:hint="eastAsia"/>
                <w:color w:val="000000"/>
                <w:kern w:val="0"/>
                <w:sz w:val="24"/>
              </w:rPr>
              <w:t>3240</w:t>
            </w:r>
            <w:r>
              <w:rPr>
                <w:color w:val="000000"/>
                <w:kern w:val="0"/>
                <w:sz w:val="24"/>
              </w:rPr>
              <w:t>t，根据《散装液态石油产品损耗》（GB11085-89）中关于四川地区油气损耗率，拟建项目输转油品和加油过程的汽油油气损耗量、回收量、排放量情况见表</w:t>
            </w:r>
            <w:r>
              <w:rPr>
                <w:rFonts w:hint="eastAsia"/>
                <w:color w:val="000000"/>
                <w:kern w:val="0"/>
                <w:sz w:val="24"/>
              </w:rPr>
              <w:t>4</w:t>
            </w:r>
            <w:r>
              <w:rPr>
                <w:color w:val="000000"/>
                <w:kern w:val="0"/>
                <w:sz w:val="24"/>
              </w:rPr>
              <w:t>-</w:t>
            </w:r>
            <w:r>
              <w:rPr>
                <w:rFonts w:hint="eastAsia"/>
                <w:color w:val="000000"/>
                <w:kern w:val="0"/>
                <w:sz w:val="24"/>
              </w:rPr>
              <w:t>2</w:t>
            </w:r>
            <w:r>
              <w:rPr>
                <w:color w:val="000000"/>
                <w:kern w:val="0"/>
                <w:sz w:val="24"/>
              </w:rPr>
              <w:t>。</w:t>
            </w:r>
          </w:p>
          <w:p w14:paraId="2A8F9645">
            <w:pPr>
              <w:pStyle w:val="68"/>
              <w:spacing w:line="240" w:lineRule="auto"/>
              <w:rPr>
                <w:rFonts w:hint="eastAsia" w:ascii="黑体" w:hAnsi="黑体" w:eastAsia="黑体" w:cs="黑体"/>
                <w:b w:val="0"/>
                <w:bCs w:val="0"/>
                <w:lang w:val="zh-CN"/>
              </w:rPr>
            </w:pPr>
            <w:r>
              <w:rPr>
                <w:rFonts w:hint="eastAsia" w:ascii="黑体" w:hAnsi="黑体" w:eastAsia="黑体" w:cs="黑体"/>
                <w:b w:val="0"/>
                <w:bCs w:val="0"/>
                <w:color w:val="000000"/>
                <w:lang w:val="zh-CN"/>
              </w:rPr>
              <w:t>表4-</w:t>
            </w:r>
            <w:r>
              <w:rPr>
                <w:rFonts w:hint="eastAsia" w:ascii="黑体" w:hAnsi="黑体" w:eastAsia="黑体" w:cs="黑体"/>
                <w:b w:val="0"/>
                <w:bCs w:val="0"/>
                <w:color w:val="000000"/>
              </w:rPr>
              <w:t>2</w:t>
            </w:r>
            <w:r>
              <w:rPr>
                <w:rFonts w:hint="eastAsia" w:ascii="黑体" w:hAnsi="黑体" w:eastAsia="黑体" w:cs="黑体"/>
                <w:b w:val="0"/>
                <w:bCs w:val="0"/>
                <w:color w:val="000000"/>
                <w:lang w:val="zh-CN"/>
              </w:rPr>
              <w:t xml:space="preserve">  汽油油</w:t>
            </w:r>
            <w:r>
              <w:rPr>
                <w:rFonts w:hint="eastAsia" w:ascii="黑体" w:hAnsi="黑体" w:eastAsia="黑体" w:cs="黑体"/>
                <w:b w:val="0"/>
                <w:bCs w:val="0"/>
                <w:lang w:val="zh-CN"/>
              </w:rPr>
              <w:t>气产生量和排放量</w:t>
            </w:r>
          </w:p>
          <w:tbl>
            <w:tblPr>
              <w:tblStyle w:val="23"/>
              <w:tblW w:w="4995"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
            <w:tblGrid>
              <w:gridCol w:w="1149"/>
              <w:gridCol w:w="1154"/>
              <w:gridCol w:w="1153"/>
              <w:gridCol w:w="1153"/>
              <w:gridCol w:w="1157"/>
              <w:gridCol w:w="1151"/>
              <w:gridCol w:w="1166"/>
            </w:tblGrid>
            <w:tr w14:paraId="6ABF07F0">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17" w:hRule="atLeast"/>
                <w:jc w:val="center"/>
              </w:trPr>
              <w:tc>
                <w:tcPr>
                  <w:tcW w:w="711" w:type="pct"/>
                  <w:vMerge w:val="restart"/>
                  <w:vAlign w:val="center"/>
                </w:tcPr>
                <w:p w14:paraId="09B01F68">
                  <w:pPr>
                    <w:widowControl/>
                    <w:adjustRightInd w:val="0"/>
                    <w:jc w:val="center"/>
                    <w:rPr>
                      <w:color w:val="000000"/>
                      <w:kern w:val="0"/>
                      <w:szCs w:val="21"/>
                    </w:rPr>
                  </w:pPr>
                  <w:r>
                    <w:rPr>
                      <w:color w:val="000000"/>
                      <w:kern w:val="0"/>
                      <w:szCs w:val="21"/>
                    </w:rPr>
                    <w:t xml:space="preserve">   项目</w:t>
                  </w:r>
                </w:p>
                <w:p w14:paraId="2998B3EF">
                  <w:pPr>
                    <w:widowControl/>
                    <w:adjustRightInd w:val="0"/>
                    <w:rPr>
                      <w:color w:val="000000"/>
                      <w:kern w:val="0"/>
                      <w:szCs w:val="21"/>
                    </w:rPr>
                  </w:pPr>
                  <w:r>
                    <w:rPr>
                      <w:color w:val="000000"/>
                      <w:kern w:val="0"/>
                      <w:szCs w:val="21"/>
                    </w:rPr>
                    <w:t>类型</w:t>
                  </w:r>
                </w:p>
              </w:tc>
              <w:tc>
                <w:tcPr>
                  <w:tcW w:w="713" w:type="pct"/>
                  <w:vMerge w:val="restart"/>
                  <w:vAlign w:val="center"/>
                </w:tcPr>
                <w:p w14:paraId="0E6CFABE">
                  <w:pPr>
                    <w:widowControl/>
                    <w:adjustRightInd w:val="0"/>
                    <w:jc w:val="center"/>
                    <w:rPr>
                      <w:color w:val="000000"/>
                      <w:kern w:val="0"/>
                      <w:szCs w:val="21"/>
                    </w:rPr>
                  </w:pPr>
                  <w:r>
                    <w:rPr>
                      <w:color w:val="000000"/>
                      <w:kern w:val="0"/>
                      <w:szCs w:val="21"/>
                    </w:rPr>
                    <w:t>损耗率（%）</w:t>
                  </w:r>
                </w:p>
              </w:tc>
              <w:tc>
                <w:tcPr>
                  <w:tcW w:w="713" w:type="pct"/>
                  <w:vMerge w:val="restart"/>
                  <w:vAlign w:val="center"/>
                </w:tcPr>
                <w:p w14:paraId="35C32DAC">
                  <w:pPr>
                    <w:widowControl/>
                    <w:adjustRightInd w:val="0"/>
                    <w:jc w:val="center"/>
                    <w:rPr>
                      <w:color w:val="000000"/>
                      <w:kern w:val="0"/>
                      <w:szCs w:val="21"/>
                    </w:rPr>
                  </w:pPr>
                  <w:r>
                    <w:rPr>
                      <w:color w:val="000000"/>
                      <w:kern w:val="0"/>
                      <w:szCs w:val="21"/>
                    </w:rPr>
                    <w:t>损耗量（t/a）</w:t>
                  </w:r>
                </w:p>
              </w:tc>
              <w:tc>
                <w:tcPr>
                  <w:tcW w:w="713" w:type="pct"/>
                  <w:vMerge w:val="restart"/>
                  <w:vAlign w:val="center"/>
                </w:tcPr>
                <w:p w14:paraId="3F8AD6AA">
                  <w:pPr>
                    <w:widowControl/>
                    <w:adjustRightInd w:val="0"/>
                    <w:jc w:val="center"/>
                    <w:rPr>
                      <w:color w:val="000000"/>
                      <w:kern w:val="0"/>
                      <w:szCs w:val="21"/>
                    </w:rPr>
                  </w:pPr>
                  <w:r>
                    <w:rPr>
                      <w:color w:val="000000"/>
                      <w:kern w:val="0"/>
                      <w:szCs w:val="21"/>
                    </w:rPr>
                    <w:t>回收量（t/a）</w:t>
                  </w:r>
                </w:p>
              </w:tc>
              <w:tc>
                <w:tcPr>
                  <w:tcW w:w="2146" w:type="pct"/>
                  <w:gridSpan w:val="3"/>
                  <w:vAlign w:val="center"/>
                </w:tcPr>
                <w:p w14:paraId="389923F9">
                  <w:pPr>
                    <w:widowControl/>
                    <w:adjustRightInd w:val="0"/>
                    <w:jc w:val="center"/>
                    <w:rPr>
                      <w:color w:val="000000"/>
                      <w:kern w:val="0"/>
                      <w:szCs w:val="21"/>
                    </w:rPr>
                  </w:pPr>
                  <w:r>
                    <w:rPr>
                      <w:color w:val="000000"/>
                      <w:kern w:val="0"/>
                      <w:szCs w:val="21"/>
                    </w:rPr>
                    <w:t>油气排放量</w:t>
                  </w:r>
                </w:p>
              </w:tc>
            </w:tr>
            <w:tr w14:paraId="3A0B609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17" w:hRule="atLeast"/>
                <w:jc w:val="center"/>
              </w:trPr>
              <w:tc>
                <w:tcPr>
                  <w:tcW w:w="711" w:type="pct"/>
                  <w:vMerge w:val="continue"/>
                  <w:vAlign w:val="center"/>
                </w:tcPr>
                <w:p w14:paraId="1999486C">
                  <w:pPr>
                    <w:widowControl/>
                    <w:adjustRightInd w:val="0"/>
                    <w:jc w:val="center"/>
                    <w:rPr>
                      <w:color w:val="000000"/>
                      <w:kern w:val="0"/>
                      <w:szCs w:val="21"/>
                    </w:rPr>
                  </w:pPr>
                </w:p>
              </w:tc>
              <w:tc>
                <w:tcPr>
                  <w:tcW w:w="713" w:type="pct"/>
                  <w:vMerge w:val="continue"/>
                  <w:vAlign w:val="center"/>
                </w:tcPr>
                <w:p w14:paraId="1D08ADA0">
                  <w:pPr>
                    <w:widowControl/>
                    <w:adjustRightInd w:val="0"/>
                    <w:jc w:val="center"/>
                    <w:rPr>
                      <w:color w:val="000000"/>
                      <w:kern w:val="0"/>
                      <w:szCs w:val="21"/>
                    </w:rPr>
                  </w:pPr>
                </w:p>
              </w:tc>
              <w:tc>
                <w:tcPr>
                  <w:tcW w:w="713" w:type="pct"/>
                  <w:vMerge w:val="continue"/>
                  <w:vAlign w:val="center"/>
                </w:tcPr>
                <w:p w14:paraId="47EF24EC">
                  <w:pPr>
                    <w:widowControl/>
                    <w:adjustRightInd w:val="0"/>
                    <w:jc w:val="center"/>
                    <w:rPr>
                      <w:color w:val="000000"/>
                      <w:kern w:val="0"/>
                      <w:szCs w:val="21"/>
                    </w:rPr>
                  </w:pPr>
                </w:p>
              </w:tc>
              <w:tc>
                <w:tcPr>
                  <w:tcW w:w="713" w:type="pct"/>
                  <w:vMerge w:val="continue"/>
                  <w:vAlign w:val="center"/>
                </w:tcPr>
                <w:p w14:paraId="56B070ED">
                  <w:pPr>
                    <w:widowControl/>
                    <w:adjustRightInd w:val="0"/>
                    <w:jc w:val="center"/>
                    <w:rPr>
                      <w:color w:val="000000"/>
                      <w:kern w:val="0"/>
                      <w:szCs w:val="21"/>
                    </w:rPr>
                  </w:pPr>
                </w:p>
              </w:tc>
              <w:tc>
                <w:tcPr>
                  <w:tcW w:w="716" w:type="pct"/>
                  <w:vAlign w:val="center"/>
                </w:tcPr>
                <w:p w14:paraId="5B04B3B0">
                  <w:pPr>
                    <w:widowControl/>
                    <w:adjustRightInd w:val="0"/>
                    <w:jc w:val="center"/>
                    <w:rPr>
                      <w:color w:val="000000"/>
                      <w:kern w:val="0"/>
                      <w:szCs w:val="21"/>
                    </w:rPr>
                  </w:pPr>
                  <w:r>
                    <w:rPr>
                      <w:rFonts w:hint="eastAsia"/>
                      <w:color w:val="000000"/>
                      <w:kern w:val="0"/>
                      <w:szCs w:val="21"/>
                    </w:rPr>
                    <w:t>通气立管</w:t>
                  </w:r>
                  <w:r>
                    <w:rPr>
                      <w:color w:val="000000"/>
                      <w:kern w:val="0"/>
                      <w:szCs w:val="21"/>
                    </w:rPr>
                    <w:t>排放量（t/a）</w:t>
                  </w:r>
                </w:p>
              </w:tc>
              <w:tc>
                <w:tcPr>
                  <w:tcW w:w="712" w:type="pct"/>
                  <w:vAlign w:val="center"/>
                </w:tcPr>
                <w:p w14:paraId="180C4821">
                  <w:pPr>
                    <w:widowControl/>
                    <w:adjustRightInd w:val="0"/>
                    <w:jc w:val="center"/>
                    <w:rPr>
                      <w:color w:val="000000"/>
                      <w:kern w:val="0"/>
                      <w:szCs w:val="21"/>
                    </w:rPr>
                  </w:pPr>
                  <w:r>
                    <w:rPr>
                      <w:rFonts w:hint="eastAsia"/>
                      <w:color w:val="000000"/>
                      <w:kern w:val="0"/>
                      <w:szCs w:val="21"/>
                    </w:rPr>
                    <w:t>无组织排放量</w:t>
                  </w:r>
                  <w:r>
                    <w:rPr>
                      <w:color w:val="000000"/>
                      <w:kern w:val="0"/>
                      <w:szCs w:val="21"/>
                    </w:rPr>
                    <w:t>（t/a）</w:t>
                  </w:r>
                </w:p>
              </w:tc>
              <w:tc>
                <w:tcPr>
                  <w:tcW w:w="717" w:type="pct"/>
                  <w:vAlign w:val="center"/>
                </w:tcPr>
                <w:p w14:paraId="67BD1186">
                  <w:pPr>
                    <w:widowControl/>
                    <w:adjustRightInd w:val="0"/>
                    <w:jc w:val="center"/>
                    <w:rPr>
                      <w:color w:val="000000"/>
                      <w:kern w:val="0"/>
                      <w:szCs w:val="21"/>
                    </w:rPr>
                  </w:pPr>
                  <w:r>
                    <w:rPr>
                      <w:rFonts w:hint="eastAsia"/>
                      <w:color w:val="000000"/>
                      <w:kern w:val="0"/>
                      <w:szCs w:val="21"/>
                    </w:rPr>
                    <w:t>总排放量</w:t>
                  </w:r>
                  <w:r>
                    <w:rPr>
                      <w:color w:val="000000"/>
                      <w:kern w:val="0"/>
                      <w:szCs w:val="21"/>
                    </w:rPr>
                    <w:t>（t/a）</w:t>
                  </w:r>
                </w:p>
              </w:tc>
            </w:tr>
            <w:tr w14:paraId="3AD3EC96">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17" w:hRule="atLeast"/>
                <w:jc w:val="center"/>
              </w:trPr>
              <w:tc>
                <w:tcPr>
                  <w:tcW w:w="711" w:type="pct"/>
                  <w:vAlign w:val="center"/>
                </w:tcPr>
                <w:p w14:paraId="4CAAD237">
                  <w:pPr>
                    <w:widowControl/>
                    <w:adjustRightInd w:val="0"/>
                    <w:jc w:val="center"/>
                    <w:rPr>
                      <w:color w:val="000000"/>
                      <w:kern w:val="0"/>
                      <w:szCs w:val="21"/>
                    </w:rPr>
                  </w:pPr>
                  <w:r>
                    <w:rPr>
                      <w:color w:val="000000"/>
                      <w:kern w:val="0"/>
                      <w:szCs w:val="21"/>
                    </w:rPr>
                    <w:t>卸油损耗</w:t>
                  </w:r>
                </w:p>
              </w:tc>
              <w:tc>
                <w:tcPr>
                  <w:tcW w:w="713" w:type="pct"/>
                  <w:vAlign w:val="center"/>
                </w:tcPr>
                <w:p w14:paraId="00A9B88F">
                  <w:pPr>
                    <w:widowControl/>
                    <w:adjustRightInd w:val="0"/>
                    <w:jc w:val="center"/>
                    <w:rPr>
                      <w:color w:val="000000"/>
                      <w:kern w:val="0"/>
                      <w:szCs w:val="21"/>
                    </w:rPr>
                  </w:pPr>
                  <w:r>
                    <w:rPr>
                      <w:color w:val="000000"/>
                      <w:kern w:val="0"/>
                      <w:szCs w:val="21"/>
                    </w:rPr>
                    <w:t>0.23</w:t>
                  </w:r>
                </w:p>
              </w:tc>
              <w:tc>
                <w:tcPr>
                  <w:tcW w:w="713" w:type="pct"/>
                  <w:vAlign w:val="center"/>
                </w:tcPr>
                <w:p w14:paraId="20FCB736">
                  <w:pPr>
                    <w:widowControl/>
                    <w:adjustRightInd w:val="0"/>
                    <w:jc w:val="center"/>
                    <w:rPr>
                      <w:color w:val="000000"/>
                      <w:kern w:val="0"/>
                      <w:szCs w:val="21"/>
                    </w:rPr>
                  </w:pPr>
                  <w:r>
                    <w:rPr>
                      <w:rFonts w:hint="eastAsia"/>
                      <w:color w:val="000000"/>
                      <w:kern w:val="0"/>
                      <w:szCs w:val="21"/>
                    </w:rPr>
                    <w:t>7.452</w:t>
                  </w:r>
                </w:p>
              </w:tc>
              <w:tc>
                <w:tcPr>
                  <w:tcW w:w="713" w:type="pct"/>
                  <w:vAlign w:val="center"/>
                </w:tcPr>
                <w:p w14:paraId="284820A7">
                  <w:pPr>
                    <w:widowControl/>
                    <w:adjustRightInd w:val="0"/>
                    <w:jc w:val="center"/>
                    <w:rPr>
                      <w:color w:val="000000"/>
                      <w:kern w:val="0"/>
                      <w:szCs w:val="21"/>
                    </w:rPr>
                  </w:pPr>
                  <w:r>
                    <w:rPr>
                      <w:rFonts w:hint="eastAsia"/>
                      <w:color w:val="000000"/>
                      <w:kern w:val="0"/>
                      <w:szCs w:val="21"/>
                    </w:rPr>
                    <w:t>7.079</w:t>
                  </w:r>
                </w:p>
              </w:tc>
              <w:tc>
                <w:tcPr>
                  <w:tcW w:w="716" w:type="pct"/>
                  <w:vAlign w:val="center"/>
                </w:tcPr>
                <w:p w14:paraId="4AEF3A41">
                  <w:pPr>
                    <w:widowControl/>
                    <w:adjustRightInd w:val="0"/>
                    <w:jc w:val="center"/>
                    <w:rPr>
                      <w:color w:val="000000"/>
                      <w:kern w:val="0"/>
                      <w:szCs w:val="21"/>
                    </w:rPr>
                  </w:pPr>
                  <w:r>
                    <w:rPr>
                      <w:rFonts w:hint="eastAsia"/>
                      <w:color w:val="000000"/>
                      <w:kern w:val="0"/>
                      <w:szCs w:val="21"/>
                    </w:rPr>
                    <w:t>0.373</w:t>
                  </w:r>
                </w:p>
              </w:tc>
              <w:tc>
                <w:tcPr>
                  <w:tcW w:w="712" w:type="pct"/>
                  <w:vAlign w:val="center"/>
                </w:tcPr>
                <w:p w14:paraId="592B2E05">
                  <w:pPr>
                    <w:widowControl/>
                    <w:adjustRightInd w:val="0"/>
                    <w:jc w:val="center"/>
                    <w:rPr>
                      <w:color w:val="000000"/>
                      <w:kern w:val="0"/>
                      <w:szCs w:val="21"/>
                    </w:rPr>
                  </w:pPr>
                  <w:r>
                    <w:rPr>
                      <w:rFonts w:hint="eastAsia"/>
                      <w:color w:val="000000"/>
                      <w:kern w:val="0"/>
                      <w:szCs w:val="21"/>
                    </w:rPr>
                    <w:t>/</w:t>
                  </w:r>
                </w:p>
              </w:tc>
              <w:tc>
                <w:tcPr>
                  <w:tcW w:w="717" w:type="pct"/>
                  <w:vAlign w:val="center"/>
                </w:tcPr>
                <w:p w14:paraId="3EC2443D">
                  <w:pPr>
                    <w:widowControl/>
                    <w:adjustRightInd w:val="0"/>
                    <w:jc w:val="center"/>
                    <w:rPr>
                      <w:color w:val="000000"/>
                      <w:kern w:val="0"/>
                      <w:szCs w:val="21"/>
                    </w:rPr>
                  </w:pPr>
                  <w:r>
                    <w:rPr>
                      <w:rFonts w:hint="eastAsia"/>
                      <w:color w:val="000000"/>
                      <w:kern w:val="0"/>
                      <w:szCs w:val="21"/>
                    </w:rPr>
                    <w:t>0.373</w:t>
                  </w:r>
                </w:p>
              </w:tc>
            </w:tr>
            <w:tr w14:paraId="4ECA8B6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17" w:hRule="atLeast"/>
                <w:jc w:val="center"/>
              </w:trPr>
              <w:tc>
                <w:tcPr>
                  <w:tcW w:w="711" w:type="pct"/>
                  <w:vAlign w:val="center"/>
                </w:tcPr>
                <w:p w14:paraId="0919252F">
                  <w:pPr>
                    <w:widowControl/>
                    <w:adjustRightInd w:val="0"/>
                    <w:jc w:val="center"/>
                    <w:rPr>
                      <w:color w:val="000000"/>
                      <w:kern w:val="0"/>
                      <w:szCs w:val="21"/>
                    </w:rPr>
                  </w:pPr>
                  <w:r>
                    <w:rPr>
                      <w:color w:val="000000"/>
                      <w:kern w:val="0"/>
                      <w:szCs w:val="21"/>
                    </w:rPr>
                    <w:t>加油损耗</w:t>
                  </w:r>
                </w:p>
              </w:tc>
              <w:tc>
                <w:tcPr>
                  <w:tcW w:w="713" w:type="pct"/>
                  <w:vAlign w:val="center"/>
                </w:tcPr>
                <w:p w14:paraId="0207B825">
                  <w:pPr>
                    <w:widowControl/>
                    <w:adjustRightInd w:val="0"/>
                    <w:jc w:val="center"/>
                    <w:rPr>
                      <w:color w:val="000000"/>
                      <w:kern w:val="0"/>
                      <w:szCs w:val="21"/>
                    </w:rPr>
                  </w:pPr>
                  <w:r>
                    <w:rPr>
                      <w:color w:val="000000"/>
                      <w:kern w:val="0"/>
                      <w:szCs w:val="21"/>
                    </w:rPr>
                    <w:t>0.29</w:t>
                  </w:r>
                </w:p>
              </w:tc>
              <w:tc>
                <w:tcPr>
                  <w:tcW w:w="713" w:type="pct"/>
                  <w:vAlign w:val="center"/>
                </w:tcPr>
                <w:p w14:paraId="78496F5D">
                  <w:pPr>
                    <w:widowControl/>
                    <w:adjustRightInd w:val="0"/>
                    <w:jc w:val="center"/>
                    <w:rPr>
                      <w:color w:val="000000"/>
                      <w:kern w:val="0"/>
                      <w:szCs w:val="21"/>
                    </w:rPr>
                  </w:pPr>
                  <w:r>
                    <w:rPr>
                      <w:rFonts w:hint="eastAsia"/>
                      <w:color w:val="000000"/>
                      <w:kern w:val="0"/>
                      <w:szCs w:val="21"/>
                    </w:rPr>
                    <w:t>9.396</w:t>
                  </w:r>
                </w:p>
              </w:tc>
              <w:tc>
                <w:tcPr>
                  <w:tcW w:w="713" w:type="pct"/>
                  <w:vAlign w:val="center"/>
                </w:tcPr>
                <w:p w14:paraId="5C2FE820">
                  <w:pPr>
                    <w:widowControl/>
                    <w:adjustRightInd w:val="0"/>
                    <w:jc w:val="center"/>
                    <w:rPr>
                      <w:color w:val="000000"/>
                      <w:kern w:val="0"/>
                      <w:szCs w:val="21"/>
                    </w:rPr>
                  </w:pPr>
                  <w:r>
                    <w:rPr>
                      <w:rFonts w:hint="eastAsia"/>
                      <w:color w:val="000000"/>
                      <w:kern w:val="0"/>
                      <w:szCs w:val="21"/>
                    </w:rPr>
                    <w:t>7.610</w:t>
                  </w:r>
                </w:p>
              </w:tc>
              <w:tc>
                <w:tcPr>
                  <w:tcW w:w="716" w:type="pct"/>
                  <w:vAlign w:val="center"/>
                </w:tcPr>
                <w:p w14:paraId="43A9E322">
                  <w:pPr>
                    <w:widowControl/>
                    <w:adjustRightInd w:val="0"/>
                    <w:jc w:val="center"/>
                    <w:rPr>
                      <w:color w:val="000000"/>
                      <w:kern w:val="0"/>
                      <w:szCs w:val="21"/>
                    </w:rPr>
                  </w:pPr>
                  <w:r>
                    <w:rPr>
                      <w:rFonts w:hint="eastAsia"/>
                      <w:color w:val="000000"/>
                      <w:kern w:val="0"/>
                      <w:szCs w:val="21"/>
                    </w:rPr>
                    <w:t>0.846</w:t>
                  </w:r>
                </w:p>
              </w:tc>
              <w:tc>
                <w:tcPr>
                  <w:tcW w:w="712" w:type="pct"/>
                  <w:vAlign w:val="center"/>
                </w:tcPr>
                <w:p w14:paraId="0377204A">
                  <w:pPr>
                    <w:widowControl/>
                    <w:adjustRightInd w:val="0"/>
                    <w:jc w:val="center"/>
                    <w:rPr>
                      <w:color w:val="000000"/>
                      <w:kern w:val="0"/>
                      <w:szCs w:val="21"/>
                    </w:rPr>
                  </w:pPr>
                  <w:r>
                    <w:rPr>
                      <w:rFonts w:hint="eastAsia"/>
                      <w:color w:val="000000"/>
                      <w:kern w:val="0"/>
                      <w:szCs w:val="21"/>
                    </w:rPr>
                    <w:t>0.940</w:t>
                  </w:r>
                </w:p>
              </w:tc>
              <w:tc>
                <w:tcPr>
                  <w:tcW w:w="717" w:type="pct"/>
                  <w:vAlign w:val="center"/>
                </w:tcPr>
                <w:p w14:paraId="13E5E37D">
                  <w:pPr>
                    <w:widowControl/>
                    <w:adjustRightInd w:val="0"/>
                    <w:jc w:val="center"/>
                    <w:rPr>
                      <w:color w:val="000000"/>
                      <w:kern w:val="0"/>
                      <w:szCs w:val="21"/>
                    </w:rPr>
                  </w:pPr>
                  <w:r>
                    <w:rPr>
                      <w:rFonts w:hint="eastAsia"/>
                      <w:color w:val="000000"/>
                      <w:kern w:val="0"/>
                      <w:szCs w:val="21"/>
                    </w:rPr>
                    <w:t>1.786</w:t>
                  </w:r>
                </w:p>
              </w:tc>
            </w:tr>
            <w:tr w14:paraId="2D3308D6">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17" w:hRule="atLeast"/>
                <w:jc w:val="center"/>
              </w:trPr>
              <w:tc>
                <w:tcPr>
                  <w:tcW w:w="1425" w:type="pct"/>
                  <w:gridSpan w:val="2"/>
                  <w:vAlign w:val="center"/>
                </w:tcPr>
                <w:p w14:paraId="3BB88FC8">
                  <w:pPr>
                    <w:widowControl/>
                    <w:adjustRightInd w:val="0"/>
                    <w:jc w:val="center"/>
                    <w:rPr>
                      <w:color w:val="000000"/>
                      <w:kern w:val="0"/>
                      <w:szCs w:val="21"/>
                    </w:rPr>
                  </w:pPr>
                  <w:r>
                    <w:rPr>
                      <w:color w:val="000000"/>
                      <w:kern w:val="0"/>
                      <w:szCs w:val="21"/>
                    </w:rPr>
                    <w:t>合计</w:t>
                  </w:r>
                </w:p>
              </w:tc>
              <w:tc>
                <w:tcPr>
                  <w:tcW w:w="713" w:type="pct"/>
                  <w:vAlign w:val="center"/>
                </w:tcPr>
                <w:p w14:paraId="1A1085FC">
                  <w:pPr>
                    <w:widowControl/>
                    <w:adjustRightInd w:val="0"/>
                    <w:jc w:val="center"/>
                    <w:rPr>
                      <w:color w:val="000000"/>
                      <w:kern w:val="0"/>
                      <w:szCs w:val="21"/>
                    </w:rPr>
                  </w:pPr>
                  <w:r>
                    <w:rPr>
                      <w:rFonts w:hint="eastAsia"/>
                      <w:color w:val="000000"/>
                      <w:kern w:val="0"/>
                      <w:szCs w:val="21"/>
                    </w:rPr>
                    <w:t>16.848</w:t>
                  </w:r>
                </w:p>
              </w:tc>
              <w:tc>
                <w:tcPr>
                  <w:tcW w:w="713" w:type="pct"/>
                  <w:vAlign w:val="center"/>
                </w:tcPr>
                <w:p w14:paraId="5113229C">
                  <w:pPr>
                    <w:widowControl/>
                    <w:adjustRightInd w:val="0"/>
                    <w:jc w:val="center"/>
                    <w:rPr>
                      <w:color w:val="000000"/>
                      <w:kern w:val="0"/>
                      <w:szCs w:val="21"/>
                    </w:rPr>
                  </w:pPr>
                  <w:r>
                    <w:rPr>
                      <w:rFonts w:hint="eastAsia"/>
                      <w:color w:val="000000"/>
                      <w:kern w:val="0"/>
                      <w:szCs w:val="21"/>
                    </w:rPr>
                    <w:t>14.689</w:t>
                  </w:r>
                </w:p>
              </w:tc>
              <w:tc>
                <w:tcPr>
                  <w:tcW w:w="716" w:type="pct"/>
                  <w:vAlign w:val="center"/>
                </w:tcPr>
                <w:p w14:paraId="7F049CA6">
                  <w:pPr>
                    <w:widowControl/>
                    <w:adjustRightInd w:val="0"/>
                    <w:jc w:val="center"/>
                    <w:rPr>
                      <w:color w:val="000000"/>
                      <w:kern w:val="0"/>
                      <w:szCs w:val="21"/>
                    </w:rPr>
                  </w:pPr>
                  <w:r>
                    <w:rPr>
                      <w:rFonts w:hint="eastAsia"/>
                      <w:color w:val="000000"/>
                      <w:kern w:val="0"/>
                      <w:szCs w:val="21"/>
                    </w:rPr>
                    <w:t>1.219</w:t>
                  </w:r>
                </w:p>
              </w:tc>
              <w:tc>
                <w:tcPr>
                  <w:tcW w:w="712" w:type="pct"/>
                  <w:vAlign w:val="center"/>
                </w:tcPr>
                <w:p w14:paraId="78D0FFEA">
                  <w:pPr>
                    <w:widowControl/>
                    <w:adjustRightInd w:val="0"/>
                    <w:jc w:val="center"/>
                    <w:rPr>
                      <w:color w:val="000000"/>
                      <w:kern w:val="0"/>
                      <w:szCs w:val="21"/>
                    </w:rPr>
                  </w:pPr>
                  <w:r>
                    <w:rPr>
                      <w:rFonts w:hint="eastAsia"/>
                      <w:color w:val="000000"/>
                      <w:kern w:val="0"/>
                      <w:szCs w:val="21"/>
                    </w:rPr>
                    <w:t>0.940</w:t>
                  </w:r>
                </w:p>
              </w:tc>
              <w:tc>
                <w:tcPr>
                  <w:tcW w:w="717" w:type="pct"/>
                  <w:vAlign w:val="center"/>
                </w:tcPr>
                <w:p w14:paraId="2A7ED7E5">
                  <w:pPr>
                    <w:widowControl/>
                    <w:adjustRightInd w:val="0"/>
                    <w:jc w:val="center"/>
                    <w:rPr>
                      <w:color w:val="000000"/>
                      <w:kern w:val="0"/>
                      <w:szCs w:val="21"/>
                    </w:rPr>
                  </w:pPr>
                  <w:r>
                    <w:rPr>
                      <w:rFonts w:hint="eastAsia"/>
                      <w:color w:val="000000"/>
                      <w:kern w:val="0"/>
                      <w:szCs w:val="21"/>
                    </w:rPr>
                    <w:t>2.159</w:t>
                  </w:r>
                </w:p>
              </w:tc>
            </w:tr>
            <w:tr w14:paraId="4ECC495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17" w:hRule="atLeast"/>
                <w:jc w:val="center"/>
              </w:trPr>
              <w:tc>
                <w:tcPr>
                  <w:tcW w:w="5000" w:type="pct"/>
                  <w:gridSpan w:val="7"/>
                  <w:vAlign w:val="center"/>
                </w:tcPr>
                <w:p w14:paraId="4B882077">
                  <w:pPr>
                    <w:widowControl/>
                    <w:adjustRightInd w:val="0"/>
                    <w:jc w:val="left"/>
                    <w:rPr>
                      <w:color w:val="000000"/>
                      <w:kern w:val="0"/>
                      <w:szCs w:val="21"/>
                    </w:rPr>
                  </w:pPr>
                  <w:r>
                    <w:rPr>
                      <w:color w:val="000000"/>
                      <w:kern w:val="0"/>
                      <w:szCs w:val="21"/>
                    </w:rPr>
                    <w:t>备注：卧式罐贮存损耗率可以忽略不计。</w:t>
                  </w:r>
                </w:p>
              </w:tc>
            </w:tr>
          </w:tbl>
          <w:p w14:paraId="1F40100A">
            <w:pPr>
              <w:widowControl/>
              <w:adjustRightInd w:val="0"/>
              <w:snapToGrid w:val="0"/>
              <w:spacing w:line="360" w:lineRule="auto"/>
              <w:ind w:firstLine="480" w:firstLineChars="200"/>
              <w:rPr>
                <w:color w:val="000000"/>
                <w:kern w:val="0"/>
                <w:sz w:val="24"/>
              </w:rPr>
            </w:pPr>
            <w:r>
              <w:rPr>
                <w:color w:val="000000"/>
                <w:kern w:val="0"/>
                <w:sz w:val="24"/>
              </w:rPr>
              <w:t>由上表</w:t>
            </w:r>
            <w:r>
              <w:rPr>
                <w:rFonts w:hint="eastAsia"/>
                <w:color w:val="000000"/>
                <w:kern w:val="0"/>
                <w:sz w:val="24"/>
              </w:rPr>
              <w:t>4-3</w:t>
            </w:r>
            <w:r>
              <w:rPr>
                <w:color w:val="000000"/>
                <w:kern w:val="0"/>
                <w:sz w:val="24"/>
              </w:rPr>
              <w:t>可知，拟建项目汽油油气损耗量为</w:t>
            </w:r>
            <w:r>
              <w:rPr>
                <w:rFonts w:hint="eastAsia"/>
                <w:color w:val="000000"/>
                <w:kern w:val="0"/>
                <w:sz w:val="24"/>
              </w:rPr>
              <w:t>16.848</w:t>
            </w:r>
            <w:r>
              <w:rPr>
                <w:color w:val="000000"/>
                <w:kern w:val="0"/>
                <w:sz w:val="24"/>
              </w:rPr>
              <w:t>t/a。卸油损耗的油气通过卸油油气回收管回收至油罐车内，然后运回油库处理；加油零售损耗的油气通过加油油气回收系统回收至</w:t>
            </w:r>
            <w:r>
              <w:rPr>
                <w:rFonts w:hint="eastAsia"/>
                <w:color w:val="000000"/>
                <w:kern w:val="0"/>
                <w:sz w:val="24"/>
              </w:rPr>
              <w:t>埋地</w:t>
            </w:r>
            <w:r>
              <w:rPr>
                <w:color w:val="000000"/>
                <w:kern w:val="0"/>
                <w:sz w:val="24"/>
              </w:rPr>
              <w:t>油罐内。项目油气经过油气回收系统回收后，拟建项目汽油油气总排放量为</w:t>
            </w:r>
            <w:r>
              <w:rPr>
                <w:rFonts w:hint="eastAsia"/>
                <w:color w:val="000000"/>
                <w:kern w:val="0"/>
                <w:sz w:val="24"/>
              </w:rPr>
              <w:t>2.159</w:t>
            </w:r>
            <w:r>
              <w:rPr>
                <w:color w:val="000000"/>
                <w:kern w:val="0"/>
                <w:sz w:val="24"/>
              </w:rPr>
              <w:t>t/a，其中，</w:t>
            </w:r>
            <w:r>
              <w:rPr>
                <w:rFonts w:hint="eastAsia"/>
                <w:color w:val="000000"/>
                <w:kern w:val="0"/>
                <w:sz w:val="24"/>
              </w:rPr>
              <w:t>通气立管</w:t>
            </w:r>
            <w:r>
              <w:rPr>
                <w:color w:val="000000"/>
                <w:kern w:val="0"/>
                <w:sz w:val="24"/>
              </w:rPr>
              <w:t>排放量约</w:t>
            </w:r>
            <w:r>
              <w:rPr>
                <w:rFonts w:hint="eastAsia"/>
                <w:color w:val="000000"/>
                <w:kern w:val="0"/>
                <w:sz w:val="24"/>
              </w:rPr>
              <w:t>1.219</w:t>
            </w:r>
            <w:r>
              <w:rPr>
                <w:color w:val="000000"/>
                <w:kern w:val="0"/>
                <w:sz w:val="24"/>
              </w:rPr>
              <w:t>/a，无组织排放量为</w:t>
            </w:r>
            <w:r>
              <w:rPr>
                <w:rFonts w:hint="eastAsia"/>
                <w:color w:val="000000"/>
                <w:kern w:val="0"/>
                <w:sz w:val="24"/>
              </w:rPr>
              <w:t>0.940</w:t>
            </w:r>
            <w:r>
              <w:rPr>
                <w:color w:val="000000"/>
                <w:kern w:val="0"/>
                <w:sz w:val="24"/>
              </w:rPr>
              <w:t>/a。</w:t>
            </w:r>
          </w:p>
          <w:p w14:paraId="06290B0A">
            <w:pPr>
              <w:adjustRightInd w:val="0"/>
              <w:snapToGrid w:val="0"/>
              <w:spacing w:line="360" w:lineRule="auto"/>
              <w:ind w:firstLine="480" w:firstLineChars="200"/>
              <w:rPr>
                <w:rFonts w:hint="eastAsia"/>
                <w:color w:val="000000"/>
                <w:kern w:val="0"/>
                <w:sz w:val="24"/>
              </w:rPr>
            </w:pPr>
            <w:r>
              <w:rPr>
                <w:color w:val="000000"/>
                <w:kern w:val="0"/>
                <w:sz w:val="24"/>
              </w:rPr>
              <w:t>综上，拟建项目营运期柴油、汽油油气产生总量为</w:t>
            </w:r>
            <w:r>
              <w:rPr>
                <w:rFonts w:hint="eastAsia"/>
                <w:color w:val="000000"/>
                <w:kern w:val="0"/>
                <w:sz w:val="24"/>
              </w:rPr>
              <w:t>18.252</w:t>
            </w:r>
            <w:r>
              <w:rPr>
                <w:color w:val="000000"/>
                <w:kern w:val="0"/>
                <w:sz w:val="24"/>
              </w:rPr>
              <w:t>t/a，油气总排放量约</w:t>
            </w:r>
            <w:r>
              <w:rPr>
                <w:rFonts w:hint="eastAsia"/>
                <w:color w:val="000000"/>
                <w:kern w:val="0"/>
                <w:sz w:val="24"/>
              </w:rPr>
              <w:t>3.563</w:t>
            </w:r>
            <w:r>
              <w:rPr>
                <w:color w:val="000000"/>
                <w:kern w:val="0"/>
                <w:sz w:val="24"/>
              </w:rPr>
              <w:t>t/a。项目营运期油气排放是连续进行的，按每年365d计，每天按24h计，则排放速率为</w:t>
            </w:r>
            <w:r>
              <w:rPr>
                <w:rFonts w:hint="eastAsia"/>
                <w:color w:val="000000"/>
                <w:kern w:val="0"/>
                <w:sz w:val="24"/>
              </w:rPr>
              <w:t>0.407</w:t>
            </w:r>
            <w:r>
              <w:rPr>
                <w:color w:val="000000"/>
                <w:kern w:val="0"/>
                <w:sz w:val="24"/>
              </w:rPr>
              <w:t>kg/h。</w:t>
            </w:r>
          </w:p>
          <w:p w14:paraId="3517BCDD">
            <w:pPr>
              <w:adjustRightInd w:val="0"/>
              <w:snapToGrid w:val="0"/>
              <w:spacing w:line="360" w:lineRule="auto"/>
              <w:ind w:firstLine="480" w:firstLineChars="200"/>
              <w:rPr>
                <w:rFonts w:hint="eastAsia"/>
                <w:kern w:val="0"/>
                <w:sz w:val="24"/>
              </w:rPr>
            </w:pPr>
            <w:r>
              <w:rPr>
                <w:rFonts w:hint="eastAsia"/>
                <w:kern w:val="0"/>
                <w:sz w:val="24"/>
              </w:rPr>
              <w:t>2）进出站汽车尾气</w:t>
            </w:r>
          </w:p>
          <w:p w14:paraId="31E12B07">
            <w:pPr>
              <w:adjustRightInd w:val="0"/>
              <w:snapToGrid w:val="0"/>
              <w:spacing w:line="360" w:lineRule="auto"/>
              <w:ind w:firstLine="480" w:firstLineChars="200"/>
              <w:rPr>
                <w:bCs/>
                <w:sz w:val="24"/>
              </w:rPr>
            </w:pPr>
            <w:r>
              <w:rPr>
                <w:rFonts w:hint="eastAsia"/>
                <w:kern w:val="0"/>
                <w:sz w:val="24"/>
              </w:rPr>
              <w:t>本项目在营运期间，汽车低速行驶进出加油站，加油时汽车处于停止状态，整个过程前后所排放的汽车尾气量较小，主要污染物为</w:t>
            </w:r>
            <w:r>
              <w:rPr>
                <w:bCs/>
                <w:sz w:val="24"/>
              </w:rPr>
              <w:t>CO、NO</w:t>
            </w:r>
            <w:r>
              <w:rPr>
                <w:bCs/>
                <w:sz w:val="24"/>
                <w:vertAlign w:val="subscript"/>
              </w:rPr>
              <w:t>x</w:t>
            </w:r>
            <w:r>
              <w:rPr>
                <w:bCs/>
                <w:sz w:val="24"/>
              </w:rPr>
              <w:t>、HC等。</w:t>
            </w:r>
          </w:p>
          <w:p w14:paraId="1697834F">
            <w:pPr>
              <w:autoSpaceDE w:val="0"/>
              <w:autoSpaceDN w:val="0"/>
              <w:adjustRightInd w:val="0"/>
              <w:snapToGrid w:val="0"/>
              <w:spacing w:line="360" w:lineRule="auto"/>
              <w:ind w:firstLine="480" w:firstLineChars="200"/>
              <w:rPr>
                <w:kern w:val="0"/>
                <w:sz w:val="24"/>
              </w:rPr>
            </w:pPr>
            <w:r>
              <w:rPr>
                <w:rFonts w:hint="eastAsia"/>
                <w:sz w:val="24"/>
              </w:rPr>
              <w:t>3）</w:t>
            </w:r>
            <w:r>
              <w:rPr>
                <w:kern w:val="0"/>
                <w:sz w:val="24"/>
              </w:rPr>
              <w:t>备用柴油发电机废气</w:t>
            </w:r>
          </w:p>
          <w:p w14:paraId="5A45963A">
            <w:pPr>
              <w:adjustRightInd w:val="0"/>
              <w:snapToGrid w:val="0"/>
              <w:spacing w:line="360" w:lineRule="auto"/>
              <w:ind w:firstLine="480" w:firstLineChars="200"/>
              <w:rPr>
                <w:rFonts w:hint="eastAsia"/>
                <w:kern w:val="0"/>
                <w:sz w:val="24"/>
              </w:rPr>
            </w:pPr>
            <w:r>
              <w:rPr>
                <w:rFonts w:hint="eastAsia"/>
                <w:kern w:val="0"/>
                <w:sz w:val="24"/>
              </w:rPr>
              <w:t>本项目配备1台柴油发电机，置于站房内，仅停电时临时使用。建设单位采用0#柴油作为燃料，主要污染物为烟尘、CO</w:t>
            </w:r>
            <w:r>
              <w:rPr>
                <w:rFonts w:hint="eastAsia"/>
                <w:kern w:val="0"/>
                <w:sz w:val="24"/>
                <w:vertAlign w:val="subscript"/>
              </w:rPr>
              <w:t>2</w:t>
            </w:r>
            <w:r>
              <w:rPr>
                <w:rFonts w:hint="eastAsia"/>
                <w:kern w:val="0"/>
                <w:sz w:val="24"/>
              </w:rPr>
              <w:t>、CO、HC、NOx、SO</w:t>
            </w:r>
            <w:r>
              <w:rPr>
                <w:rFonts w:hint="eastAsia"/>
                <w:kern w:val="0"/>
                <w:sz w:val="24"/>
                <w:vertAlign w:val="subscript"/>
              </w:rPr>
              <w:t>2</w:t>
            </w:r>
            <w:r>
              <w:rPr>
                <w:rFonts w:hint="eastAsia"/>
                <w:kern w:val="0"/>
                <w:sz w:val="24"/>
              </w:rPr>
              <w:t>等。其燃油产生的废气污染物量较少，且项目所在地位于城市建成区，停电概率很小，故发电机使用频率较低，加上项目站区内地势开阔，柴油发电机尾气经自带尾气净化装置处理后排放，对周围环境影响较小。</w:t>
            </w:r>
          </w:p>
          <w:p w14:paraId="2CD70A56">
            <w:pPr>
              <w:adjustRightInd w:val="0"/>
              <w:snapToGrid w:val="0"/>
              <w:spacing w:line="360" w:lineRule="auto"/>
              <w:ind w:firstLine="482" w:firstLineChars="200"/>
              <w:rPr>
                <w:sz w:val="24"/>
                <w:szCs w:val="20"/>
              </w:rPr>
            </w:pPr>
            <w:r>
              <w:rPr>
                <w:rFonts w:hint="eastAsia"/>
                <w:b/>
                <w:sz w:val="24"/>
              </w:rPr>
              <w:t>治理措施：</w:t>
            </w:r>
            <w:r>
              <w:rPr>
                <w:rFonts w:hint="eastAsia"/>
                <w:bCs/>
                <w:sz w:val="24"/>
              </w:rPr>
              <w:t>本项目加油站采用埋地式储油罐，</w:t>
            </w:r>
            <w:r>
              <w:rPr>
                <w:sz w:val="24"/>
                <w:szCs w:val="20"/>
              </w:rPr>
              <w:t>由于该罐密闭型较好，</w:t>
            </w:r>
            <w:r>
              <w:rPr>
                <w:rFonts w:hint="eastAsia"/>
                <w:sz w:val="24"/>
                <w:szCs w:val="20"/>
              </w:rPr>
              <w:t>采用防抱钢带固定油罐的抗浮措施，并且油罐周围回填中性沙和细土，其厚度不宜小于0.9m。</w:t>
            </w:r>
            <w:r>
              <w:rPr>
                <w:sz w:val="24"/>
                <w:szCs w:val="20"/>
              </w:rPr>
              <w:t>因此储油罐罐室内气温比较稳定，受大气环境稳定影响较小，延缓油品变质，油罐小呼吸蒸发损耗较小。另外，本加油站采用自封式加油枪及密闭卸油等方式，可以一定程度上减少非甲烷总烃的排放。</w:t>
            </w:r>
          </w:p>
          <w:p w14:paraId="50BE8BE2">
            <w:pPr>
              <w:adjustRightInd w:val="0"/>
              <w:snapToGrid w:val="0"/>
              <w:spacing w:line="360" w:lineRule="auto"/>
              <w:ind w:firstLine="482" w:firstLineChars="200"/>
              <w:rPr>
                <w:b/>
                <w:bCs/>
                <w:sz w:val="24"/>
                <w:szCs w:val="20"/>
              </w:rPr>
            </w:pPr>
            <w:r>
              <w:rPr>
                <w:b/>
                <w:bCs/>
                <w:sz w:val="24"/>
                <w:szCs w:val="20"/>
              </w:rPr>
              <w:t>卸油油气排放控制：</w:t>
            </w:r>
          </w:p>
          <w:p w14:paraId="5DDC12E1">
            <w:pPr>
              <w:adjustRightInd w:val="0"/>
              <w:snapToGrid w:val="0"/>
              <w:spacing w:line="360" w:lineRule="auto"/>
              <w:ind w:firstLine="480" w:firstLineChars="200"/>
              <w:rPr>
                <w:sz w:val="24"/>
                <w:szCs w:val="20"/>
              </w:rPr>
            </w:pPr>
            <w:r>
              <w:rPr>
                <w:sz w:val="24"/>
                <w:szCs w:val="20"/>
              </w:rPr>
              <w:t>①应采用浸没式卸油方式，卸油管出油口距罐底高度应小于200mm。</w:t>
            </w:r>
          </w:p>
          <w:p w14:paraId="6826C443">
            <w:pPr>
              <w:adjustRightInd w:val="0"/>
              <w:snapToGrid w:val="0"/>
              <w:spacing w:line="360" w:lineRule="auto"/>
              <w:ind w:firstLine="480" w:firstLineChars="200"/>
              <w:rPr>
                <w:color w:val="000000"/>
                <w:sz w:val="24"/>
                <w:szCs w:val="20"/>
              </w:rPr>
            </w:pPr>
            <w:r>
              <w:rPr>
                <w:sz w:val="24"/>
                <w:szCs w:val="20"/>
              </w:rPr>
              <w:t>②卸油和油气回收接口应安装公称直径</w:t>
            </w:r>
            <w:r>
              <w:rPr>
                <w:color w:val="000000"/>
                <w:sz w:val="24"/>
                <w:szCs w:val="20"/>
              </w:rPr>
              <w:t>为100mm的截流阀（或密封式快速接头）和帽盖，现有加油站已采取卸油油气排放控制措施但接口尺寸不符的可采用变径连接。</w:t>
            </w:r>
          </w:p>
          <w:p w14:paraId="0B6F14D5">
            <w:pPr>
              <w:adjustRightInd w:val="0"/>
              <w:snapToGrid w:val="0"/>
              <w:spacing w:line="360" w:lineRule="auto"/>
              <w:ind w:firstLine="480" w:firstLineChars="200"/>
              <w:rPr>
                <w:sz w:val="24"/>
                <w:szCs w:val="20"/>
              </w:rPr>
            </w:pPr>
            <w:r>
              <w:rPr>
                <w:sz w:val="24"/>
                <w:szCs w:val="20"/>
              </w:rPr>
              <w:t>③连接软管应采用公称直径为100mm的密封式快速接头与卸油车连接。</w:t>
            </w:r>
          </w:p>
          <w:p w14:paraId="1022AAE6">
            <w:pPr>
              <w:adjustRightInd w:val="0"/>
              <w:snapToGrid w:val="0"/>
              <w:spacing w:line="360" w:lineRule="auto"/>
              <w:ind w:firstLine="480" w:firstLineChars="200"/>
              <w:rPr>
                <w:sz w:val="24"/>
                <w:szCs w:val="20"/>
              </w:rPr>
            </w:pPr>
            <w:r>
              <w:rPr>
                <w:sz w:val="24"/>
                <w:szCs w:val="20"/>
              </w:rPr>
              <w:t>④所有油气管线排放口应按GB50156的要求设置压力/真空阀，如设有阀门，阀门应保持常开状态；未安装压力/真空阀的汽油排放管应保持常闭状态。</w:t>
            </w:r>
          </w:p>
          <w:p w14:paraId="2DC3A61A">
            <w:pPr>
              <w:adjustRightInd w:val="0"/>
              <w:snapToGrid w:val="0"/>
              <w:spacing w:line="360" w:lineRule="auto"/>
              <w:ind w:firstLine="480" w:firstLineChars="200"/>
              <w:rPr>
                <w:sz w:val="24"/>
                <w:szCs w:val="20"/>
              </w:rPr>
            </w:pPr>
            <w:r>
              <w:rPr>
                <w:sz w:val="24"/>
                <w:szCs w:val="20"/>
              </w:rPr>
              <w:t>⑤连接排气管的地下管线应坡向油罐，坡度不应小于1%，管线公称直径不小于50mm。</w:t>
            </w:r>
          </w:p>
          <w:p w14:paraId="26EBB8DD">
            <w:pPr>
              <w:adjustRightInd w:val="0"/>
              <w:snapToGrid w:val="0"/>
              <w:spacing w:line="360" w:lineRule="auto"/>
              <w:ind w:firstLine="480" w:firstLineChars="200"/>
              <w:rPr>
                <w:rFonts w:hint="eastAsia" w:ascii="宋体" w:hAnsi="宋体" w:cs="宋体"/>
                <w:sz w:val="24"/>
                <w:szCs w:val="20"/>
              </w:rPr>
            </w:pPr>
            <w:r>
              <w:rPr>
                <w:rFonts w:hint="eastAsia" w:ascii="宋体" w:hAnsi="宋体" w:cs="宋体"/>
                <w:sz w:val="24"/>
                <w:szCs w:val="20"/>
              </w:rPr>
              <w:t>⑥卸油时应保证卸油油气回收系统密闭。卸油前卸油软管和油气回收软管应与油品运输汽车罐车和埋地油罐紧密连接，然后开启油气回收管路阀门，再开启卸油管路阀门进行卸油作业。</w:t>
            </w:r>
          </w:p>
          <w:p w14:paraId="375FF3EA">
            <w:pPr>
              <w:adjustRightInd w:val="0"/>
              <w:snapToGrid w:val="0"/>
              <w:spacing w:line="360" w:lineRule="auto"/>
              <w:ind w:firstLine="480" w:firstLineChars="200"/>
              <w:rPr>
                <w:rFonts w:hint="eastAsia" w:ascii="宋体" w:hAnsi="宋体" w:cs="宋体"/>
                <w:sz w:val="24"/>
                <w:szCs w:val="20"/>
              </w:rPr>
            </w:pPr>
            <w:r>
              <w:rPr>
                <w:rFonts w:hint="eastAsia" w:ascii="宋体" w:hAnsi="宋体" w:cs="宋体"/>
                <w:sz w:val="24"/>
                <w:szCs w:val="20"/>
              </w:rPr>
              <w:t>⑦卸油后应先关闭与卸油软管及油气回收软管相关的阀门，再断开卸油软管和油气回收软管。</w:t>
            </w:r>
          </w:p>
          <w:p w14:paraId="26CC666C">
            <w:pPr>
              <w:adjustRightInd w:val="0"/>
              <w:snapToGrid w:val="0"/>
              <w:spacing w:line="360" w:lineRule="auto"/>
              <w:ind w:firstLine="482" w:firstLineChars="200"/>
              <w:rPr>
                <w:b/>
                <w:bCs/>
                <w:sz w:val="24"/>
                <w:szCs w:val="20"/>
              </w:rPr>
            </w:pPr>
            <w:r>
              <w:rPr>
                <w:b/>
                <w:bCs/>
                <w:sz w:val="24"/>
                <w:szCs w:val="20"/>
              </w:rPr>
              <w:t>储油油气排放控制</w:t>
            </w:r>
            <w:r>
              <w:rPr>
                <w:rFonts w:hint="eastAsia"/>
                <w:b/>
                <w:bCs/>
                <w:sz w:val="24"/>
                <w:szCs w:val="20"/>
              </w:rPr>
              <w:t>：</w:t>
            </w:r>
          </w:p>
          <w:p w14:paraId="70320942">
            <w:pPr>
              <w:adjustRightInd w:val="0"/>
              <w:snapToGrid w:val="0"/>
              <w:spacing w:line="360" w:lineRule="auto"/>
              <w:ind w:firstLine="480" w:firstLineChars="200"/>
              <w:rPr>
                <w:sz w:val="24"/>
                <w:szCs w:val="20"/>
              </w:rPr>
            </w:pPr>
            <w:r>
              <w:rPr>
                <w:sz w:val="24"/>
                <w:szCs w:val="20"/>
              </w:rPr>
              <w:t>①所有影响储油油气密闭性的部件，包括油气管线和所连接的法兰、阀门、快接头以及其他相关部件在正常工作状况下应保持密闭，油气泄漏浓度满足本标准油气回收系统密闭点位限值要求。</w:t>
            </w:r>
          </w:p>
          <w:p w14:paraId="48DD5A57">
            <w:pPr>
              <w:adjustRightInd w:val="0"/>
              <w:snapToGrid w:val="0"/>
              <w:spacing w:line="360" w:lineRule="auto"/>
              <w:ind w:firstLine="480" w:firstLineChars="200"/>
              <w:rPr>
                <w:sz w:val="24"/>
                <w:szCs w:val="20"/>
              </w:rPr>
            </w:pPr>
            <w:r>
              <w:rPr>
                <w:sz w:val="24"/>
                <w:szCs w:val="20"/>
              </w:rPr>
              <w:t>②采用红外摄像方式检测油气回收系统密闭点位时，不应有油气泄漏。</w:t>
            </w:r>
          </w:p>
          <w:p w14:paraId="36E6A8DB">
            <w:pPr>
              <w:adjustRightInd w:val="0"/>
              <w:snapToGrid w:val="0"/>
              <w:spacing w:line="360" w:lineRule="auto"/>
              <w:ind w:firstLine="480" w:firstLineChars="200"/>
              <w:rPr>
                <w:sz w:val="24"/>
                <w:szCs w:val="20"/>
              </w:rPr>
            </w:pPr>
            <w:r>
              <w:rPr>
                <w:sz w:val="24"/>
                <w:szCs w:val="20"/>
              </w:rPr>
              <w:t>③</w:t>
            </w:r>
            <w:r>
              <w:rPr>
                <w:rFonts w:hint="eastAsia"/>
                <w:sz w:val="24"/>
                <w:szCs w:val="20"/>
              </w:rPr>
              <w:t>埋地</w:t>
            </w:r>
            <w:r>
              <w:rPr>
                <w:sz w:val="24"/>
                <w:szCs w:val="20"/>
              </w:rPr>
              <w:t>油罐应采用电子式液位计进行汽油密闭测量。</w:t>
            </w:r>
          </w:p>
          <w:p w14:paraId="60DE6EEC">
            <w:pPr>
              <w:adjustRightInd w:val="0"/>
              <w:snapToGrid w:val="0"/>
              <w:spacing w:line="360" w:lineRule="auto"/>
              <w:ind w:firstLine="480" w:firstLineChars="200"/>
              <w:rPr>
                <w:sz w:val="24"/>
                <w:szCs w:val="20"/>
              </w:rPr>
            </w:pPr>
            <w:r>
              <w:rPr>
                <w:sz w:val="24"/>
                <w:szCs w:val="20"/>
              </w:rPr>
              <w:t>④应采用符合GB50156相关规定的溢油控制措施。</w:t>
            </w:r>
          </w:p>
          <w:p w14:paraId="59B9380A">
            <w:pPr>
              <w:adjustRightInd w:val="0"/>
              <w:snapToGrid w:val="0"/>
              <w:spacing w:line="360" w:lineRule="auto"/>
              <w:ind w:firstLine="482" w:firstLineChars="200"/>
              <w:rPr>
                <w:b/>
                <w:bCs/>
                <w:sz w:val="24"/>
                <w:szCs w:val="20"/>
              </w:rPr>
            </w:pPr>
            <w:r>
              <w:rPr>
                <w:b/>
                <w:bCs/>
                <w:sz w:val="24"/>
                <w:szCs w:val="20"/>
              </w:rPr>
              <w:t>加油油气排放控制</w:t>
            </w:r>
            <w:r>
              <w:rPr>
                <w:rFonts w:hint="eastAsia"/>
                <w:b/>
                <w:bCs/>
                <w:sz w:val="24"/>
                <w:szCs w:val="20"/>
              </w:rPr>
              <w:t>：</w:t>
            </w:r>
          </w:p>
          <w:p w14:paraId="2739596D">
            <w:pPr>
              <w:adjustRightInd w:val="0"/>
              <w:snapToGrid w:val="0"/>
              <w:spacing w:line="360" w:lineRule="auto"/>
              <w:ind w:firstLine="480" w:firstLineChars="200"/>
              <w:rPr>
                <w:sz w:val="24"/>
                <w:szCs w:val="20"/>
              </w:rPr>
            </w:pPr>
            <w:r>
              <w:rPr>
                <w:sz w:val="24"/>
                <w:szCs w:val="20"/>
              </w:rPr>
              <w:t>①加油产生的油气应采用真空辅助方式密闭收集。</w:t>
            </w:r>
          </w:p>
          <w:p w14:paraId="25EE24AA">
            <w:pPr>
              <w:adjustRightInd w:val="0"/>
              <w:snapToGrid w:val="0"/>
              <w:spacing w:line="360" w:lineRule="auto"/>
              <w:ind w:firstLine="480" w:firstLineChars="200"/>
              <w:rPr>
                <w:sz w:val="24"/>
                <w:szCs w:val="20"/>
              </w:rPr>
            </w:pPr>
            <w:r>
              <w:rPr>
                <w:sz w:val="24"/>
                <w:szCs w:val="20"/>
              </w:rPr>
              <w:t>②油气回收管线应坡向油罐，坡度不应小于1%，受地形限制无法满足坡度要求的可设置集液器，集液器的凝结液应能密闭回收至低标号的汽油罐中。</w:t>
            </w:r>
          </w:p>
          <w:p w14:paraId="4857AACA">
            <w:pPr>
              <w:adjustRightInd w:val="0"/>
              <w:snapToGrid w:val="0"/>
              <w:spacing w:line="360" w:lineRule="auto"/>
              <w:ind w:firstLine="480" w:firstLineChars="200"/>
              <w:rPr>
                <w:sz w:val="24"/>
                <w:szCs w:val="20"/>
              </w:rPr>
            </w:pPr>
            <w:r>
              <w:rPr>
                <w:sz w:val="24"/>
                <w:szCs w:val="20"/>
              </w:rPr>
              <w:t>③加油软管应配备拉断截止阀，加油时应防止溢油和滴油。</w:t>
            </w:r>
          </w:p>
          <w:p w14:paraId="64C0B35A">
            <w:pPr>
              <w:adjustRightInd w:val="0"/>
              <w:snapToGrid w:val="0"/>
              <w:spacing w:line="360" w:lineRule="auto"/>
              <w:ind w:firstLine="480" w:firstLineChars="200"/>
              <w:rPr>
                <w:sz w:val="24"/>
                <w:szCs w:val="20"/>
              </w:rPr>
            </w:pPr>
            <w:r>
              <w:rPr>
                <w:sz w:val="24"/>
                <w:szCs w:val="20"/>
              </w:rPr>
              <w:t>④当辖区内采用ORVR的轻型汽车达到汽车保有量的20%后，油气回收系统、在线监测系统应兼容GB18352.6要求的轻型车ORVR系统。</w:t>
            </w:r>
          </w:p>
          <w:p w14:paraId="7E8EAA04">
            <w:pPr>
              <w:widowControl/>
              <w:adjustRightInd w:val="0"/>
              <w:snapToGrid w:val="0"/>
              <w:spacing w:line="360" w:lineRule="auto"/>
              <w:ind w:firstLine="480" w:firstLineChars="200"/>
              <w:rPr>
                <w:sz w:val="24"/>
                <w:szCs w:val="20"/>
              </w:rPr>
            </w:pPr>
            <w:r>
              <w:rPr>
                <w:sz w:val="24"/>
                <w:szCs w:val="20"/>
              </w:rPr>
              <w:t>⑤新建、改建、扩建的加油站在油气管线覆土、地面硬化施工之前，应向管线内注入10L汽油并检测液阻。</w:t>
            </w:r>
          </w:p>
          <w:p w14:paraId="7AB4E387">
            <w:pPr>
              <w:adjustRightInd w:val="0"/>
              <w:snapToGrid w:val="0"/>
              <w:spacing w:line="360" w:lineRule="auto"/>
              <w:ind w:firstLine="480" w:firstLineChars="200"/>
              <w:rPr>
                <w:rFonts w:hint="eastAsia"/>
                <w:bCs/>
                <w:sz w:val="24"/>
              </w:rPr>
            </w:pPr>
            <w:r>
              <w:rPr>
                <w:rFonts w:hint="eastAsia"/>
                <w:bCs/>
                <w:sz w:val="24"/>
              </w:rPr>
              <w:t>油气回收系统属于《排污许可证申请和核发技术规范 储油库、加油站》（HJ1118-2020）表F.1中的可行技术。</w:t>
            </w:r>
          </w:p>
          <w:p w14:paraId="33D7B60A">
            <w:pPr>
              <w:spacing w:line="360" w:lineRule="auto"/>
              <w:ind w:firstLine="482" w:firstLineChars="200"/>
              <w:jc w:val="left"/>
              <w:rPr>
                <w:rFonts w:hint="eastAsia"/>
                <w:b/>
                <w:bCs/>
                <w:sz w:val="24"/>
              </w:rPr>
            </w:pPr>
            <w:r>
              <w:rPr>
                <w:rFonts w:hint="eastAsia"/>
                <w:b/>
                <w:bCs/>
                <w:sz w:val="24"/>
              </w:rPr>
              <w:t>（2）废气</w:t>
            </w:r>
            <w:r>
              <w:rPr>
                <w:b/>
                <w:bCs/>
                <w:sz w:val="24"/>
              </w:rPr>
              <w:t>污染物产排情况</w:t>
            </w:r>
          </w:p>
          <w:p w14:paraId="61A68426">
            <w:pPr>
              <w:wordWrap w:val="0"/>
              <w:adjustRightInd w:val="0"/>
              <w:snapToGrid w:val="0"/>
              <w:spacing w:line="360" w:lineRule="auto"/>
              <w:ind w:firstLine="480" w:firstLineChars="200"/>
              <w:rPr>
                <w:color w:val="FF0000"/>
                <w:sz w:val="24"/>
              </w:rPr>
            </w:pPr>
            <w:r>
              <w:rPr>
                <w:rFonts w:hint="eastAsia"/>
                <w:sz w:val="24"/>
              </w:rPr>
              <w:t>拟建项目废气污染物产排污情</w:t>
            </w:r>
            <w:r>
              <w:rPr>
                <w:rFonts w:hint="eastAsia"/>
                <w:color w:val="000000"/>
                <w:sz w:val="24"/>
              </w:rPr>
              <w:t>况详见表4-3。</w:t>
            </w:r>
          </w:p>
          <w:p w14:paraId="076EFF66">
            <w:pPr>
              <w:pStyle w:val="68"/>
              <w:spacing w:line="240" w:lineRule="auto"/>
              <w:rPr>
                <w:rFonts w:hint="eastAsia" w:ascii="黑体" w:hAnsi="黑体" w:eastAsia="黑体" w:cs="黑体"/>
                <w:b w:val="0"/>
                <w:bCs w:val="0"/>
                <w:color w:val="FF0000"/>
                <w:lang w:val="zh-CN"/>
              </w:rPr>
            </w:pPr>
          </w:p>
          <w:p w14:paraId="4A734A8A">
            <w:pPr>
              <w:pStyle w:val="68"/>
              <w:spacing w:line="240" w:lineRule="auto"/>
              <w:rPr>
                <w:rFonts w:hint="eastAsia" w:ascii="黑体" w:hAnsi="黑体" w:eastAsia="黑体" w:cs="黑体"/>
                <w:b w:val="0"/>
                <w:bCs w:val="0"/>
                <w:lang w:val="zh-CN"/>
              </w:rPr>
            </w:pPr>
            <w:r>
              <w:rPr>
                <w:rFonts w:hint="eastAsia" w:ascii="黑体" w:hAnsi="黑体" w:eastAsia="黑体" w:cs="黑体"/>
                <w:b w:val="0"/>
                <w:bCs w:val="0"/>
                <w:color w:val="000000"/>
                <w:lang w:val="zh-CN"/>
              </w:rPr>
              <w:t>表4-3  废气污</w:t>
            </w:r>
            <w:r>
              <w:rPr>
                <w:rFonts w:hint="eastAsia" w:ascii="黑体" w:hAnsi="黑体" w:eastAsia="黑体" w:cs="黑体"/>
                <w:b w:val="0"/>
                <w:bCs w:val="0"/>
                <w:lang w:val="zh-CN"/>
              </w:rPr>
              <w:t>染物产排污情况一览表</w:t>
            </w:r>
          </w:p>
          <w:tbl>
            <w:tblPr>
              <w:tblStyle w:val="23"/>
              <w:tblpPr w:leftFromText="180" w:rightFromText="180" w:vertAnchor="text" w:tblpY="1"/>
              <w:tblOverlap w:val="never"/>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8"/>
              <w:gridCol w:w="622"/>
              <w:gridCol w:w="591"/>
              <w:gridCol w:w="708"/>
              <w:gridCol w:w="460"/>
              <w:gridCol w:w="707"/>
              <w:gridCol w:w="571"/>
              <w:gridCol w:w="723"/>
              <w:gridCol w:w="710"/>
              <w:gridCol w:w="692"/>
              <w:gridCol w:w="723"/>
              <w:gridCol w:w="874"/>
            </w:tblGrid>
            <w:tr w14:paraId="378107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437" w:type="pct"/>
                  <w:vMerge w:val="restart"/>
                  <w:vAlign w:val="center"/>
                </w:tcPr>
                <w:p w14:paraId="139A30DB">
                  <w:pPr>
                    <w:jc w:val="center"/>
                    <w:rPr>
                      <w:color w:val="000000"/>
                      <w:szCs w:val="21"/>
                    </w:rPr>
                  </w:pPr>
                  <w:r>
                    <w:rPr>
                      <w:rFonts w:hint="eastAsia"/>
                      <w:color w:val="000000"/>
                      <w:szCs w:val="21"/>
                    </w:rPr>
                    <w:t>产排污环节</w:t>
                  </w:r>
                </w:p>
              </w:tc>
              <w:tc>
                <w:tcPr>
                  <w:tcW w:w="384" w:type="pct"/>
                  <w:vMerge w:val="restart"/>
                  <w:vAlign w:val="center"/>
                </w:tcPr>
                <w:p w14:paraId="055EAF35">
                  <w:pPr>
                    <w:jc w:val="center"/>
                    <w:rPr>
                      <w:color w:val="000000"/>
                      <w:szCs w:val="21"/>
                    </w:rPr>
                  </w:pPr>
                  <w:r>
                    <w:rPr>
                      <w:rFonts w:hint="eastAsia"/>
                      <w:color w:val="000000"/>
                      <w:szCs w:val="21"/>
                    </w:rPr>
                    <w:t>污染物种类</w:t>
                  </w:r>
                </w:p>
              </w:tc>
              <w:tc>
                <w:tcPr>
                  <w:tcW w:w="365" w:type="pct"/>
                  <w:vMerge w:val="restart"/>
                  <w:vAlign w:val="center"/>
                </w:tcPr>
                <w:p w14:paraId="5A150103">
                  <w:pPr>
                    <w:jc w:val="center"/>
                    <w:rPr>
                      <w:color w:val="000000"/>
                      <w:szCs w:val="21"/>
                    </w:rPr>
                  </w:pPr>
                  <w:r>
                    <w:rPr>
                      <w:rFonts w:hint="eastAsia"/>
                      <w:color w:val="000000"/>
                      <w:szCs w:val="21"/>
                    </w:rPr>
                    <w:t>污染物产生量（t</w:t>
                  </w:r>
                  <w:r>
                    <w:rPr>
                      <w:color w:val="000000"/>
                      <w:szCs w:val="21"/>
                    </w:rPr>
                    <w:t>/a</w:t>
                  </w:r>
                  <w:r>
                    <w:rPr>
                      <w:rFonts w:hint="eastAsia"/>
                      <w:color w:val="000000"/>
                      <w:szCs w:val="21"/>
                    </w:rPr>
                    <w:t>）</w:t>
                  </w:r>
                </w:p>
              </w:tc>
              <w:tc>
                <w:tcPr>
                  <w:tcW w:w="437" w:type="pct"/>
                  <w:vMerge w:val="restart"/>
                  <w:vAlign w:val="center"/>
                </w:tcPr>
                <w:p w14:paraId="1C651138">
                  <w:pPr>
                    <w:jc w:val="center"/>
                    <w:rPr>
                      <w:rFonts w:hint="eastAsia"/>
                      <w:color w:val="000000"/>
                      <w:szCs w:val="21"/>
                    </w:rPr>
                  </w:pPr>
                  <w:r>
                    <w:rPr>
                      <w:rFonts w:hint="eastAsia"/>
                      <w:color w:val="000000"/>
                      <w:szCs w:val="21"/>
                    </w:rPr>
                    <w:t>污染物产生速率（kg/h）</w:t>
                  </w:r>
                </w:p>
              </w:tc>
              <w:tc>
                <w:tcPr>
                  <w:tcW w:w="284" w:type="pct"/>
                  <w:vMerge w:val="restart"/>
                  <w:vAlign w:val="center"/>
                </w:tcPr>
                <w:p w14:paraId="52819F5D">
                  <w:pPr>
                    <w:jc w:val="center"/>
                    <w:rPr>
                      <w:color w:val="000000"/>
                      <w:szCs w:val="21"/>
                    </w:rPr>
                  </w:pPr>
                  <w:r>
                    <w:rPr>
                      <w:rFonts w:hint="eastAsia"/>
                      <w:color w:val="000000"/>
                      <w:szCs w:val="21"/>
                    </w:rPr>
                    <w:t>排放形式</w:t>
                  </w:r>
                </w:p>
              </w:tc>
              <w:tc>
                <w:tcPr>
                  <w:tcW w:w="1676" w:type="pct"/>
                  <w:gridSpan w:val="4"/>
                  <w:vAlign w:val="center"/>
                </w:tcPr>
                <w:p w14:paraId="40B70A0B">
                  <w:pPr>
                    <w:jc w:val="center"/>
                    <w:rPr>
                      <w:rFonts w:hint="eastAsia"/>
                      <w:color w:val="000000"/>
                      <w:szCs w:val="21"/>
                    </w:rPr>
                  </w:pPr>
                  <w:r>
                    <w:rPr>
                      <w:rFonts w:hint="eastAsia"/>
                      <w:color w:val="000000"/>
                      <w:szCs w:val="21"/>
                    </w:rPr>
                    <w:t>治理设施</w:t>
                  </w:r>
                </w:p>
              </w:tc>
              <w:tc>
                <w:tcPr>
                  <w:tcW w:w="428" w:type="pct"/>
                  <w:vMerge w:val="restart"/>
                  <w:vAlign w:val="center"/>
                </w:tcPr>
                <w:p w14:paraId="4B2C367F">
                  <w:pPr>
                    <w:jc w:val="center"/>
                    <w:rPr>
                      <w:rFonts w:hint="eastAsia"/>
                      <w:color w:val="000000"/>
                      <w:szCs w:val="21"/>
                    </w:rPr>
                  </w:pPr>
                  <w:r>
                    <w:rPr>
                      <w:rFonts w:hint="eastAsia"/>
                      <w:color w:val="000000"/>
                      <w:szCs w:val="21"/>
                    </w:rPr>
                    <w:t>污染物排放速率</w:t>
                  </w:r>
                </w:p>
                <w:p w14:paraId="3D6C74F2">
                  <w:pPr>
                    <w:jc w:val="center"/>
                    <w:rPr>
                      <w:rFonts w:hint="eastAsia"/>
                      <w:color w:val="000000"/>
                      <w:szCs w:val="21"/>
                    </w:rPr>
                  </w:pPr>
                  <w:r>
                    <w:rPr>
                      <w:rFonts w:hint="eastAsia"/>
                      <w:color w:val="000000"/>
                      <w:szCs w:val="21"/>
                    </w:rPr>
                    <w:t>（kg/h）</w:t>
                  </w:r>
                </w:p>
              </w:tc>
              <w:tc>
                <w:tcPr>
                  <w:tcW w:w="447" w:type="pct"/>
                  <w:vMerge w:val="restart"/>
                  <w:vAlign w:val="center"/>
                </w:tcPr>
                <w:p w14:paraId="2AAA72D7">
                  <w:pPr>
                    <w:jc w:val="center"/>
                    <w:rPr>
                      <w:rFonts w:hint="eastAsia"/>
                      <w:color w:val="000000"/>
                      <w:szCs w:val="21"/>
                    </w:rPr>
                  </w:pPr>
                  <w:r>
                    <w:rPr>
                      <w:rFonts w:hint="eastAsia"/>
                      <w:color w:val="000000"/>
                      <w:szCs w:val="21"/>
                    </w:rPr>
                    <w:t>污染物排放量</w:t>
                  </w:r>
                </w:p>
                <w:p w14:paraId="3AF29DBC">
                  <w:pPr>
                    <w:jc w:val="center"/>
                    <w:rPr>
                      <w:rFonts w:hint="eastAsia"/>
                      <w:color w:val="000000"/>
                      <w:szCs w:val="21"/>
                    </w:rPr>
                  </w:pPr>
                  <w:r>
                    <w:rPr>
                      <w:rFonts w:hint="eastAsia"/>
                      <w:color w:val="000000"/>
                      <w:szCs w:val="21"/>
                    </w:rPr>
                    <w:t>（t/a）</w:t>
                  </w:r>
                </w:p>
              </w:tc>
              <w:tc>
                <w:tcPr>
                  <w:tcW w:w="540" w:type="pct"/>
                  <w:vAlign w:val="center"/>
                </w:tcPr>
                <w:p w14:paraId="3E4E25F9">
                  <w:pPr>
                    <w:jc w:val="center"/>
                    <w:rPr>
                      <w:rFonts w:hint="eastAsia"/>
                      <w:color w:val="000000"/>
                      <w:szCs w:val="21"/>
                    </w:rPr>
                  </w:pPr>
                  <w:r>
                    <w:rPr>
                      <w:rFonts w:hint="eastAsia"/>
                      <w:color w:val="000000"/>
                      <w:szCs w:val="21"/>
                    </w:rPr>
                    <w:t>标准限值</w:t>
                  </w:r>
                </w:p>
              </w:tc>
            </w:tr>
            <w:tr w14:paraId="7863BF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79" w:hRule="atLeast"/>
              </w:trPr>
              <w:tc>
                <w:tcPr>
                  <w:tcW w:w="437" w:type="pct"/>
                  <w:vMerge w:val="continue"/>
                  <w:vAlign w:val="center"/>
                </w:tcPr>
                <w:p w14:paraId="099FB972">
                  <w:pPr>
                    <w:jc w:val="center"/>
                    <w:rPr>
                      <w:color w:val="000000"/>
                      <w:szCs w:val="21"/>
                    </w:rPr>
                  </w:pPr>
                </w:p>
              </w:tc>
              <w:tc>
                <w:tcPr>
                  <w:tcW w:w="384" w:type="pct"/>
                  <w:vMerge w:val="continue"/>
                  <w:vAlign w:val="center"/>
                </w:tcPr>
                <w:p w14:paraId="516F433F">
                  <w:pPr>
                    <w:jc w:val="center"/>
                    <w:rPr>
                      <w:color w:val="000000"/>
                      <w:szCs w:val="21"/>
                    </w:rPr>
                  </w:pPr>
                </w:p>
              </w:tc>
              <w:tc>
                <w:tcPr>
                  <w:tcW w:w="365" w:type="pct"/>
                  <w:vMerge w:val="continue"/>
                  <w:vAlign w:val="center"/>
                </w:tcPr>
                <w:p w14:paraId="41F8DB66">
                  <w:pPr>
                    <w:jc w:val="center"/>
                    <w:rPr>
                      <w:color w:val="000000"/>
                      <w:szCs w:val="21"/>
                    </w:rPr>
                  </w:pPr>
                </w:p>
              </w:tc>
              <w:tc>
                <w:tcPr>
                  <w:tcW w:w="437" w:type="pct"/>
                  <w:vMerge w:val="continue"/>
                  <w:vAlign w:val="center"/>
                </w:tcPr>
                <w:p w14:paraId="73CFE7F5">
                  <w:pPr>
                    <w:jc w:val="center"/>
                    <w:rPr>
                      <w:color w:val="000000"/>
                      <w:szCs w:val="21"/>
                    </w:rPr>
                  </w:pPr>
                </w:p>
              </w:tc>
              <w:tc>
                <w:tcPr>
                  <w:tcW w:w="284" w:type="pct"/>
                  <w:vMerge w:val="continue"/>
                  <w:vAlign w:val="center"/>
                </w:tcPr>
                <w:p w14:paraId="39017985">
                  <w:pPr>
                    <w:jc w:val="center"/>
                    <w:rPr>
                      <w:color w:val="000000"/>
                      <w:szCs w:val="21"/>
                    </w:rPr>
                  </w:pPr>
                </w:p>
              </w:tc>
              <w:tc>
                <w:tcPr>
                  <w:tcW w:w="437" w:type="pct"/>
                  <w:vAlign w:val="center"/>
                </w:tcPr>
                <w:p w14:paraId="2A554287">
                  <w:pPr>
                    <w:jc w:val="center"/>
                    <w:rPr>
                      <w:rFonts w:hint="eastAsia"/>
                      <w:color w:val="000000"/>
                      <w:szCs w:val="21"/>
                    </w:rPr>
                  </w:pPr>
                  <w:r>
                    <w:rPr>
                      <w:rFonts w:hint="eastAsia"/>
                      <w:color w:val="000000"/>
                      <w:szCs w:val="21"/>
                    </w:rPr>
                    <w:t>治理措施名称</w:t>
                  </w:r>
                </w:p>
              </w:tc>
              <w:tc>
                <w:tcPr>
                  <w:tcW w:w="353" w:type="pct"/>
                  <w:vAlign w:val="center"/>
                </w:tcPr>
                <w:p w14:paraId="089C4443">
                  <w:pPr>
                    <w:jc w:val="center"/>
                    <w:rPr>
                      <w:rFonts w:hint="eastAsia"/>
                      <w:color w:val="000000"/>
                      <w:szCs w:val="21"/>
                    </w:rPr>
                  </w:pPr>
                  <w:r>
                    <w:rPr>
                      <w:rFonts w:hint="eastAsia"/>
                      <w:color w:val="000000"/>
                      <w:szCs w:val="21"/>
                    </w:rPr>
                    <w:t>收集效率%</w:t>
                  </w:r>
                </w:p>
              </w:tc>
              <w:tc>
                <w:tcPr>
                  <w:tcW w:w="447" w:type="pct"/>
                  <w:vAlign w:val="center"/>
                </w:tcPr>
                <w:p w14:paraId="1CC3377E">
                  <w:pPr>
                    <w:jc w:val="center"/>
                    <w:rPr>
                      <w:color w:val="000000"/>
                      <w:szCs w:val="21"/>
                    </w:rPr>
                  </w:pPr>
                  <w:r>
                    <w:rPr>
                      <w:rFonts w:hint="eastAsia"/>
                      <w:color w:val="000000"/>
                      <w:szCs w:val="21"/>
                    </w:rPr>
                    <w:t>治理工艺去除率</w:t>
                  </w:r>
                </w:p>
              </w:tc>
              <w:tc>
                <w:tcPr>
                  <w:tcW w:w="437" w:type="pct"/>
                  <w:vAlign w:val="center"/>
                </w:tcPr>
                <w:p w14:paraId="6708D84B">
                  <w:pPr>
                    <w:jc w:val="center"/>
                    <w:rPr>
                      <w:color w:val="000000"/>
                      <w:szCs w:val="21"/>
                    </w:rPr>
                  </w:pPr>
                  <w:r>
                    <w:rPr>
                      <w:rFonts w:hint="eastAsia"/>
                      <w:color w:val="000000"/>
                      <w:szCs w:val="21"/>
                    </w:rPr>
                    <w:t>是否为可行技术</w:t>
                  </w:r>
                </w:p>
              </w:tc>
              <w:tc>
                <w:tcPr>
                  <w:tcW w:w="428" w:type="pct"/>
                  <w:vMerge w:val="continue"/>
                  <w:vAlign w:val="center"/>
                </w:tcPr>
                <w:p w14:paraId="35A5E759">
                  <w:pPr>
                    <w:jc w:val="center"/>
                    <w:rPr>
                      <w:rFonts w:hint="eastAsia"/>
                      <w:color w:val="000000"/>
                      <w:szCs w:val="21"/>
                    </w:rPr>
                  </w:pPr>
                </w:p>
              </w:tc>
              <w:tc>
                <w:tcPr>
                  <w:tcW w:w="447" w:type="pct"/>
                  <w:vMerge w:val="continue"/>
                  <w:vAlign w:val="center"/>
                </w:tcPr>
                <w:p w14:paraId="6031B264">
                  <w:pPr>
                    <w:jc w:val="center"/>
                    <w:rPr>
                      <w:rFonts w:hint="eastAsia"/>
                      <w:color w:val="000000"/>
                      <w:szCs w:val="21"/>
                    </w:rPr>
                  </w:pPr>
                </w:p>
              </w:tc>
              <w:tc>
                <w:tcPr>
                  <w:tcW w:w="540" w:type="pct"/>
                  <w:vAlign w:val="center"/>
                </w:tcPr>
                <w:p w14:paraId="4D67A5A1">
                  <w:pPr>
                    <w:jc w:val="center"/>
                    <w:rPr>
                      <w:rFonts w:hint="eastAsia"/>
                      <w:color w:val="000000"/>
                      <w:szCs w:val="21"/>
                    </w:rPr>
                  </w:pPr>
                  <w:r>
                    <w:rPr>
                      <w:rFonts w:hint="eastAsia"/>
                      <w:color w:val="000000"/>
                      <w:szCs w:val="21"/>
                    </w:rPr>
                    <w:t>无组织排放</w:t>
                  </w:r>
                  <w:r>
                    <w:rPr>
                      <w:color w:val="000000"/>
                      <w:szCs w:val="21"/>
                    </w:rPr>
                    <w:t>浓度</w:t>
                  </w:r>
                  <w:r>
                    <w:rPr>
                      <w:rStyle w:val="27"/>
                      <w:rFonts w:hint="eastAsia"/>
                      <w:kern w:val="0"/>
                      <w:szCs w:val="20"/>
                    </w:rPr>
                    <w:t>限值</w:t>
                  </w:r>
                </w:p>
                <w:p w14:paraId="5748DEBA">
                  <w:pPr>
                    <w:jc w:val="center"/>
                    <w:rPr>
                      <w:rFonts w:hint="eastAsia"/>
                      <w:color w:val="000000"/>
                      <w:szCs w:val="21"/>
                    </w:rPr>
                  </w:pPr>
                  <w:r>
                    <w:rPr>
                      <w:rFonts w:hint="eastAsia"/>
                      <w:color w:val="000000"/>
                      <w:szCs w:val="21"/>
                    </w:rPr>
                    <w:t>（</w:t>
                  </w:r>
                  <w:r>
                    <w:rPr>
                      <w:color w:val="000000"/>
                      <w:szCs w:val="21"/>
                    </w:rPr>
                    <w:t>mg/m</w:t>
                  </w:r>
                  <w:r>
                    <w:rPr>
                      <w:color w:val="000000"/>
                      <w:szCs w:val="21"/>
                      <w:vertAlign w:val="superscript"/>
                    </w:rPr>
                    <w:t>3</w:t>
                  </w:r>
                  <w:r>
                    <w:rPr>
                      <w:rFonts w:hint="eastAsia"/>
                      <w:color w:val="000000"/>
                      <w:szCs w:val="21"/>
                    </w:rPr>
                    <w:t>）</w:t>
                  </w:r>
                </w:p>
              </w:tc>
            </w:tr>
            <w:tr w14:paraId="2202C5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7" w:type="pct"/>
                  <w:vAlign w:val="center"/>
                </w:tcPr>
                <w:p w14:paraId="596DDE08">
                  <w:pPr>
                    <w:jc w:val="center"/>
                    <w:rPr>
                      <w:rFonts w:hint="eastAsia"/>
                      <w:color w:val="000000"/>
                      <w:szCs w:val="21"/>
                    </w:rPr>
                  </w:pPr>
                  <w:r>
                    <w:rPr>
                      <w:rFonts w:hint="eastAsia"/>
                      <w:color w:val="000000"/>
                      <w:szCs w:val="21"/>
                    </w:rPr>
                    <w:t>柴油卸油、加油</w:t>
                  </w:r>
                </w:p>
              </w:tc>
              <w:tc>
                <w:tcPr>
                  <w:tcW w:w="384" w:type="pct"/>
                  <w:vMerge w:val="restart"/>
                  <w:vAlign w:val="center"/>
                </w:tcPr>
                <w:p w14:paraId="6592C2D4">
                  <w:pPr>
                    <w:jc w:val="center"/>
                    <w:rPr>
                      <w:rFonts w:hint="eastAsia"/>
                      <w:color w:val="000000"/>
                      <w:szCs w:val="21"/>
                    </w:rPr>
                  </w:pPr>
                  <w:r>
                    <w:rPr>
                      <w:rFonts w:hint="eastAsia"/>
                      <w:color w:val="000000"/>
                      <w:szCs w:val="21"/>
                    </w:rPr>
                    <w:t>非甲烷总烃</w:t>
                  </w:r>
                </w:p>
              </w:tc>
              <w:tc>
                <w:tcPr>
                  <w:tcW w:w="365" w:type="pct"/>
                  <w:vAlign w:val="center"/>
                </w:tcPr>
                <w:p w14:paraId="021F1B01">
                  <w:pPr>
                    <w:jc w:val="center"/>
                    <w:rPr>
                      <w:color w:val="000000"/>
                      <w:szCs w:val="21"/>
                    </w:rPr>
                  </w:pPr>
                  <w:r>
                    <w:rPr>
                      <w:rFonts w:hint="eastAsia"/>
                      <w:color w:val="000000"/>
                      <w:szCs w:val="21"/>
                    </w:rPr>
                    <w:t>1.404</w:t>
                  </w:r>
                </w:p>
              </w:tc>
              <w:tc>
                <w:tcPr>
                  <w:tcW w:w="437" w:type="pct"/>
                  <w:vAlign w:val="center"/>
                </w:tcPr>
                <w:p w14:paraId="04EA7C73">
                  <w:pPr>
                    <w:jc w:val="center"/>
                    <w:rPr>
                      <w:color w:val="000000"/>
                      <w:szCs w:val="21"/>
                    </w:rPr>
                  </w:pPr>
                  <w:r>
                    <w:rPr>
                      <w:rFonts w:hint="eastAsia"/>
                      <w:color w:val="000000"/>
                      <w:szCs w:val="21"/>
                    </w:rPr>
                    <w:t>0.160</w:t>
                  </w:r>
                </w:p>
              </w:tc>
              <w:tc>
                <w:tcPr>
                  <w:tcW w:w="284" w:type="pct"/>
                  <w:vMerge w:val="restart"/>
                  <w:vAlign w:val="center"/>
                </w:tcPr>
                <w:p w14:paraId="249AF7F6">
                  <w:pPr>
                    <w:jc w:val="center"/>
                    <w:rPr>
                      <w:color w:val="000000"/>
                      <w:szCs w:val="21"/>
                    </w:rPr>
                  </w:pPr>
                  <w:r>
                    <w:rPr>
                      <w:rFonts w:hint="eastAsia"/>
                      <w:color w:val="000000"/>
                      <w:szCs w:val="21"/>
                    </w:rPr>
                    <w:t>无组织</w:t>
                  </w:r>
                </w:p>
              </w:tc>
              <w:tc>
                <w:tcPr>
                  <w:tcW w:w="437" w:type="pct"/>
                  <w:vAlign w:val="center"/>
                </w:tcPr>
                <w:p w14:paraId="5AFC4905">
                  <w:pPr>
                    <w:jc w:val="center"/>
                    <w:rPr>
                      <w:rFonts w:hint="eastAsia"/>
                      <w:color w:val="000000"/>
                      <w:szCs w:val="21"/>
                    </w:rPr>
                  </w:pPr>
                  <w:r>
                    <w:rPr>
                      <w:rFonts w:hint="eastAsia"/>
                      <w:color w:val="000000"/>
                      <w:szCs w:val="21"/>
                    </w:rPr>
                    <w:t>/</w:t>
                  </w:r>
                </w:p>
              </w:tc>
              <w:tc>
                <w:tcPr>
                  <w:tcW w:w="353" w:type="pct"/>
                  <w:vAlign w:val="center"/>
                </w:tcPr>
                <w:p w14:paraId="689CA0F1">
                  <w:pPr>
                    <w:jc w:val="center"/>
                    <w:rPr>
                      <w:rFonts w:hint="eastAsia"/>
                      <w:color w:val="000000"/>
                      <w:szCs w:val="21"/>
                    </w:rPr>
                  </w:pPr>
                  <w:r>
                    <w:rPr>
                      <w:rFonts w:hint="eastAsia"/>
                      <w:color w:val="000000"/>
                      <w:szCs w:val="21"/>
                    </w:rPr>
                    <w:t>/</w:t>
                  </w:r>
                </w:p>
              </w:tc>
              <w:tc>
                <w:tcPr>
                  <w:tcW w:w="447" w:type="pct"/>
                  <w:vAlign w:val="center"/>
                </w:tcPr>
                <w:p w14:paraId="37756D48">
                  <w:pPr>
                    <w:jc w:val="center"/>
                    <w:rPr>
                      <w:rFonts w:hint="eastAsia"/>
                      <w:color w:val="000000"/>
                      <w:szCs w:val="21"/>
                    </w:rPr>
                  </w:pPr>
                  <w:r>
                    <w:rPr>
                      <w:rFonts w:hint="eastAsia"/>
                      <w:color w:val="000000"/>
                      <w:szCs w:val="21"/>
                    </w:rPr>
                    <w:t>/</w:t>
                  </w:r>
                </w:p>
              </w:tc>
              <w:tc>
                <w:tcPr>
                  <w:tcW w:w="437" w:type="pct"/>
                  <w:vAlign w:val="center"/>
                </w:tcPr>
                <w:p w14:paraId="665CBA26">
                  <w:pPr>
                    <w:jc w:val="center"/>
                    <w:rPr>
                      <w:rFonts w:hint="eastAsia"/>
                      <w:color w:val="000000"/>
                      <w:szCs w:val="21"/>
                    </w:rPr>
                  </w:pPr>
                  <w:r>
                    <w:rPr>
                      <w:rFonts w:hint="eastAsia"/>
                      <w:color w:val="000000"/>
                      <w:szCs w:val="21"/>
                    </w:rPr>
                    <w:t>/</w:t>
                  </w:r>
                </w:p>
              </w:tc>
              <w:tc>
                <w:tcPr>
                  <w:tcW w:w="428" w:type="pct"/>
                  <w:vAlign w:val="center"/>
                </w:tcPr>
                <w:p w14:paraId="559E4DCC">
                  <w:pPr>
                    <w:jc w:val="center"/>
                    <w:rPr>
                      <w:color w:val="000000"/>
                      <w:szCs w:val="21"/>
                    </w:rPr>
                  </w:pPr>
                  <w:r>
                    <w:rPr>
                      <w:rFonts w:hint="eastAsia"/>
                      <w:color w:val="000000"/>
                      <w:szCs w:val="21"/>
                    </w:rPr>
                    <w:t>0.160</w:t>
                  </w:r>
                </w:p>
              </w:tc>
              <w:tc>
                <w:tcPr>
                  <w:tcW w:w="447" w:type="pct"/>
                  <w:vAlign w:val="center"/>
                </w:tcPr>
                <w:p w14:paraId="7BEA789D">
                  <w:pPr>
                    <w:jc w:val="center"/>
                    <w:rPr>
                      <w:color w:val="000000"/>
                      <w:szCs w:val="21"/>
                    </w:rPr>
                  </w:pPr>
                  <w:r>
                    <w:rPr>
                      <w:rFonts w:hint="eastAsia"/>
                      <w:color w:val="000000"/>
                      <w:szCs w:val="21"/>
                    </w:rPr>
                    <w:t>1.404</w:t>
                  </w:r>
                </w:p>
              </w:tc>
              <w:tc>
                <w:tcPr>
                  <w:tcW w:w="540" w:type="pct"/>
                  <w:vAlign w:val="center"/>
                </w:tcPr>
                <w:p w14:paraId="3292345B">
                  <w:pPr>
                    <w:jc w:val="center"/>
                    <w:rPr>
                      <w:color w:val="000000"/>
                      <w:szCs w:val="21"/>
                    </w:rPr>
                  </w:pPr>
                  <w:r>
                    <w:rPr>
                      <w:rFonts w:hint="eastAsia"/>
                      <w:color w:val="000000"/>
                      <w:szCs w:val="21"/>
                    </w:rPr>
                    <w:t>4.0</w:t>
                  </w:r>
                </w:p>
              </w:tc>
            </w:tr>
            <w:tr w14:paraId="6F7873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437" w:type="pct"/>
                  <w:vAlign w:val="center"/>
                </w:tcPr>
                <w:p w14:paraId="1BE89D37">
                  <w:pPr>
                    <w:jc w:val="center"/>
                    <w:rPr>
                      <w:color w:val="000000"/>
                      <w:szCs w:val="21"/>
                    </w:rPr>
                  </w:pPr>
                  <w:r>
                    <w:rPr>
                      <w:rFonts w:hint="eastAsia"/>
                      <w:color w:val="000000"/>
                      <w:szCs w:val="21"/>
                    </w:rPr>
                    <w:t>汽油卸油</w:t>
                  </w:r>
                </w:p>
              </w:tc>
              <w:tc>
                <w:tcPr>
                  <w:tcW w:w="384" w:type="pct"/>
                  <w:vMerge w:val="continue"/>
                  <w:vAlign w:val="center"/>
                </w:tcPr>
                <w:p w14:paraId="137A8527">
                  <w:pPr>
                    <w:jc w:val="center"/>
                    <w:rPr>
                      <w:color w:val="000000"/>
                      <w:szCs w:val="21"/>
                    </w:rPr>
                  </w:pPr>
                </w:p>
              </w:tc>
              <w:tc>
                <w:tcPr>
                  <w:tcW w:w="365" w:type="pct"/>
                  <w:vAlign w:val="center"/>
                </w:tcPr>
                <w:p w14:paraId="466C45F4">
                  <w:pPr>
                    <w:widowControl/>
                    <w:adjustRightInd w:val="0"/>
                    <w:jc w:val="center"/>
                    <w:rPr>
                      <w:color w:val="000000"/>
                      <w:kern w:val="0"/>
                      <w:szCs w:val="21"/>
                    </w:rPr>
                  </w:pPr>
                  <w:r>
                    <w:rPr>
                      <w:rFonts w:hint="eastAsia"/>
                      <w:color w:val="000000"/>
                      <w:kern w:val="0"/>
                      <w:szCs w:val="21"/>
                    </w:rPr>
                    <w:t>7.452</w:t>
                  </w:r>
                </w:p>
              </w:tc>
              <w:tc>
                <w:tcPr>
                  <w:tcW w:w="437" w:type="pct"/>
                  <w:vAlign w:val="center"/>
                </w:tcPr>
                <w:p w14:paraId="56C2123B">
                  <w:pPr>
                    <w:jc w:val="center"/>
                    <w:rPr>
                      <w:color w:val="000000"/>
                      <w:szCs w:val="21"/>
                    </w:rPr>
                  </w:pPr>
                  <w:r>
                    <w:rPr>
                      <w:rFonts w:hint="eastAsia"/>
                      <w:color w:val="000000"/>
                      <w:szCs w:val="21"/>
                    </w:rPr>
                    <w:t>0.851</w:t>
                  </w:r>
                </w:p>
              </w:tc>
              <w:tc>
                <w:tcPr>
                  <w:tcW w:w="284" w:type="pct"/>
                  <w:vMerge w:val="continue"/>
                  <w:vAlign w:val="center"/>
                </w:tcPr>
                <w:p w14:paraId="2C2AB287">
                  <w:pPr>
                    <w:jc w:val="center"/>
                    <w:rPr>
                      <w:color w:val="000000"/>
                      <w:szCs w:val="21"/>
                    </w:rPr>
                  </w:pPr>
                </w:p>
              </w:tc>
              <w:tc>
                <w:tcPr>
                  <w:tcW w:w="437" w:type="pct"/>
                  <w:vAlign w:val="center"/>
                </w:tcPr>
                <w:p w14:paraId="6BA83AEE">
                  <w:pPr>
                    <w:jc w:val="center"/>
                    <w:rPr>
                      <w:rFonts w:hint="eastAsia"/>
                      <w:color w:val="000000"/>
                      <w:szCs w:val="21"/>
                    </w:rPr>
                  </w:pPr>
                  <w:r>
                    <w:rPr>
                      <w:rFonts w:hint="eastAsia"/>
                      <w:color w:val="000000"/>
                      <w:szCs w:val="21"/>
                    </w:rPr>
                    <w:t>卸油油气回收系统</w:t>
                  </w:r>
                </w:p>
              </w:tc>
              <w:tc>
                <w:tcPr>
                  <w:tcW w:w="353" w:type="pct"/>
                  <w:vAlign w:val="center"/>
                </w:tcPr>
                <w:p w14:paraId="294B72A6">
                  <w:pPr>
                    <w:jc w:val="center"/>
                    <w:rPr>
                      <w:color w:val="000000"/>
                      <w:szCs w:val="21"/>
                    </w:rPr>
                  </w:pPr>
                  <w:r>
                    <w:rPr>
                      <w:rFonts w:hint="eastAsia"/>
                      <w:color w:val="000000"/>
                      <w:szCs w:val="21"/>
                    </w:rPr>
                    <w:t>95</w:t>
                  </w:r>
                </w:p>
              </w:tc>
              <w:tc>
                <w:tcPr>
                  <w:tcW w:w="447" w:type="pct"/>
                  <w:vAlign w:val="center"/>
                </w:tcPr>
                <w:p w14:paraId="5B2116FE">
                  <w:pPr>
                    <w:jc w:val="center"/>
                    <w:rPr>
                      <w:color w:val="000000"/>
                      <w:szCs w:val="21"/>
                    </w:rPr>
                  </w:pPr>
                  <w:r>
                    <w:rPr>
                      <w:rFonts w:hint="eastAsia"/>
                      <w:color w:val="000000"/>
                      <w:szCs w:val="21"/>
                    </w:rPr>
                    <w:t>/</w:t>
                  </w:r>
                </w:p>
              </w:tc>
              <w:tc>
                <w:tcPr>
                  <w:tcW w:w="437" w:type="pct"/>
                  <w:vAlign w:val="center"/>
                </w:tcPr>
                <w:p w14:paraId="00095C0C">
                  <w:pPr>
                    <w:jc w:val="center"/>
                    <w:rPr>
                      <w:rFonts w:hint="eastAsia"/>
                      <w:color w:val="000000"/>
                      <w:szCs w:val="21"/>
                    </w:rPr>
                  </w:pPr>
                  <w:r>
                    <w:rPr>
                      <w:rFonts w:hint="eastAsia"/>
                      <w:color w:val="000000"/>
                      <w:szCs w:val="21"/>
                    </w:rPr>
                    <w:t>是</w:t>
                  </w:r>
                </w:p>
              </w:tc>
              <w:tc>
                <w:tcPr>
                  <w:tcW w:w="428" w:type="pct"/>
                  <w:vAlign w:val="center"/>
                </w:tcPr>
                <w:p w14:paraId="55EA0978">
                  <w:pPr>
                    <w:widowControl/>
                    <w:jc w:val="center"/>
                    <w:rPr>
                      <w:color w:val="000000"/>
                      <w:szCs w:val="21"/>
                    </w:rPr>
                  </w:pPr>
                  <w:r>
                    <w:rPr>
                      <w:rFonts w:hint="eastAsia"/>
                      <w:color w:val="000000"/>
                      <w:szCs w:val="21"/>
                    </w:rPr>
                    <w:t>0.043</w:t>
                  </w:r>
                </w:p>
              </w:tc>
              <w:tc>
                <w:tcPr>
                  <w:tcW w:w="447" w:type="pct"/>
                  <w:vAlign w:val="center"/>
                </w:tcPr>
                <w:p w14:paraId="24E73786">
                  <w:pPr>
                    <w:widowControl/>
                    <w:adjustRightInd w:val="0"/>
                    <w:jc w:val="center"/>
                    <w:rPr>
                      <w:color w:val="000000"/>
                      <w:kern w:val="0"/>
                      <w:szCs w:val="21"/>
                    </w:rPr>
                  </w:pPr>
                  <w:r>
                    <w:rPr>
                      <w:rFonts w:hint="eastAsia"/>
                      <w:color w:val="000000"/>
                      <w:kern w:val="0"/>
                      <w:szCs w:val="21"/>
                    </w:rPr>
                    <w:t>0.373</w:t>
                  </w:r>
                </w:p>
              </w:tc>
              <w:tc>
                <w:tcPr>
                  <w:tcW w:w="540" w:type="pct"/>
                  <w:vAlign w:val="center"/>
                </w:tcPr>
                <w:p w14:paraId="63D589C3">
                  <w:pPr>
                    <w:widowControl/>
                    <w:jc w:val="center"/>
                    <w:rPr>
                      <w:color w:val="000000"/>
                      <w:kern w:val="0"/>
                      <w:szCs w:val="21"/>
                    </w:rPr>
                  </w:pPr>
                  <w:r>
                    <w:rPr>
                      <w:rFonts w:hint="eastAsia"/>
                      <w:color w:val="000000"/>
                      <w:szCs w:val="21"/>
                    </w:rPr>
                    <w:t>4.0</w:t>
                  </w:r>
                </w:p>
              </w:tc>
            </w:tr>
            <w:tr w14:paraId="1557FF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7" w:type="pct"/>
                  <w:vAlign w:val="center"/>
                </w:tcPr>
                <w:p w14:paraId="32CED593">
                  <w:pPr>
                    <w:jc w:val="center"/>
                    <w:rPr>
                      <w:rFonts w:hint="eastAsia"/>
                      <w:color w:val="000000"/>
                      <w:szCs w:val="21"/>
                    </w:rPr>
                  </w:pPr>
                  <w:r>
                    <w:rPr>
                      <w:rFonts w:hint="eastAsia"/>
                      <w:color w:val="000000"/>
                      <w:szCs w:val="21"/>
                    </w:rPr>
                    <w:t>汽油加油</w:t>
                  </w:r>
                </w:p>
              </w:tc>
              <w:tc>
                <w:tcPr>
                  <w:tcW w:w="384" w:type="pct"/>
                  <w:vMerge w:val="continue"/>
                  <w:vAlign w:val="center"/>
                </w:tcPr>
                <w:p w14:paraId="22C77AAB">
                  <w:pPr>
                    <w:jc w:val="center"/>
                    <w:rPr>
                      <w:color w:val="000000"/>
                      <w:szCs w:val="21"/>
                    </w:rPr>
                  </w:pPr>
                </w:p>
              </w:tc>
              <w:tc>
                <w:tcPr>
                  <w:tcW w:w="365" w:type="pct"/>
                  <w:vAlign w:val="center"/>
                </w:tcPr>
                <w:p w14:paraId="642A1753">
                  <w:pPr>
                    <w:widowControl/>
                    <w:adjustRightInd w:val="0"/>
                    <w:jc w:val="center"/>
                    <w:rPr>
                      <w:color w:val="000000"/>
                      <w:kern w:val="0"/>
                      <w:szCs w:val="21"/>
                    </w:rPr>
                  </w:pPr>
                  <w:r>
                    <w:rPr>
                      <w:rFonts w:hint="eastAsia"/>
                      <w:color w:val="000000"/>
                      <w:kern w:val="0"/>
                      <w:szCs w:val="21"/>
                    </w:rPr>
                    <w:t>9.396</w:t>
                  </w:r>
                </w:p>
              </w:tc>
              <w:tc>
                <w:tcPr>
                  <w:tcW w:w="437" w:type="pct"/>
                  <w:vAlign w:val="center"/>
                </w:tcPr>
                <w:p w14:paraId="4D86FE97">
                  <w:pPr>
                    <w:jc w:val="center"/>
                    <w:rPr>
                      <w:color w:val="000000"/>
                      <w:szCs w:val="21"/>
                    </w:rPr>
                  </w:pPr>
                  <w:r>
                    <w:rPr>
                      <w:rFonts w:hint="eastAsia"/>
                      <w:color w:val="000000"/>
                      <w:szCs w:val="21"/>
                    </w:rPr>
                    <w:t>1.073</w:t>
                  </w:r>
                </w:p>
              </w:tc>
              <w:tc>
                <w:tcPr>
                  <w:tcW w:w="284" w:type="pct"/>
                  <w:vMerge w:val="continue"/>
                  <w:vAlign w:val="center"/>
                </w:tcPr>
                <w:p w14:paraId="7F336F2B">
                  <w:pPr>
                    <w:jc w:val="center"/>
                    <w:rPr>
                      <w:color w:val="000000"/>
                      <w:szCs w:val="21"/>
                    </w:rPr>
                  </w:pPr>
                </w:p>
              </w:tc>
              <w:tc>
                <w:tcPr>
                  <w:tcW w:w="437" w:type="pct"/>
                  <w:vAlign w:val="center"/>
                </w:tcPr>
                <w:p w14:paraId="7B79EF7B">
                  <w:pPr>
                    <w:jc w:val="center"/>
                    <w:rPr>
                      <w:rFonts w:hint="eastAsia"/>
                      <w:color w:val="000000"/>
                      <w:szCs w:val="21"/>
                    </w:rPr>
                  </w:pPr>
                  <w:r>
                    <w:rPr>
                      <w:rFonts w:hint="eastAsia"/>
                      <w:color w:val="000000"/>
                      <w:szCs w:val="21"/>
                    </w:rPr>
                    <w:t>加油油气回收系统</w:t>
                  </w:r>
                </w:p>
              </w:tc>
              <w:tc>
                <w:tcPr>
                  <w:tcW w:w="353" w:type="pct"/>
                  <w:vAlign w:val="center"/>
                </w:tcPr>
                <w:p w14:paraId="6A5CFDB6">
                  <w:pPr>
                    <w:jc w:val="center"/>
                    <w:rPr>
                      <w:color w:val="000000"/>
                      <w:szCs w:val="21"/>
                    </w:rPr>
                  </w:pPr>
                  <w:r>
                    <w:rPr>
                      <w:rFonts w:hint="eastAsia"/>
                      <w:color w:val="000000"/>
                      <w:szCs w:val="21"/>
                    </w:rPr>
                    <w:t>90</w:t>
                  </w:r>
                </w:p>
              </w:tc>
              <w:tc>
                <w:tcPr>
                  <w:tcW w:w="447" w:type="pct"/>
                  <w:vAlign w:val="center"/>
                </w:tcPr>
                <w:p w14:paraId="2A6F49AA">
                  <w:pPr>
                    <w:jc w:val="center"/>
                    <w:rPr>
                      <w:rFonts w:hint="eastAsia"/>
                      <w:color w:val="000000"/>
                      <w:szCs w:val="21"/>
                    </w:rPr>
                  </w:pPr>
                  <w:r>
                    <w:rPr>
                      <w:rFonts w:hint="eastAsia"/>
                      <w:color w:val="000000"/>
                      <w:szCs w:val="21"/>
                    </w:rPr>
                    <w:t>/</w:t>
                  </w:r>
                </w:p>
              </w:tc>
              <w:tc>
                <w:tcPr>
                  <w:tcW w:w="437" w:type="pct"/>
                  <w:vAlign w:val="center"/>
                </w:tcPr>
                <w:p w14:paraId="1C0F6D18">
                  <w:pPr>
                    <w:jc w:val="center"/>
                    <w:rPr>
                      <w:rFonts w:hint="eastAsia"/>
                      <w:b/>
                      <w:bCs/>
                      <w:color w:val="000000"/>
                      <w:szCs w:val="21"/>
                    </w:rPr>
                  </w:pPr>
                  <w:r>
                    <w:rPr>
                      <w:rFonts w:hint="eastAsia"/>
                      <w:color w:val="000000"/>
                      <w:szCs w:val="21"/>
                    </w:rPr>
                    <w:t>是</w:t>
                  </w:r>
                </w:p>
              </w:tc>
              <w:tc>
                <w:tcPr>
                  <w:tcW w:w="428" w:type="pct"/>
                  <w:vAlign w:val="center"/>
                </w:tcPr>
                <w:p w14:paraId="26667DB1">
                  <w:pPr>
                    <w:widowControl/>
                    <w:jc w:val="center"/>
                    <w:rPr>
                      <w:color w:val="000000"/>
                      <w:szCs w:val="21"/>
                    </w:rPr>
                  </w:pPr>
                  <w:r>
                    <w:rPr>
                      <w:rFonts w:hint="eastAsia"/>
                      <w:color w:val="000000"/>
                      <w:szCs w:val="21"/>
                    </w:rPr>
                    <w:t>0.204</w:t>
                  </w:r>
                </w:p>
              </w:tc>
              <w:tc>
                <w:tcPr>
                  <w:tcW w:w="447" w:type="pct"/>
                  <w:vAlign w:val="center"/>
                </w:tcPr>
                <w:p w14:paraId="00255E8F">
                  <w:pPr>
                    <w:widowControl/>
                    <w:adjustRightInd w:val="0"/>
                    <w:jc w:val="center"/>
                    <w:rPr>
                      <w:color w:val="000000"/>
                      <w:kern w:val="0"/>
                      <w:szCs w:val="21"/>
                    </w:rPr>
                  </w:pPr>
                  <w:r>
                    <w:rPr>
                      <w:rFonts w:hint="eastAsia"/>
                      <w:color w:val="000000"/>
                      <w:kern w:val="0"/>
                      <w:szCs w:val="21"/>
                    </w:rPr>
                    <w:t>1.786</w:t>
                  </w:r>
                </w:p>
              </w:tc>
              <w:tc>
                <w:tcPr>
                  <w:tcW w:w="540" w:type="pct"/>
                  <w:vAlign w:val="center"/>
                </w:tcPr>
                <w:p w14:paraId="39EC7208">
                  <w:pPr>
                    <w:widowControl/>
                    <w:jc w:val="center"/>
                    <w:rPr>
                      <w:color w:val="000000"/>
                      <w:kern w:val="0"/>
                      <w:szCs w:val="21"/>
                    </w:rPr>
                  </w:pPr>
                  <w:r>
                    <w:rPr>
                      <w:rFonts w:hint="eastAsia"/>
                      <w:color w:val="000000"/>
                      <w:szCs w:val="21"/>
                    </w:rPr>
                    <w:t>4.0</w:t>
                  </w:r>
                </w:p>
              </w:tc>
            </w:tr>
            <w:tr w14:paraId="0A9AF8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7" w:type="pct"/>
                  <w:vAlign w:val="center"/>
                </w:tcPr>
                <w:p w14:paraId="72C54423">
                  <w:pPr>
                    <w:jc w:val="center"/>
                    <w:rPr>
                      <w:color w:val="000000"/>
                      <w:szCs w:val="21"/>
                    </w:rPr>
                  </w:pPr>
                  <w:r>
                    <w:rPr>
                      <w:rFonts w:hint="eastAsia"/>
                      <w:color w:val="000000"/>
                      <w:szCs w:val="21"/>
                    </w:rPr>
                    <w:t>进出站汽车尾气</w:t>
                  </w:r>
                </w:p>
              </w:tc>
              <w:tc>
                <w:tcPr>
                  <w:tcW w:w="384" w:type="pct"/>
                  <w:vAlign w:val="center"/>
                </w:tcPr>
                <w:p w14:paraId="538881F2">
                  <w:pPr>
                    <w:jc w:val="center"/>
                    <w:rPr>
                      <w:color w:val="000000"/>
                      <w:szCs w:val="21"/>
                    </w:rPr>
                  </w:pPr>
                  <w:r>
                    <w:rPr>
                      <w:bCs/>
                      <w:color w:val="000000"/>
                      <w:szCs w:val="21"/>
                    </w:rPr>
                    <w:t>CO、NO</w:t>
                  </w:r>
                  <w:r>
                    <w:rPr>
                      <w:bCs/>
                      <w:color w:val="000000"/>
                      <w:szCs w:val="21"/>
                      <w:vertAlign w:val="subscript"/>
                    </w:rPr>
                    <w:t>x</w:t>
                  </w:r>
                  <w:r>
                    <w:rPr>
                      <w:bCs/>
                      <w:color w:val="000000"/>
                      <w:szCs w:val="21"/>
                    </w:rPr>
                    <w:t>、HC</w:t>
                  </w:r>
                </w:p>
              </w:tc>
              <w:tc>
                <w:tcPr>
                  <w:tcW w:w="365" w:type="pct"/>
                  <w:vAlign w:val="center"/>
                </w:tcPr>
                <w:p w14:paraId="5FDE158B">
                  <w:pPr>
                    <w:jc w:val="center"/>
                    <w:rPr>
                      <w:color w:val="000000"/>
                      <w:szCs w:val="21"/>
                    </w:rPr>
                  </w:pPr>
                  <w:r>
                    <w:rPr>
                      <w:rFonts w:hint="eastAsia"/>
                      <w:color w:val="000000"/>
                      <w:szCs w:val="21"/>
                    </w:rPr>
                    <w:t>少量</w:t>
                  </w:r>
                </w:p>
              </w:tc>
              <w:tc>
                <w:tcPr>
                  <w:tcW w:w="437" w:type="pct"/>
                  <w:vAlign w:val="center"/>
                </w:tcPr>
                <w:p w14:paraId="11C44ACB">
                  <w:pPr>
                    <w:jc w:val="center"/>
                    <w:rPr>
                      <w:color w:val="000000"/>
                      <w:szCs w:val="21"/>
                    </w:rPr>
                  </w:pPr>
                  <w:r>
                    <w:rPr>
                      <w:rFonts w:hint="eastAsia"/>
                      <w:color w:val="000000"/>
                      <w:szCs w:val="21"/>
                    </w:rPr>
                    <w:t>/</w:t>
                  </w:r>
                </w:p>
              </w:tc>
              <w:tc>
                <w:tcPr>
                  <w:tcW w:w="284" w:type="pct"/>
                  <w:vMerge w:val="continue"/>
                  <w:vAlign w:val="center"/>
                </w:tcPr>
                <w:p w14:paraId="73E50877">
                  <w:pPr>
                    <w:jc w:val="center"/>
                    <w:rPr>
                      <w:rFonts w:hint="eastAsia"/>
                      <w:color w:val="000000"/>
                      <w:szCs w:val="21"/>
                    </w:rPr>
                  </w:pPr>
                </w:p>
              </w:tc>
              <w:tc>
                <w:tcPr>
                  <w:tcW w:w="437" w:type="pct"/>
                  <w:vAlign w:val="center"/>
                </w:tcPr>
                <w:p w14:paraId="2C7E92D8">
                  <w:pPr>
                    <w:jc w:val="center"/>
                    <w:rPr>
                      <w:color w:val="000000"/>
                      <w:szCs w:val="21"/>
                    </w:rPr>
                  </w:pPr>
                  <w:r>
                    <w:rPr>
                      <w:rFonts w:hint="eastAsia"/>
                      <w:color w:val="000000"/>
                      <w:szCs w:val="21"/>
                    </w:rPr>
                    <w:t>/</w:t>
                  </w:r>
                </w:p>
              </w:tc>
              <w:tc>
                <w:tcPr>
                  <w:tcW w:w="353" w:type="pct"/>
                  <w:vAlign w:val="center"/>
                </w:tcPr>
                <w:p w14:paraId="60B91851">
                  <w:pPr>
                    <w:jc w:val="center"/>
                    <w:rPr>
                      <w:color w:val="000000"/>
                      <w:szCs w:val="21"/>
                    </w:rPr>
                  </w:pPr>
                  <w:r>
                    <w:rPr>
                      <w:rFonts w:hint="eastAsia"/>
                      <w:color w:val="000000"/>
                      <w:szCs w:val="21"/>
                    </w:rPr>
                    <w:t>/</w:t>
                  </w:r>
                </w:p>
              </w:tc>
              <w:tc>
                <w:tcPr>
                  <w:tcW w:w="447" w:type="pct"/>
                  <w:vAlign w:val="center"/>
                </w:tcPr>
                <w:p w14:paraId="6A6C8B9B">
                  <w:pPr>
                    <w:jc w:val="center"/>
                    <w:rPr>
                      <w:color w:val="000000"/>
                      <w:szCs w:val="21"/>
                    </w:rPr>
                  </w:pPr>
                  <w:r>
                    <w:rPr>
                      <w:rFonts w:hint="eastAsia"/>
                      <w:color w:val="000000"/>
                      <w:szCs w:val="21"/>
                    </w:rPr>
                    <w:t>/</w:t>
                  </w:r>
                </w:p>
              </w:tc>
              <w:tc>
                <w:tcPr>
                  <w:tcW w:w="437" w:type="pct"/>
                  <w:vAlign w:val="center"/>
                </w:tcPr>
                <w:p w14:paraId="5462FACF">
                  <w:pPr>
                    <w:jc w:val="center"/>
                    <w:rPr>
                      <w:color w:val="000000"/>
                      <w:szCs w:val="21"/>
                    </w:rPr>
                  </w:pPr>
                  <w:r>
                    <w:rPr>
                      <w:rFonts w:hint="eastAsia"/>
                      <w:color w:val="000000"/>
                      <w:szCs w:val="21"/>
                    </w:rPr>
                    <w:t>/</w:t>
                  </w:r>
                </w:p>
              </w:tc>
              <w:tc>
                <w:tcPr>
                  <w:tcW w:w="428" w:type="pct"/>
                  <w:vAlign w:val="center"/>
                </w:tcPr>
                <w:p w14:paraId="3AB6188D">
                  <w:pPr>
                    <w:widowControl/>
                    <w:jc w:val="center"/>
                    <w:rPr>
                      <w:color w:val="000000"/>
                      <w:szCs w:val="21"/>
                    </w:rPr>
                  </w:pPr>
                  <w:r>
                    <w:rPr>
                      <w:rFonts w:hint="eastAsia"/>
                      <w:color w:val="000000"/>
                      <w:szCs w:val="21"/>
                    </w:rPr>
                    <w:t>/</w:t>
                  </w:r>
                </w:p>
              </w:tc>
              <w:tc>
                <w:tcPr>
                  <w:tcW w:w="447" w:type="pct"/>
                  <w:vAlign w:val="center"/>
                </w:tcPr>
                <w:p w14:paraId="24D6A032">
                  <w:pPr>
                    <w:widowControl/>
                    <w:jc w:val="center"/>
                    <w:rPr>
                      <w:color w:val="000000"/>
                      <w:szCs w:val="21"/>
                    </w:rPr>
                  </w:pPr>
                  <w:r>
                    <w:rPr>
                      <w:rFonts w:hint="eastAsia"/>
                      <w:color w:val="000000"/>
                      <w:szCs w:val="21"/>
                    </w:rPr>
                    <w:t>/</w:t>
                  </w:r>
                </w:p>
              </w:tc>
              <w:tc>
                <w:tcPr>
                  <w:tcW w:w="540" w:type="pct"/>
                  <w:vAlign w:val="center"/>
                </w:tcPr>
                <w:p w14:paraId="490ED4D7">
                  <w:pPr>
                    <w:widowControl/>
                    <w:jc w:val="center"/>
                    <w:rPr>
                      <w:color w:val="000000"/>
                      <w:szCs w:val="21"/>
                    </w:rPr>
                  </w:pPr>
                  <w:r>
                    <w:rPr>
                      <w:rFonts w:hint="eastAsia"/>
                      <w:color w:val="000000"/>
                      <w:szCs w:val="21"/>
                    </w:rPr>
                    <w:t>/</w:t>
                  </w:r>
                </w:p>
              </w:tc>
            </w:tr>
            <w:tr w14:paraId="4A1622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7" w:type="pct"/>
                  <w:vAlign w:val="center"/>
                </w:tcPr>
                <w:p w14:paraId="14C55A00">
                  <w:pPr>
                    <w:jc w:val="center"/>
                    <w:rPr>
                      <w:color w:val="000000"/>
                      <w:szCs w:val="21"/>
                    </w:rPr>
                  </w:pPr>
                  <w:r>
                    <w:rPr>
                      <w:rFonts w:hint="eastAsia"/>
                      <w:color w:val="000000"/>
                      <w:szCs w:val="21"/>
                    </w:rPr>
                    <w:t>备用柴油发电机</w:t>
                  </w:r>
                </w:p>
              </w:tc>
              <w:tc>
                <w:tcPr>
                  <w:tcW w:w="384" w:type="pct"/>
                  <w:vAlign w:val="center"/>
                </w:tcPr>
                <w:p w14:paraId="0D5984EB">
                  <w:pPr>
                    <w:jc w:val="center"/>
                    <w:rPr>
                      <w:color w:val="000000"/>
                      <w:szCs w:val="21"/>
                    </w:rPr>
                  </w:pPr>
                  <w:r>
                    <w:rPr>
                      <w:color w:val="000000"/>
                      <w:szCs w:val="21"/>
                    </w:rPr>
                    <w:t>HC、CO、NOx、SO</w:t>
                  </w:r>
                  <w:r>
                    <w:rPr>
                      <w:color w:val="000000"/>
                      <w:szCs w:val="21"/>
                      <w:vertAlign w:val="subscript"/>
                    </w:rPr>
                    <w:t>2</w:t>
                  </w:r>
                </w:p>
              </w:tc>
              <w:tc>
                <w:tcPr>
                  <w:tcW w:w="365" w:type="pct"/>
                  <w:vAlign w:val="center"/>
                </w:tcPr>
                <w:p w14:paraId="2A46D222">
                  <w:pPr>
                    <w:jc w:val="center"/>
                    <w:rPr>
                      <w:color w:val="000000"/>
                      <w:szCs w:val="21"/>
                    </w:rPr>
                  </w:pPr>
                  <w:r>
                    <w:rPr>
                      <w:rFonts w:hint="eastAsia"/>
                      <w:color w:val="000000"/>
                      <w:szCs w:val="21"/>
                    </w:rPr>
                    <w:t>少量</w:t>
                  </w:r>
                </w:p>
              </w:tc>
              <w:tc>
                <w:tcPr>
                  <w:tcW w:w="437" w:type="pct"/>
                  <w:vAlign w:val="center"/>
                </w:tcPr>
                <w:p w14:paraId="134595FC">
                  <w:pPr>
                    <w:jc w:val="center"/>
                    <w:rPr>
                      <w:color w:val="000000"/>
                      <w:szCs w:val="21"/>
                    </w:rPr>
                  </w:pPr>
                  <w:r>
                    <w:rPr>
                      <w:rFonts w:hint="eastAsia"/>
                      <w:color w:val="000000"/>
                      <w:szCs w:val="21"/>
                    </w:rPr>
                    <w:t>/</w:t>
                  </w:r>
                </w:p>
              </w:tc>
              <w:tc>
                <w:tcPr>
                  <w:tcW w:w="284" w:type="pct"/>
                  <w:vMerge w:val="continue"/>
                  <w:vAlign w:val="center"/>
                </w:tcPr>
                <w:p w14:paraId="0F99AA43">
                  <w:pPr>
                    <w:jc w:val="center"/>
                    <w:rPr>
                      <w:color w:val="000000"/>
                      <w:szCs w:val="21"/>
                    </w:rPr>
                  </w:pPr>
                </w:p>
              </w:tc>
              <w:tc>
                <w:tcPr>
                  <w:tcW w:w="437" w:type="pct"/>
                  <w:vAlign w:val="center"/>
                </w:tcPr>
                <w:p w14:paraId="2E619412">
                  <w:pPr>
                    <w:jc w:val="center"/>
                    <w:rPr>
                      <w:color w:val="000000"/>
                      <w:szCs w:val="21"/>
                    </w:rPr>
                  </w:pPr>
                  <w:r>
                    <w:rPr>
                      <w:rFonts w:hint="eastAsia"/>
                      <w:color w:val="000000"/>
                      <w:szCs w:val="21"/>
                    </w:rPr>
                    <w:t>/</w:t>
                  </w:r>
                </w:p>
              </w:tc>
              <w:tc>
                <w:tcPr>
                  <w:tcW w:w="353" w:type="pct"/>
                  <w:vAlign w:val="center"/>
                </w:tcPr>
                <w:p w14:paraId="197B5B33">
                  <w:pPr>
                    <w:jc w:val="center"/>
                    <w:rPr>
                      <w:color w:val="000000"/>
                      <w:szCs w:val="21"/>
                    </w:rPr>
                  </w:pPr>
                  <w:r>
                    <w:rPr>
                      <w:rFonts w:hint="eastAsia"/>
                      <w:color w:val="000000"/>
                      <w:szCs w:val="21"/>
                    </w:rPr>
                    <w:t>/</w:t>
                  </w:r>
                </w:p>
              </w:tc>
              <w:tc>
                <w:tcPr>
                  <w:tcW w:w="447" w:type="pct"/>
                  <w:vAlign w:val="center"/>
                </w:tcPr>
                <w:p w14:paraId="6997EE1D">
                  <w:pPr>
                    <w:jc w:val="center"/>
                    <w:rPr>
                      <w:color w:val="000000"/>
                      <w:szCs w:val="21"/>
                    </w:rPr>
                  </w:pPr>
                  <w:r>
                    <w:rPr>
                      <w:rFonts w:hint="eastAsia"/>
                      <w:color w:val="000000"/>
                      <w:szCs w:val="21"/>
                    </w:rPr>
                    <w:t>/</w:t>
                  </w:r>
                </w:p>
              </w:tc>
              <w:tc>
                <w:tcPr>
                  <w:tcW w:w="437" w:type="pct"/>
                  <w:vAlign w:val="center"/>
                </w:tcPr>
                <w:p w14:paraId="52699739">
                  <w:pPr>
                    <w:jc w:val="center"/>
                    <w:rPr>
                      <w:color w:val="000000"/>
                      <w:szCs w:val="21"/>
                    </w:rPr>
                  </w:pPr>
                  <w:r>
                    <w:rPr>
                      <w:rFonts w:hint="eastAsia"/>
                      <w:color w:val="000000"/>
                      <w:szCs w:val="21"/>
                    </w:rPr>
                    <w:t>/</w:t>
                  </w:r>
                </w:p>
              </w:tc>
              <w:tc>
                <w:tcPr>
                  <w:tcW w:w="428" w:type="pct"/>
                  <w:vAlign w:val="center"/>
                </w:tcPr>
                <w:p w14:paraId="2D5F0A0B">
                  <w:pPr>
                    <w:widowControl/>
                    <w:jc w:val="center"/>
                    <w:rPr>
                      <w:color w:val="000000"/>
                      <w:szCs w:val="21"/>
                    </w:rPr>
                  </w:pPr>
                  <w:r>
                    <w:rPr>
                      <w:rFonts w:hint="eastAsia"/>
                      <w:color w:val="000000"/>
                      <w:szCs w:val="21"/>
                    </w:rPr>
                    <w:t>/</w:t>
                  </w:r>
                </w:p>
              </w:tc>
              <w:tc>
                <w:tcPr>
                  <w:tcW w:w="447" w:type="pct"/>
                  <w:vAlign w:val="center"/>
                </w:tcPr>
                <w:p w14:paraId="49697BF7">
                  <w:pPr>
                    <w:widowControl/>
                    <w:jc w:val="center"/>
                    <w:rPr>
                      <w:color w:val="000000"/>
                      <w:szCs w:val="21"/>
                    </w:rPr>
                  </w:pPr>
                  <w:r>
                    <w:rPr>
                      <w:rFonts w:hint="eastAsia"/>
                      <w:color w:val="000000"/>
                      <w:szCs w:val="21"/>
                    </w:rPr>
                    <w:t>/</w:t>
                  </w:r>
                </w:p>
              </w:tc>
              <w:tc>
                <w:tcPr>
                  <w:tcW w:w="540" w:type="pct"/>
                  <w:vAlign w:val="center"/>
                </w:tcPr>
                <w:p w14:paraId="6A8E48BA">
                  <w:pPr>
                    <w:widowControl/>
                    <w:jc w:val="center"/>
                    <w:rPr>
                      <w:color w:val="000000"/>
                      <w:szCs w:val="21"/>
                    </w:rPr>
                  </w:pPr>
                  <w:r>
                    <w:rPr>
                      <w:rFonts w:hint="eastAsia"/>
                      <w:color w:val="000000"/>
                      <w:szCs w:val="21"/>
                    </w:rPr>
                    <w:t>/</w:t>
                  </w:r>
                </w:p>
              </w:tc>
            </w:tr>
          </w:tbl>
          <w:p w14:paraId="7C0BDC2B">
            <w:pPr>
              <w:widowControl/>
              <w:adjustRightInd w:val="0"/>
              <w:spacing w:line="360" w:lineRule="auto"/>
              <w:ind w:firstLine="482" w:firstLineChars="200"/>
              <w:rPr>
                <w:rFonts w:hint="eastAsia"/>
                <w:b/>
                <w:sz w:val="24"/>
              </w:rPr>
            </w:pPr>
            <w:r>
              <w:rPr>
                <w:rFonts w:hint="eastAsia"/>
                <w:b/>
                <w:sz w:val="24"/>
              </w:rPr>
              <w:t>（3）废气治理措施可行性分析</w:t>
            </w:r>
          </w:p>
          <w:p w14:paraId="38648F86">
            <w:pPr>
              <w:wordWrap w:val="0"/>
              <w:adjustRightInd w:val="0"/>
              <w:snapToGrid w:val="0"/>
              <w:spacing w:line="360" w:lineRule="auto"/>
              <w:ind w:firstLine="480" w:firstLineChars="200"/>
              <w:rPr>
                <w:rFonts w:hint="eastAsia"/>
                <w:sz w:val="24"/>
                <w:szCs w:val="20"/>
              </w:rPr>
            </w:pPr>
            <w:r>
              <w:rPr>
                <w:rFonts w:hint="eastAsia" w:cs="宋体"/>
                <w:kern w:val="0"/>
                <w:sz w:val="24"/>
                <w:szCs w:val="22"/>
                <w:lang w:bidi="zh-CN"/>
              </w:rPr>
              <w:t>根据《排污许可证申请与核发技术规范储油库、加油站》（HJ1118-2020）可知，加油站储罐挥发有机废气、加油枪挥发有机废气污染治理措施采用卸油油气回收系统、加油油气回收系统，油气排放形式为无组织排放。</w:t>
            </w:r>
            <w:r>
              <w:rPr>
                <w:rFonts w:hint="eastAsia"/>
                <w:bCs/>
                <w:sz w:val="24"/>
              </w:rPr>
              <w:t>项目按照《加油站大气污染物排放标准》（GB20952-2020）和</w:t>
            </w:r>
            <w:r>
              <w:rPr>
                <w:rFonts w:hint="eastAsia"/>
                <w:sz w:val="24"/>
              </w:rPr>
              <w:t>《汽车加油加气加氢站技术标准》（GB50156-2021）</w:t>
            </w:r>
            <w:r>
              <w:rPr>
                <w:rFonts w:hint="eastAsia"/>
                <w:bCs/>
                <w:sz w:val="24"/>
              </w:rPr>
              <w:t>的要求，汽油卸油、加油过程中分别设置了一次、二次油气回收系统，并预留了三次油气回收系统，故本项目废气治理措施是可行的。</w:t>
            </w:r>
          </w:p>
          <w:p w14:paraId="5CC072B4">
            <w:pPr>
              <w:wordWrap w:val="0"/>
              <w:adjustRightInd w:val="0"/>
              <w:snapToGrid w:val="0"/>
              <w:spacing w:line="360" w:lineRule="auto"/>
              <w:ind w:firstLine="480" w:firstLineChars="200"/>
              <w:rPr>
                <w:rFonts w:hint="eastAsia"/>
                <w:kern w:val="0"/>
                <w:sz w:val="24"/>
              </w:rPr>
            </w:pPr>
            <w:r>
              <w:rPr>
                <w:rFonts w:hint="eastAsia"/>
                <w:bCs/>
                <w:sz w:val="24"/>
              </w:rPr>
              <w:t>本项目营运期间，</w:t>
            </w:r>
            <w:r>
              <w:rPr>
                <w:rFonts w:hint="eastAsia"/>
                <w:kern w:val="0"/>
                <w:sz w:val="24"/>
              </w:rPr>
              <w:t>汽车低速行驶进出加油站，加油时汽车处于停止状态，整个过程前后所排放的汽车尾气量较小；</w:t>
            </w:r>
            <w:r>
              <w:rPr>
                <w:sz w:val="24"/>
              </w:rPr>
              <w:t>备用柴油发电机</w:t>
            </w:r>
            <w:r>
              <w:rPr>
                <w:rFonts w:hint="eastAsia"/>
                <w:sz w:val="24"/>
              </w:rPr>
              <w:t>使用频次少，污染物产生量少，且</w:t>
            </w:r>
            <w:r>
              <w:rPr>
                <w:rFonts w:hint="eastAsia"/>
                <w:kern w:val="0"/>
                <w:sz w:val="24"/>
              </w:rPr>
              <w:t>产生的废气经专用管道引至屋顶排放，对环境影响较小。</w:t>
            </w:r>
          </w:p>
          <w:p w14:paraId="21E1D51D">
            <w:pPr>
              <w:wordWrap w:val="0"/>
              <w:adjustRightInd w:val="0"/>
              <w:snapToGrid w:val="0"/>
              <w:spacing w:line="360" w:lineRule="auto"/>
              <w:ind w:firstLine="482" w:firstLineChars="200"/>
              <w:rPr>
                <w:b/>
                <w:bCs/>
                <w:kern w:val="0"/>
                <w:sz w:val="24"/>
              </w:rPr>
            </w:pPr>
            <w:r>
              <w:rPr>
                <w:rFonts w:hint="eastAsia"/>
                <w:b/>
                <w:bCs/>
                <w:kern w:val="0"/>
                <w:sz w:val="24"/>
              </w:rPr>
              <w:t>（4）监测计划</w:t>
            </w:r>
          </w:p>
          <w:p w14:paraId="1A2B6B1D">
            <w:pPr>
              <w:spacing w:line="360" w:lineRule="auto"/>
              <w:ind w:firstLine="454"/>
              <w:jc w:val="left"/>
              <w:rPr>
                <w:rFonts w:hint="eastAsia"/>
                <w:sz w:val="24"/>
              </w:rPr>
            </w:pPr>
            <w:r>
              <w:rPr>
                <w:rFonts w:hint="eastAsia"/>
                <w:sz w:val="24"/>
              </w:rPr>
              <w:t>根据《排污许可证申请与核发技术规范  储油库、加油站》（HJ1118-2020）、《排污单位自行监测技术指南 总则》（HJ819-2017）。拟建项目废气监测要求详见表4-4。</w:t>
            </w:r>
          </w:p>
          <w:p w14:paraId="668C0009">
            <w:pPr>
              <w:pStyle w:val="68"/>
              <w:spacing w:line="240" w:lineRule="auto"/>
              <w:rPr>
                <w:rFonts w:hint="eastAsia" w:ascii="黑体" w:hAnsi="黑体" w:eastAsia="黑体" w:cs="黑体"/>
                <w:b w:val="0"/>
                <w:bCs w:val="0"/>
                <w:lang w:val="zh-CN"/>
              </w:rPr>
            </w:pPr>
            <w:r>
              <w:rPr>
                <w:rFonts w:hint="eastAsia" w:ascii="黑体" w:hAnsi="黑体" w:eastAsia="黑体" w:cs="黑体"/>
                <w:b w:val="0"/>
                <w:bCs w:val="0"/>
                <w:lang w:val="zh-CN"/>
              </w:rPr>
              <w:t>表4-</w:t>
            </w:r>
            <w:r>
              <w:rPr>
                <w:rFonts w:hint="eastAsia" w:ascii="黑体" w:hAnsi="黑体" w:eastAsia="黑体" w:cs="黑体"/>
                <w:b w:val="0"/>
                <w:bCs w:val="0"/>
              </w:rPr>
              <w:t>4</w:t>
            </w:r>
            <w:r>
              <w:rPr>
                <w:rFonts w:hint="eastAsia" w:ascii="黑体" w:hAnsi="黑体" w:eastAsia="黑体" w:cs="黑体"/>
                <w:b w:val="0"/>
                <w:bCs w:val="0"/>
                <w:lang w:val="zh-CN"/>
              </w:rPr>
              <w:t xml:space="preserve">  废气监测要求一览表</w:t>
            </w:r>
          </w:p>
          <w:tbl>
            <w:tblPr>
              <w:tblStyle w:val="23"/>
              <w:tblW w:w="4991"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95"/>
              <w:gridCol w:w="1505"/>
              <w:gridCol w:w="1476"/>
              <w:gridCol w:w="1523"/>
              <w:gridCol w:w="1139"/>
              <w:gridCol w:w="2038"/>
            </w:tblGrid>
            <w:tr w14:paraId="4A40AB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244" w:type="pct"/>
                  <w:vAlign w:val="center"/>
                </w:tcPr>
                <w:p w14:paraId="4CA3B998">
                  <w:pPr>
                    <w:jc w:val="center"/>
                  </w:pPr>
                  <w:r>
                    <w:rPr>
                      <w:rFonts w:hint="eastAsia"/>
                    </w:rPr>
                    <w:t>序号</w:t>
                  </w:r>
                </w:p>
              </w:tc>
              <w:tc>
                <w:tcPr>
                  <w:tcW w:w="931" w:type="pct"/>
                  <w:vAlign w:val="center"/>
                </w:tcPr>
                <w:p w14:paraId="6DFFCFAC">
                  <w:pPr>
                    <w:jc w:val="center"/>
                    <w:rPr>
                      <w:rFonts w:hint="eastAsia"/>
                    </w:rPr>
                  </w:pPr>
                  <w:r>
                    <w:rPr>
                      <w:rFonts w:hint="eastAsia"/>
                    </w:rPr>
                    <w:t>污染源类别/监测类别</w:t>
                  </w:r>
                </w:p>
              </w:tc>
              <w:tc>
                <w:tcPr>
                  <w:tcW w:w="914" w:type="pct"/>
                  <w:vAlign w:val="center"/>
                </w:tcPr>
                <w:p w14:paraId="787D9EAA">
                  <w:pPr>
                    <w:jc w:val="center"/>
                    <w:rPr>
                      <w:rFonts w:hint="eastAsia"/>
                    </w:rPr>
                  </w:pPr>
                  <w:r>
                    <w:rPr>
                      <w:rFonts w:hint="eastAsia"/>
                    </w:rPr>
                    <w:t>监测点位</w:t>
                  </w:r>
                </w:p>
              </w:tc>
              <w:tc>
                <w:tcPr>
                  <w:tcW w:w="943" w:type="pct"/>
                  <w:vAlign w:val="center"/>
                </w:tcPr>
                <w:p w14:paraId="31975FEC">
                  <w:pPr>
                    <w:jc w:val="center"/>
                    <w:rPr>
                      <w:rFonts w:hint="eastAsia"/>
                    </w:rPr>
                  </w:pPr>
                  <w:r>
                    <w:rPr>
                      <w:rFonts w:hint="eastAsia"/>
                    </w:rPr>
                    <w:t>监测因子</w:t>
                  </w:r>
                </w:p>
              </w:tc>
              <w:tc>
                <w:tcPr>
                  <w:tcW w:w="705" w:type="pct"/>
                  <w:vAlign w:val="center"/>
                </w:tcPr>
                <w:p w14:paraId="129776E9">
                  <w:pPr>
                    <w:jc w:val="center"/>
                    <w:rPr>
                      <w:rFonts w:hint="eastAsia"/>
                    </w:rPr>
                  </w:pPr>
                  <w:r>
                    <w:rPr>
                      <w:rFonts w:hint="eastAsia"/>
                    </w:rPr>
                    <w:t>监测频次</w:t>
                  </w:r>
                </w:p>
              </w:tc>
              <w:tc>
                <w:tcPr>
                  <w:tcW w:w="1261" w:type="pct"/>
                  <w:vAlign w:val="center"/>
                </w:tcPr>
                <w:p w14:paraId="4FF431BF">
                  <w:pPr>
                    <w:jc w:val="center"/>
                    <w:rPr>
                      <w:rFonts w:hint="eastAsia"/>
                    </w:rPr>
                  </w:pPr>
                  <w:r>
                    <w:rPr>
                      <w:rFonts w:hint="eastAsia"/>
                    </w:rPr>
                    <w:t>执行标准</w:t>
                  </w:r>
                </w:p>
              </w:tc>
            </w:tr>
            <w:tr w14:paraId="124272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244" w:type="pct"/>
                  <w:vAlign w:val="center"/>
                </w:tcPr>
                <w:p w14:paraId="38F367AF">
                  <w:pPr>
                    <w:jc w:val="center"/>
                  </w:pPr>
                  <w:r>
                    <w:rPr>
                      <w:rFonts w:hint="eastAsia"/>
                    </w:rPr>
                    <w:t>1</w:t>
                  </w:r>
                </w:p>
              </w:tc>
              <w:tc>
                <w:tcPr>
                  <w:tcW w:w="931" w:type="pct"/>
                  <w:vMerge w:val="restart"/>
                  <w:vAlign w:val="center"/>
                </w:tcPr>
                <w:p w14:paraId="2F2AAD80">
                  <w:pPr>
                    <w:jc w:val="center"/>
                    <w:rPr>
                      <w:rFonts w:hint="eastAsia"/>
                    </w:rPr>
                  </w:pPr>
                  <w:r>
                    <w:rPr>
                      <w:rFonts w:hint="eastAsia"/>
                    </w:rPr>
                    <w:t>废气</w:t>
                  </w:r>
                </w:p>
              </w:tc>
              <w:tc>
                <w:tcPr>
                  <w:tcW w:w="914" w:type="pct"/>
                  <w:vAlign w:val="center"/>
                </w:tcPr>
                <w:p w14:paraId="2ECDE8BC">
                  <w:pPr>
                    <w:jc w:val="center"/>
                    <w:rPr>
                      <w:rFonts w:hint="eastAsia"/>
                    </w:rPr>
                  </w:pPr>
                  <w:r>
                    <w:rPr>
                      <w:rFonts w:hint="eastAsia"/>
                    </w:rPr>
                    <w:t>油气回收系统</w:t>
                  </w:r>
                </w:p>
              </w:tc>
              <w:tc>
                <w:tcPr>
                  <w:tcW w:w="943" w:type="pct"/>
                  <w:vAlign w:val="center"/>
                </w:tcPr>
                <w:p w14:paraId="73630FD8">
                  <w:pPr>
                    <w:jc w:val="center"/>
                    <w:rPr>
                      <w:rFonts w:hint="eastAsia"/>
                    </w:rPr>
                  </w:pPr>
                  <w:r>
                    <w:rPr>
                      <w:rFonts w:hint="eastAsia"/>
                    </w:rPr>
                    <w:t>气液比、液阻、密闭性、油气泄漏值</w:t>
                  </w:r>
                </w:p>
              </w:tc>
              <w:tc>
                <w:tcPr>
                  <w:tcW w:w="705" w:type="pct"/>
                  <w:vAlign w:val="center"/>
                </w:tcPr>
                <w:p w14:paraId="4E3D9D7E">
                  <w:pPr>
                    <w:jc w:val="center"/>
                    <w:rPr>
                      <w:rFonts w:hint="eastAsia"/>
                    </w:rPr>
                  </w:pPr>
                  <w:r>
                    <w:rPr>
                      <w:rFonts w:hint="eastAsia"/>
                    </w:rPr>
                    <w:t>1次/年</w:t>
                  </w:r>
                </w:p>
              </w:tc>
              <w:tc>
                <w:tcPr>
                  <w:tcW w:w="1261" w:type="pct"/>
                  <w:vAlign w:val="center"/>
                </w:tcPr>
                <w:p w14:paraId="023E2F81">
                  <w:pPr>
                    <w:jc w:val="center"/>
                    <w:rPr>
                      <w:rFonts w:hint="eastAsia"/>
                      <w:szCs w:val="21"/>
                    </w:rPr>
                  </w:pPr>
                  <w:r>
                    <w:rPr>
                      <w:szCs w:val="21"/>
                    </w:rPr>
                    <w:t>《加油站大气污染物排放标准》（GB20952-20</w:t>
                  </w:r>
                  <w:r>
                    <w:rPr>
                      <w:rFonts w:hint="eastAsia"/>
                      <w:szCs w:val="21"/>
                    </w:rPr>
                    <w:t>20</w:t>
                  </w:r>
                  <w:r>
                    <w:rPr>
                      <w:szCs w:val="21"/>
                    </w:rPr>
                    <w:t>）</w:t>
                  </w:r>
                </w:p>
              </w:tc>
            </w:tr>
            <w:tr w14:paraId="0F84C8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244" w:type="pct"/>
                  <w:vAlign w:val="center"/>
                </w:tcPr>
                <w:p w14:paraId="293D7F65">
                  <w:pPr>
                    <w:jc w:val="center"/>
                    <w:rPr>
                      <w:rFonts w:hint="eastAsia"/>
                    </w:rPr>
                  </w:pPr>
                  <w:r>
                    <w:rPr>
                      <w:rFonts w:hint="eastAsia"/>
                    </w:rPr>
                    <w:t>2</w:t>
                  </w:r>
                </w:p>
              </w:tc>
              <w:tc>
                <w:tcPr>
                  <w:tcW w:w="931" w:type="pct"/>
                  <w:vMerge w:val="continue"/>
                  <w:vAlign w:val="center"/>
                </w:tcPr>
                <w:p w14:paraId="23BB5869">
                  <w:pPr>
                    <w:jc w:val="center"/>
                    <w:rPr>
                      <w:rFonts w:hint="eastAsia"/>
                    </w:rPr>
                  </w:pPr>
                </w:p>
              </w:tc>
              <w:tc>
                <w:tcPr>
                  <w:tcW w:w="914" w:type="pct"/>
                  <w:vAlign w:val="center"/>
                </w:tcPr>
                <w:p w14:paraId="2723F485">
                  <w:pPr>
                    <w:jc w:val="center"/>
                    <w:rPr>
                      <w:rFonts w:hint="eastAsia"/>
                    </w:rPr>
                  </w:pPr>
                  <w:r>
                    <w:rPr>
                      <w:rFonts w:hint="eastAsia"/>
                    </w:rPr>
                    <w:t>加油站边界</w:t>
                  </w:r>
                </w:p>
              </w:tc>
              <w:tc>
                <w:tcPr>
                  <w:tcW w:w="943" w:type="pct"/>
                  <w:vAlign w:val="center"/>
                </w:tcPr>
                <w:p w14:paraId="65AEBF30">
                  <w:pPr>
                    <w:jc w:val="center"/>
                    <w:rPr>
                      <w:rFonts w:hint="eastAsia"/>
                    </w:rPr>
                  </w:pPr>
                  <w:r>
                    <w:rPr>
                      <w:rFonts w:hint="eastAsia"/>
                      <w:szCs w:val="21"/>
                    </w:rPr>
                    <w:t>非甲烷总烃</w:t>
                  </w:r>
                </w:p>
              </w:tc>
              <w:tc>
                <w:tcPr>
                  <w:tcW w:w="705" w:type="pct"/>
                  <w:vAlign w:val="center"/>
                </w:tcPr>
                <w:p w14:paraId="5462546A">
                  <w:pPr>
                    <w:jc w:val="center"/>
                    <w:rPr>
                      <w:rFonts w:hint="eastAsia"/>
                    </w:rPr>
                  </w:pPr>
                  <w:r>
                    <w:rPr>
                      <w:rFonts w:hint="eastAsia"/>
                    </w:rPr>
                    <w:t>1次/年</w:t>
                  </w:r>
                </w:p>
              </w:tc>
              <w:tc>
                <w:tcPr>
                  <w:tcW w:w="1261" w:type="pct"/>
                  <w:vAlign w:val="center"/>
                </w:tcPr>
                <w:p w14:paraId="3FEA4F85">
                  <w:pPr>
                    <w:jc w:val="center"/>
                    <w:rPr>
                      <w:rFonts w:hint="eastAsia"/>
                      <w:szCs w:val="21"/>
                    </w:rPr>
                  </w:pPr>
                  <w:r>
                    <w:rPr>
                      <w:szCs w:val="21"/>
                    </w:rPr>
                    <w:t>《加油站大气污染物排放标准》（GB20952-20</w:t>
                  </w:r>
                  <w:r>
                    <w:rPr>
                      <w:rFonts w:hint="eastAsia"/>
                      <w:szCs w:val="21"/>
                    </w:rPr>
                    <w:t>20</w:t>
                  </w:r>
                  <w:r>
                    <w:rPr>
                      <w:szCs w:val="21"/>
                    </w:rPr>
                    <w:t>）</w:t>
                  </w:r>
                </w:p>
              </w:tc>
            </w:tr>
          </w:tbl>
          <w:p w14:paraId="3FC221B1">
            <w:pPr>
              <w:wordWrap w:val="0"/>
              <w:adjustRightInd w:val="0"/>
              <w:snapToGrid w:val="0"/>
              <w:spacing w:line="360" w:lineRule="auto"/>
              <w:ind w:firstLine="482" w:firstLineChars="200"/>
              <w:rPr>
                <w:rFonts w:hint="eastAsia"/>
                <w:b/>
                <w:bCs/>
                <w:sz w:val="24"/>
              </w:rPr>
            </w:pPr>
            <w:r>
              <w:rPr>
                <w:rFonts w:hint="eastAsia"/>
                <w:b/>
                <w:bCs/>
                <w:sz w:val="24"/>
              </w:rPr>
              <w:t>（5）废气排放环境影响分析</w:t>
            </w:r>
          </w:p>
          <w:p w14:paraId="584A5975">
            <w:pPr>
              <w:wordWrap w:val="0"/>
              <w:adjustRightInd w:val="0"/>
              <w:snapToGrid w:val="0"/>
              <w:spacing w:line="360" w:lineRule="auto"/>
              <w:ind w:firstLine="480" w:firstLineChars="200"/>
              <w:rPr>
                <w:sz w:val="24"/>
              </w:rPr>
            </w:pPr>
            <w:r>
              <w:rPr>
                <w:sz w:val="24"/>
              </w:rPr>
              <w:t>项目营运期废气污染物主要为油罐挥发、加油枪挥发、机动车尾气、备用柴油发电机废气等，油罐挥发和加油枪挥发的非甲烷总烃经过一、二次汽油油气回收系统，油罐埋地设置等措施后，排放量很小，故本项目不设置卫生防护距离。机动车尾气自然扩散排放，备用柴油发电机废气经过自带的净化装置处理后排放。</w:t>
            </w:r>
          </w:p>
          <w:p w14:paraId="7CEDAC6B">
            <w:pPr>
              <w:wordWrap w:val="0"/>
              <w:adjustRightInd w:val="0"/>
              <w:snapToGrid w:val="0"/>
              <w:spacing w:line="360" w:lineRule="auto"/>
              <w:ind w:firstLine="480" w:firstLineChars="200"/>
              <w:rPr>
                <w:sz w:val="24"/>
              </w:rPr>
            </w:pPr>
            <w:r>
              <w:rPr>
                <w:sz w:val="24"/>
              </w:rPr>
              <w:t>本项目废气对周围环境影响较小。</w:t>
            </w:r>
          </w:p>
          <w:p w14:paraId="5892BE2F">
            <w:pPr>
              <w:adjustRightInd w:val="0"/>
              <w:snapToGrid w:val="0"/>
              <w:spacing w:line="360" w:lineRule="auto"/>
              <w:rPr>
                <w:rFonts w:hint="eastAsia" w:ascii="宋体" w:hAnsi="宋体" w:cs="宋体"/>
                <w:b/>
                <w:spacing w:val="-10"/>
                <w:sz w:val="24"/>
              </w:rPr>
            </w:pPr>
            <w:r>
              <w:rPr>
                <w:rFonts w:hint="eastAsia" w:ascii="宋体" w:hAnsi="宋体" w:cs="宋体"/>
                <w:b/>
                <w:color w:val="000000"/>
                <w:spacing w:val="-10"/>
                <w:sz w:val="24"/>
              </w:rPr>
              <w:t>4.3废水污</w:t>
            </w:r>
            <w:r>
              <w:rPr>
                <w:rFonts w:hint="eastAsia" w:ascii="宋体" w:hAnsi="宋体" w:cs="宋体"/>
                <w:b/>
                <w:spacing w:val="-10"/>
                <w:sz w:val="24"/>
              </w:rPr>
              <w:t>染物产排污及治理设施情况</w:t>
            </w:r>
          </w:p>
          <w:p w14:paraId="6C6502B7">
            <w:pPr>
              <w:adjustRightInd w:val="0"/>
              <w:snapToGrid w:val="0"/>
              <w:spacing w:line="360" w:lineRule="auto"/>
              <w:ind w:firstLine="482" w:firstLineChars="200"/>
              <w:rPr>
                <w:rFonts w:hint="eastAsia"/>
                <w:b/>
                <w:bCs/>
                <w:sz w:val="24"/>
              </w:rPr>
            </w:pPr>
            <w:r>
              <w:rPr>
                <w:rFonts w:hint="eastAsia"/>
                <w:b/>
                <w:bCs/>
                <w:sz w:val="24"/>
              </w:rPr>
              <w:t>（1）废水产排污情况</w:t>
            </w:r>
          </w:p>
          <w:p w14:paraId="6F7EB100">
            <w:pPr>
              <w:adjustRightInd w:val="0"/>
              <w:snapToGrid w:val="0"/>
              <w:spacing w:line="360" w:lineRule="auto"/>
              <w:ind w:firstLine="480" w:firstLineChars="200"/>
              <w:rPr>
                <w:rFonts w:hint="eastAsia"/>
                <w:sz w:val="24"/>
              </w:rPr>
            </w:pPr>
            <w:r>
              <w:rPr>
                <w:rFonts w:hint="eastAsia"/>
                <w:sz w:val="24"/>
              </w:rPr>
              <w:t>本项目采用雨污分流制，运营期间废水主要为生活污水、场地冲洗废水及初期雨水，加油棚雨水及站房屋面雨水经雨水管道收集后进入园区雨水管网。场地冲洗废水和</w:t>
            </w:r>
            <w:r>
              <w:rPr>
                <w:rFonts w:hint="eastAsia"/>
                <w:bCs/>
                <w:sz w:val="24"/>
              </w:rPr>
              <w:t>初期雨水排放至隔油池处理后排入园区污水管网。</w:t>
            </w:r>
          </w:p>
          <w:p w14:paraId="097DD2FE">
            <w:pPr>
              <w:adjustRightInd w:val="0"/>
              <w:snapToGrid w:val="0"/>
              <w:spacing w:line="360" w:lineRule="auto"/>
              <w:ind w:firstLine="480" w:firstLineChars="200"/>
              <w:rPr>
                <w:rFonts w:hint="eastAsia"/>
                <w:sz w:val="24"/>
              </w:rPr>
            </w:pPr>
            <w:r>
              <w:rPr>
                <w:rFonts w:hint="eastAsia" w:ascii="宋体" w:hAnsi="宋体"/>
                <w:sz w:val="24"/>
              </w:rPr>
              <w:t>①</w:t>
            </w:r>
            <w:r>
              <w:rPr>
                <w:rFonts w:hint="eastAsia"/>
                <w:sz w:val="24"/>
              </w:rPr>
              <w:t>生活污水</w:t>
            </w:r>
          </w:p>
          <w:p w14:paraId="6859AE7D">
            <w:pPr>
              <w:adjustRightInd w:val="0"/>
              <w:snapToGrid w:val="0"/>
              <w:spacing w:line="360" w:lineRule="auto"/>
              <w:ind w:firstLine="480" w:firstLineChars="200"/>
              <w:rPr>
                <w:rFonts w:hint="eastAsia"/>
                <w:sz w:val="24"/>
              </w:rPr>
            </w:pPr>
            <w:r>
              <w:rPr>
                <w:rFonts w:hint="eastAsia"/>
                <w:sz w:val="24"/>
              </w:rPr>
              <w:t>本项目营运期生活污水主要为职工和司乘人员产生的生活污水。本项目营运期职工生活污水和司乘人员产生的污水一起排入生化池处理达《污水综合排放标准》（GB8978-1996）三级标准后经市政管网排入大耍坝污水处理厂处理。</w:t>
            </w:r>
          </w:p>
          <w:p w14:paraId="3D3090D7">
            <w:pPr>
              <w:adjustRightInd w:val="0"/>
              <w:snapToGrid w:val="0"/>
              <w:spacing w:line="360" w:lineRule="auto"/>
              <w:ind w:firstLine="480" w:firstLineChars="200"/>
              <w:rPr>
                <w:rFonts w:hint="eastAsia"/>
                <w:sz w:val="24"/>
              </w:rPr>
            </w:pPr>
            <w:r>
              <w:rPr>
                <w:rFonts w:hint="eastAsia"/>
                <w:sz w:val="24"/>
              </w:rPr>
              <w:t>②场地冲洗废水</w:t>
            </w:r>
          </w:p>
          <w:p w14:paraId="3EFB0A40">
            <w:pPr>
              <w:adjustRightInd w:val="0"/>
              <w:snapToGrid w:val="0"/>
              <w:spacing w:line="360" w:lineRule="auto"/>
              <w:ind w:firstLine="480" w:firstLineChars="200"/>
              <w:rPr>
                <w:rFonts w:hint="eastAsia"/>
                <w:sz w:val="24"/>
              </w:rPr>
            </w:pPr>
            <w:r>
              <w:rPr>
                <w:rFonts w:hint="eastAsia"/>
                <w:sz w:val="24"/>
              </w:rPr>
              <w:t>本项目营运期加油岛地面冲洗废水和初期雨水经隔油池隔油沉淀</w:t>
            </w:r>
            <w:r>
              <w:rPr>
                <w:rFonts w:hint="eastAsia"/>
                <w:bCs/>
                <w:sz w:val="24"/>
              </w:rPr>
              <w:t>处理达《污水综合排放标准》</w:t>
            </w:r>
            <w:r>
              <w:rPr>
                <w:rFonts w:hint="eastAsia"/>
                <w:sz w:val="24"/>
              </w:rPr>
              <w:t>（GB8978-1996）三级标准后同生活污水一起排入园区污水管网，最终排入大耍坝污水处理厂。雨水进入隔油池前端设置切换阀，后期雨水直接进入园区雨水管网。</w:t>
            </w:r>
          </w:p>
          <w:p w14:paraId="647909B8">
            <w:pPr>
              <w:adjustRightInd w:val="0"/>
              <w:snapToGrid w:val="0"/>
              <w:spacing w:line="360" w:lineRule="auto"/>
              <w:ind w:firstLine="480" w:firstLineChars="200"/>
              <w:rPr>
                <w:sz w:val="24"/>
              </w:rPr>
            </w:pPr>
            <w:r>
              <w:rPr>
                <w:rFonts w:hint="eastAsia"/>
                <w:sz w:val="24"/>
              </w:rPr>
              <w:t>拟建项目废水排放基本情况见表4-5～表4-7。</w:t>
            </w:r>
          </w:p>
          <w:p w14:paraId="3F167B6B">
            <w:pPr>
              <w:pStyle w:val="68"/>
              <w:spacing w:line="240" w:lineRule="auto"/>
              <w:rPr>
                <w:rFonts w:hint="eastAsia" w:ascii="黑体" w:hAnsi="黑体" w:eastAsia="黑体" w:cs="黑体"/>
                <w:b w:val="0"/>
                <w:bCs w:val="0"/>
                <w:lang w:val="zh-CN"/>
              </w:rPr>
            </w:pPr>
            <w:r>
              <w:rPr>
                <w:rFonts w:hint="eastAsia" w:ascii="黑体" w:hAnsi="黑体" w:eastAsia="黑体" w:cs="黑体"/>
                <w:b w:val="0"/>
                <w:bCs w:val="0"/>
                <w:lang w:val="zh-CN"/>
              </w:rPr>
              <w:t xml:space="preserve">表4-5 </w:t>
            </w:r>
            <w:r>
              <w:rPr>
                <w:rFonts w:hint="eastAsia" w:ascii="黑体" w:hAnsi="黑体" w:eastAsia="黑体" w:cs="黑体"/>
                <w:b w:val="0"/>
                <w:bCs w:val="0"/>
              </w:rPr>
              <w:t xml:space="preserve"> </w:t>
            </w:r>
            <w:r>
              <w:rPr>
                <w:rFonts w:hint="eastAsia" w:ascii="黑体" w:hAnsi="黑体" w:eastAsia="黑体" w:cs="黑体"/>
                <w:b w:val="0"/>
                <w:bCs w:val="0"/>
                <w:lang w:val="zh-CN"/>
              </w:rPr>
              <w:t>项目运营期废水产排情况一览表</w:t>
            </w:r>
          </w:p>
          <w:tbl>
            <w:tblPr>
              <w:tblStyle w:val="23"/>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04"/>
              <w:gridCol w:w="889"/>
              <w:gridCol w:w="553"/>
              <w:gridCol w:w="703"/>
              <w:gridCol w:w="787"/>
              <w:gridCol w:w="703"/>
              <w:gridCol w:w="753"/>
              <w:gridCol w:w="687"/>
              <w:gridCol w:w="738"/>
              <w:gridCol w:w="741"/>
              <w:gridCol w:w="733"/>
            </w:tblGrid>
            <w:tr w14:paraId="51DA00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496" w:type="pct"/>
                  <w:vMerge w:val="restart"/>
                  <w:vAlign w:val="center"/>
                </w:tcPr>
                <w:p w14:paraId="6F4A2171">
                  <w:pPr>
                    <w:jc w:val="center"/>
                  </w:pPr>
                  <w:r>
                    <w:rPr>
                      <w:rFonts w:hint="eastAsia"/>
                    </w:rPr>
                    <w:t>产排污环节</w:t>
                  </w:r>
                </w:p>
              </w:tc>
              <w:tc>
                <w:tcPr>
                  <w:tcW w:w="548" w:type="pct"/>
                  <w:vMerge w:val="restart"/>
                  <w:vAlign w:val="center"/>
                </w:tcPr>
                <w:p w14:paraId="6364E249">
                  <w:pPr>
                    <w:jc w:val="center"/>
                    <w:rPr>
                      <w:rFonts w:hint="eastAsia"/>
                    </w:rPr>
                  </w:pPr>
                  <w:r>
                    <w:rPr>
                      <w:rFonts w:hint="eastAsia"/>
                    </w:rPr>
                    <w:t>废水排放量</w:t>
                  </w:r>
                </w:p>
              </w:tc>
              <w:tc>
                <w:tcPr>
                  <w:tcW w:w="341" w:type="pct"/>
                  <w:vMerge w:val="restart"/>
                  <w:vAlign w:val="center"/>
                </w:tcPr>
                <w:p w14:paraId="2DBF477F">
                  <w:pPr>
                    <w:jc w:val="center"/>
                    <w:rPr>
                      <w:rFonts w:hint="eastAsia"/>
                    </w:rPr>
                  </w:pPr>
                  <w:r>
                    <w:rPr>
                      <w:rFonts w:hint="eastAsia"/>
                    </w:rPr>
                    <w:t>类别</w:t>
                  </w:r>
                </w:p>
              </w:tc>
              <w:tc>
                <w:tcPr>
                  <w:tcW w:w="434" w:type="pct"/>
                  <w:vMerge w:val="restart"/>
                  <w:vAlign w:val="center"/>
                </w:tcPr>
                <w:p w14:paraId="48525D81">
                  <w:pPr>
                    <w:jc w:val="center"/>
                  </w:pPr>
                  <w:r>
                    <w:rPr>
                      <w:rFonts w:hint="eastAsia"/>
                    </w:rPr>
                    <w:t>污染物种类</w:t>
                  </w:r>
                </w:p>
              </w:tc>
              <w:tc>
                <w:tcPr>
                  <w:tcW w:w="486" w:type="pct"/>
                  <w:vMerge w:val="restart"/>
                  <w:vAlign w:val="center"/>
                </w:tcPr>
                <w:p w14:paraId="651A68BA">
                  <w:pPr>
                    <w:jc w:val="center"/>
                  </w:pPr>
                  <w:r>
                    <w:rPr>
                      <w:rFonts w:hint="eastAsia"/>
                    </w:rPr>
                    <w:t>污染物产生浓度</w:t>
                  </w:r>
                  <w:r>
                    <w:rPr>
                      <w:kern w:val="0"/>
                      <w:szCs w:val="21"/>
                    </w:rPr>
                    <w:t>mg/L</w:t>
                  </w:r>
                </w:p>
              </w:tc>
              <w:tc>
                <w:tcPr>
                  <w:tcW w:w="434" w:type="pct"/>
                  <w:vMerge w:val="restart"/>
                  <w:vAlign w:val="center"/>
                </w:tcPr>
                <w:p w14:paraId="339CD125">
                  <w:pPr>
                    <w:jc w:val="center"/>
                    <w:rPr>
                      <w:rFonts w:hint="eastAsia"/>
                    </w:rPr>
                  </w:pPr>
                  <w:r>
                    <w:rPr>
                      <w:rFonts w:hint="eastAsia"/>
                    </w:rPr>
                    <w:t>污染物产生量</w:t>
                  </w:r>
                  <w:r>
                    <w:rPr>
                      <w:kern w:val="0"/>
                      <w:szCs w:val="21"/>
                    </w:rPr>
                    <w:t>t/a</w:t>
                  </w:r>
                </w:p>
              </w:tc>
              <w:tc>
                <w:tcPr>
                  <w:tcW w:w="1345" w:type="pct"/>
                  <w:gridSpan w:val="3"/>
                  <w:vAlign w:val="center"/>
                </w:tcPr>
                <w:p w14:paraId="67F735BB">
                  <w:pPr>
                    <w:jc w:val="center"/>
                    <w:rPr>
                      <w:rFonts w:hint="eastAsia"/>
                    </w:rPr>
                  </w:pPr>
                  <w:r>
                    <w:rPr>
                      <w:rFonts w:hint="eastAsia"/>
                    </w:rPr>
                    <w:t>治理设施</w:t>
                  </w:r>
                </w:p>
              </w:tc>
              <w:tc>
                <w:tcPr>
                  <w:tcW w:w="458" w:type="pct"/>
                  <w:vMerge w:val="restart"/>
                  <w:vAlign w:val="center"/>
                </w:tcPr>
                <w:p w14:paraId="39031DF2">
                  <w:pPr>
                    <w:jc w:val="center"/>
                    <w:rPr>
                      <w:rFonts w:hint="eastAsia"/>
                    </w:rPr>
                  </w:pPr>
                  <w:r>
                    <w:rPr>
                      <w:rFonts w:hint="eastAsia"/>
                    </w:rPr>
                    <w:t>污染物排放</w:t>
                  </w:r>
                  <w:r>
                    <w:t>浓度</w:t>
                  </w:r>
                  <w:r>
                    <w:rPr>
                      <w:kern w:val="0"/>
                      <w:szCs w:val="21"/>
                    </w:rPr>
                    <w:t>mg/L</w:t>
                  </w:r>
                </w:p>
              </w:tc>
              <w:tc>
                <w:tcPr>
                  <w:tcW w:w="453" w:type="pct"/>
                  <w:vMerge w:val="restart"/>
                  <w:vAlign w:val="center"/>
                </w:tcPr>
                <w:p w14:paraId="2DEF1574">
                  <w:pPr>
                    <w:jc w:val="center"/>
                    <w:rPr>
                      <w:rFonts w:hint="eastAsia"/>
                    </w:rPr>
                  </w:pPr>
                  <w:r>
                    <w:rPr>
                      <w:rFonts w:hint="eastAsia"/>
                    </w:rPr>
                    <w:t>污染物排放量</w:t>
                  </w:r>
                  <w:r>
                    <w:rPr>
                      <w:kern w:val="0"/>
                      <w:szCs w:val="21"/>
                    </w:rPr>
                    <w:t>t/a</w:t>
                  </w:r>
                </w:p>
              </w:tc>
            </w:tr>
            <w:tr w14:paraId="5500F8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6" w:type="pct"/>
                  <w:vMerge w:val="continue"/>
                  <w:vAlign w:val="center"/>
                </w:tcPr>
                <w:p w14:paraId="57002AFE">
                  <w:pPr>
                    <w:jc w:val="center"/>
                  </w:pPr>
                </w:p>
              </w:tc>
              <w:tc>
                <w:tcPr>
                  <w:tcW w:w="548" w:type="pct"/>
                  <w:vMerge w:val="continue"/>
                  <w:vAlign w:val="center"/>
                </w:tcPr>
                <w:p w14:paraId="7C4E69FC">
                  <w:pPr>
                    <w:jc w:val="center"/>
                  </w:pPr>
                </w:p>
              </w:tc>
              <w:tc>
                <w:tcPr>
                  <w:tcW w:w="341" w:type="pct"/>
                  <w:vMerge w:val="continue"/>
                  <w:vAlign w:val="center"/>
                </w:tcPr>
                <w:p w14:paraId="0827C332">
                  <w:pPr>
                    <w:jc w:val="center"/>
                  </w:pPr>
                </w:p>
              </w:tc>
              <w:tc>
                <w:tcPr>
                  <w:tcW w:w="434" w:type="pct"/>
                  <w:vMerge w:val="continue"/>
                  <w:vAlign w:val="center"/>
                </w:tcPr>
                <w:p w14:paraId="2E8D7067">
                  <w:pPr>
                    <w:jc w:val="center"/>
                  </w:pPr>
                </w:p>
              </w:tc>
              <w:tc>
                <w:tcPr>
                  <w:tcW w:w="486" w:type="pct"/>
                  <w:vMerge w:val="continue"/>
                  <w:vAlign w:val="center"/>
                </w:tcPr>
                <w:p w14:paraId="399FDDAE">
                  <w:pPr>
                    <w:jc w:val="center"/>
                  </w:pPr>
                </w:p>
              </w:tc>
              <w:tc>
                <w:tcPr>
                  <w:tcW w:w="434" w:type="pct"/>
                  <w:vMerge w:val="continue"/>
                  <w:vAlign w:val="center"/>
                </w:tcPr>
                <w:p w14:paraId="1D543A0C">
                  <w:pPr>
                    <w:jc w:val="center"/>
                  </w:pPr>
                </w:p>
              </w:tc>
              <w:tc>
                <w:tcPr>
                  <w:tcW w:w="465" w:type="pct"/>
                  <w:vAlign w:val="center"/>
                </w:tcPr>
                <w:p w14:paraId="01A5E6CE">
                  <w:pPr>
                    <w:jc w:val="center"/>
                  </w:pPr>
                  <w:r>
                    <w:rPr>
                      <w:rFonts w:hint="eastAsia"/>
                    </w:rPr>
                    <w:t>处理能力</w:t>
                  </w:r>
                </w:p>
              </w:tc>
              <w:tc>
                <w:tcPr>
                  <w:tcW w:w="424" w:type="pct"/>
                  <w:vAlign w:val="center"/>
                </w:tcPr>
                <w:p w14:paraId="2021E3F4">
                  <w:pPr>
                    <w:jc w:val="center"/>
                  </w:pPr>
                  <w:r>
                    <w:rPr>
                      <w:rFonts w:hint="eastAsia"/>
                    </w:rPr>
                    <w:t>处理工艺</w:t>
                  </w:r>
                </w:p>
              </w:tc>
              <w:tc>
                <w:tcPr>
                  <w:tcW w:w="455" w:type="pct"/>
                  <w:vAlign w:val="center"/>
                </w:tcPr>
                <w:p w14:paraId="07E7C0DB">
                  <w:pPr>
                    <w:jc w:val="center"/>
                  </w:pPr>
                  <w:r>
                    <w:rPr>
                      <w:rFonts w:hint="eastAsia"/>
                    </w:rPr>
                    <w:t>是否为可行技术</w:t>
                  </w:r>
                </w:p>
              </w:tc>
              <w:tc>
                <w:tcPr>
                  <w:tcW w:w="458" w:type="pct"/>
                  <w:vMerge w:val="continue"/>
                  <w:vAlign w:val="center"/>
                </w:tcPr>
                <w:p w14:paraId="3CA8A48A">
                  <w:pPr>
                    <w:jc w:val="center"/>
                    <w:rPr>
                      <w:rFonts w:hint="eastAsia"/>
                    </w:rPr>
                  </w:pPr>
                </w:p>
              </w:tc>
              <w:tc>
                <w:tcPr>
                  <w:tcW w:w="453" w:type="pct"/>
                  <w:vMerge w:val="continue"/>
                  <w:vAlign w:val="center"/>
                </w:tcPr>
                <w:p w14:paraId="75BD84B5">
                  <w:pPr>
                    <w:jc w:val="center"/>
                    <w:rPr>
                      <w:rFonts w:hint="eastAsia"/>
                    </w:rPr>
                  </w:pPr>
                </w:p>
              </w:tc>
            </w:tr>
            <w:tr w14:paraId="2DFD67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6" w:type="pct"/>
                  <w:vMerge w:val="restart"/>
                  <w:vAlign w:val="center"/>
                </w:tcPr>
                <w:p w14:paraId="4315B5FD">
                  <w:pPr>
                    <w:jc w:val="center"/>
                    <w:rPr>
                      <w:rFonts w:hint="eastAsia"/>
                      <w:color w:val="000000"/>
                    </w:rPr>
                  </w:pPr>
                  <w:r>
                    <w:rPr>
                      <w:rFonts w:hint="eastAsia"/>
                      <w:color w:val="000000"/>
                    </w:rPr>
                    <w:t>生活污水、司乘人员</w:t>
                  </w:r>
                </w:p>
              </w:tc>
              <w:tc>
                <w:tcPr>
                  <w:tcW w:w="548" w:type="pct"/>
                  <w:vMerge w:val="restart"/>
                  <w:vAlign w:val="center"/>
                </w:tcPr>
                <w:p w14:paraId="44AD9DA4">
                  <w:pPr>
                    <w:jc w:val="center"/>
                    <w:rPr>
                      <w:rFonts w:hint="eastAsia"/>
                    </w:rPr>
                  </w:pPr>
                  <w:r>
                    <w:rPr>
                      <w:rFonts w:hint="eastAsia"/>
                    </w:rPr>
                    <w:t>2.304</w:t>
                  </w:r>
                  <w:r>
                    <w:t>m</w:t>
                  </w:r>
                  <w:r>
                    <w:rPr>
                      <w:vertAlign w:val="superscript"/>
                    </w:rPr>
                    <w:t>3</w:t>
                  </w:r>
                  <w:r>
                    <w:t>/d，</w:t>
                  </w:r>
                  <w:r>
                    <w:rPr>
                      <w:rFonts w:hint="eastAsia"/>
                    </w:rPr>
                    <w:t>840.96</w:t>
                  </w:r>
                  <w:r>
                    <w:t>m</w:t>
                  </w:r>
                  <w:r>
                    <w:rPr>
                      <w:vertAlign w:val="superscript"/>
                    </w:rPr>
                    <w:t>3</w:t>
                  </w:r>
                  <w:r>
                    <w:t>/a</w:t>
                  </w:r>
                </w:p>
              </w:tc>
              <w:tc>
                <w:tcPr>
                  <w:tcW w:w="341" w:type="pct"/>
                  <w:vMerge w:val="restart"/>
                  <w:vAlign w:val="center"/>
                </w:tcPr>
                <w:p w14:paraId="46325A5F">
                  <w:pPr>
                    <w:jc w:val="center"/>
                    <w:rPr>
                      <w:rFonts w:hint="eastAsia"/>
                    </w:rPr>
                  </w:pPr>
                  <w:r>
                    <w:rPr>
                      <w:rFonts w:hint="eastAsia"/>
                    </w:rPr>
                    <w:t>生活污水</w:t>
                  </w:r>
                </w:p>
              </w:tc>
              <w:tc>
                <w:tcPr>
                  <w:tcW w:w="434" w:type="pct"/>
                  <w:vAlign w:val="center"/>
                </w:tcPr>
                <w:p w14:paraId="6307A777">
                  <w:pPr>
                    <w:jc w:val="center"/>
                  </w:pPr>
                  <w:r>
                    <w:rPr>
                      <w:rFonts w:hint="eastAsia"/>
                    </w:rPr>
                    <w:t>C</w:t>
                  </w:r>
                  <w:r>
                    <w:t>OD</w:t>
                  </w:r>
                </w:p>
              </w:tc>
              <w:tc>
                <w:tcPr>
                  <w:tcW w:w="486" w:type="pct"/>
                  <w:vAlign w:val="center"/>
                </w:tcPr>
                <w:p w14:paraId="40CB39C7">
                  <w:pPr>
                    <w:widowControl/>
                    <w:spacing w:line="360" w:lineRule="exact"/>
                    <w:jc w:val="center"/>
                    <w:textAlignment w:val="center"/>
                    <w:rPr>
                      <w:szCs w:val="21"/>
                    </w:rPr>
                  </w:pPr>
                  <w:r>
                    <w:rPr>
                      <w:rFonts w:hint="eastAsia"/>
                      <w:kern w:val="0"/>
                      <w:szCs w:val="21"/>
                    </w:rPr>
                    <w:t>600</w:t>
                  </w:r>
                </w:p>
              </w:tc>
              <w:tc>
                <w:tcPr>
                  <w:tcW w:w="434" w:type="pct"/>
                  <w:vAlign w:val="center"/>
                </w:tcPr>
                <w:p w14:paraId="7996BF09">
                  <w:pPr>
                    <w:widowControl/>
                    <w:spacing w:line="360" w:lineRule="exact"/>
                    <w:jc w:val="center"/>
                    <w:textAlignment w:val="center"/>
                    <w:rPr>
                      <w:szCs w:val="21"/>
                    </w:rPr>
                  </w:pPr>
                  <w:r>
                    <w:rPr>
                      <w:rFonts w:hint="eastAsia"/>
                      <w:szCs w:val="21"/>
                    </w:rPr>
                    <w:t>0.505</w:t>
                  </w:r>
                </w:p>
              </w:tc>
              <w:tc>
                <w:tcPr>
                  <w:tcW w:w="465" w:type="pct"/>
                  <w:vMerge w:val="restart"/>
                  <w:vAlign w:val="center"/>
                </w:tcPr>
                <w:p w14:paraId="48E596B7">
                  <w:pPr>
                    <w:jc w:val="center"/>
                  </w:pPr>
                  <w:r>
                    <w:rPr>
                      <w:rFonts w:hint="eastAsia"/>
                    </w:rPr>
                    <w:t>生化池5</w:t>
                  </w:r>
                  <w:r>
                    <w:t>m</w:t>
                  </w:r>
                  <w:r>
                    <w:rPr>
                      <w:vertAlign w:val="superscript"/>
                    </w:rPr>
                    <w:t>3</w:t>
                  </w:r>
                  <w:r>
                    <w:rPr>
                      <w:rFonts w:hint="eastAsia"/>
                    </w:rPr>
                    <w:t>/d</w:t>
                  </w:r>
                </w:p>
              </w:tc>
              <w:tc>
                <w:tcPr>
                  <w:tcW w:w="424" w:type="pct"/>
                  <w:vMerge w:val="restart"/>
                  <w:vAlign w:val="center"/>
                </w:tcPr>
                <w:p w14:paraId="5173C528">
                  <w:pPr>
                    <w:jc w:val="center"/>
                    <w:rPr>
                      <w:rFonts w:hint="eastAsia"/>
                    </w:rPr>
                  </w:pPr>
                  <w:r>
                    <w:rPr>
                      <w:rFonts w:hint="eastAsia"/>
                    </w:rPr>
                    <w:t>沉淀+</w:t>
                  </w:r>
                </w:p>
                <w:p w14:paraId="4A6D3CD3">
                  <w:pPr>
                    <w:jc w:val="center"/>
                  </w:pPr>
                  <w:r>
                    <w:rPr>
                      <w:rFonts w:hint="eastAsia"/>
                    </w:rPr>
                    <w:t>厌氧</w:t>
                  </w:r>
                </w:p>
              </w:tc>
              <w:tc>
                <w:tcPr>
                  <w:tcW w:w="455" w:type="pct"/>
                  <w:vMerge w:val="restart"/>
                  <w:vAlign w:val="center"/>
                </w:tcPr>
                <w:p w14:paraId="1A136A35">
                  <w:pPr>
                    <w:jc w:val="center"/>
                  </w:pPr>
                  <w:r>
                    <w:rPr>
                      <w:rFonts w:hint="eastAsia"/>
                    </w:rPr>
                    <w:t>是</w:t>
                  </w:r>
                </w:p>
              </w:tc>
              <w:tc>
                <w:tcPr>
                  <w:tcW w:w="458" w:type="pct"/>
                  <w:vAlign w:val="center"/>
                </w:tcPr>
                <w:p w14:paraId="6F42F059">
                  <w:pPr>
                    <w:widowControl/>
                    <w:spacing w:line="360" w:lineRule="exact"/>
                    <w:jc w:val="center"/>
                    <w:textAlignment w:val="center"/>
                    <w:rPr>
                      <w:kern w:val="0"/>
                      <w:szCs w:val="21"/>
                    </w:rPr>
                  </w:pPr>
                  <w:r>
                    <w:rPr>
                      <w:rFonts w:hint="eastAsia"/>
                      <w:kern w:val="0"/>
                      <w:szCs w:val="21"/>
                    </w:rPr>
                    <w:t>500</w:t>
                  </w:r>
                </w:p>
              </w:tc>
              <w:tc>
                <w:tcPr>
                  <w:tcW w:w="453" w:type="pct"/>
                  <w:vAlign w:val="center"/>
                </w:tcPr>
                <w:p w14:paraId="08F09E84">
                  <w:pPr>
                    <w:widowControl/>
                    <w:spacing w:line="360" w:lineRule="exact"/>
                    <w:jc w:val="center"/>
                    <w:textAlignment w:val="center"/>
                    <w:rPr>
                      <w:kern w:val="0"/>
                      <w:szCs w:val="21"/>
                    </w:rPr>
                  </w:pPr>
                  <w:r>
                    <w:rPr>
                      <w:rFonts w:hint="eastAsia"/>
                      <w:kern w:val="0"/>
                      <w:szCs w:val="21"/>
                    </w:rPr>
                    <w:t>0.420</w:t>
                  </w:r>
                </w:p>
              </w:tc>
            </w:tr>
            <w:tr w14:paraId="2ABA00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6" w:type="pct"/>
                  <w:vMerge w:val="continue"/>
                  <w:vAlign w:val="center"/>
                </w:tcPr>
                <w:p w14:paraId="23C1E208">
                  <w:pPr>
                    <w:jc w:val="center"/>
                    <w:rPr>
                      <w:rFonts w:hint="eastAsia"/>
                      <w:color w:val="000000"/>
                    </w:rPr>
                  </w:pPr>
                </w:p>
              </w:tc>
              <w:tc>
                <w:tcPr>
                  <w:tcW w:w="548" w:type="pct"/>
                  <w:vMerge w:val="continue"/>
                  <w:vAlign w:val="center"/>
                </w:tcPr>
                <w:p w14:paraId="73EBB7AB">
                  <w:pPr>
                    <w:jc w:val="center"/>
                    <w:rPr>
                      <w:rFonts w:hint="eastAsia"/>
                    </w:rPr>
                  </w:pPr>
                </w:p>
              </w:tc>
              <w:tc>
                <w:tcPr>
                  <w:tcW w:w="341" w:type="pct"/>
                  <w:vMerge w:val="continue"/>
                  <w:vAlign w:val="center"/>
                </w:tcPr>
                <w:p w14:paraId="38D67126">
                  <w:pPr>
                    <w:jc w:val="center"/>
                    <w:rPr>
                      <w:rFonts w:hint="eastAsia"/>
                    </w:rPr>
                  </w:pPr>
                </w:p>
              </w:tc>
              <w:tc>
                <w:tcPr>
                  <w:tcW w:w="434" w:type="pct"/>
                  <w:vAlign w:val="center"/>
                </w:tcPr>
                <w:p w14:paraId="3D6B1427">
                  <w:pPr>
                    <w:jc w:val="center"/>
                    <w:rPr>
                      <w:rFonts w:hint="eastAsia"/>
                    </w:rPr>
                  </w:pPr>
                  <w:r>
                    <w:rPr>
                      <w:rFonts w:hint="eastAsia"/>
                    </w:rPr>
                    <w:t>B</w:t>
                  </w:r>
                  <w:r>
                    <w:t>OD</w:t>
                  </w:r>
                  <w:r>
                    <w:rPr>
                      <w:vertAlign w:val="subscript"/>
                    </w:rPr>
                    <w:t>5</w:t>
                  </w:r>
                </w:p>
              </w:tc>
              <w:tc>
                <w:tcPr>
                  <w:tcW w:w="486" w:type="pct"/>
                  <w:vAlign w:val="center"/>
                </w:tcPr>
                <w:p w14:paraId="572D73CA">
                  <w:pPr>
                    <w:widowControl/>
                    <w:spacing w:line="360" w:lineRule="exact"/>
                    <w:jc w:val="center"/>
                    <w:textAlignment w:val="center"/>
                    <w:rPr>
                      <w:szCs w:val="21"/>
                    </w:rPr>
                  </w:pPr>
                  <w:r>
                    <w:rPr>
                      <w:rFonts w:hint="eastAsia"/>
                      <w:kern w:val="0"/>
                      <w:szCs w:val="21"/>
                    </w:rPr>
                    <w:t>400</w:t>
                  </w:r>
                </w:p>
              </w:tc>
              <w:tc>
                <w:tcPr>
                  <w:tcW w:w="434" w:type="pct"/>
                  <w:vAlign w:val="center"/>
                </w:tcPr>
                <w:p w14:paraId="00EDA284">
                  <w:pPr>
                    <w:widowControl/>
                    <w:spacing w:line="360" w:lineRule="exact"/>
                    <w:jc w:val="center"/>
                    <w:textAlignment w:val="center"/>
                    <w:rPr>
                      <w:szCs w:val="21"/>
                    </w:rPr>
                  </w:pPr>
                  <w:r>
                    <w:rPr>
                      <w:rFonts w:hint="eastAsia"/>
                      <w:szCs w:val="21"/>
                    </w:rPr>
                    <w:t>0.336</w:t>
                  </w:r>
                </w:p>
              </w:tc>
              <w:tc>
                <w:tcPr>
                  <w:tcW w:w="465" w:type="pct"/>
                  <w:vMerge w:val="continue"/>
                  <w:vAlign w:val="center"/>
                </w:tcPr>
                <w:p w14:paraId="6EA9E431">
                  <w:pPr>
                    <w:jc w:val="center"/>
                  </w:pPr>
                </w:p>
              </w:tc>
              <w:tc>
                <w:tcPr>
                  <w:tcW w:w="424" w:type="pct"/>
                  <w:vMerge w:val="continue"/>
                  <w:vAlign w:val="center"/>
                </w:tcPr>
                <w:p w14:paraId="7598F693">
                  <w:pPr>
                    <w:jc w:val="center"/>
                  </w:pPr>
                </w:p>
              </w:tc>
              <w:tc>
                <w:tcPr>
                  <w:tcW w:w="455" w:type="pct"/>
                  <w:vMerge w:val="continue"/>
                  <w:vAlign w:val="center"/>
                </w:tcPr>
                <w:p w14:paraId="0C85E5EA">
                  <w:pPr>
                    <w:jc w:val="center"/>
                  </w:pPr>
                </w:p>
              </w:tc>
              <w:tc>
                <w:tcPr>
                  <w:tcW w:w="458" w:type="pct"/>
                  <w:vAlign w:val="center"/>
                </w:tcPr>
                <w:p w14:paraId="15D5FE7D">
                  <w:pPr>
                    <w:widowControl/>
                    <w:spacing w:line="360" w:lineRule="exact"/>
                    <w:jc w:val="center"/>
                    <w:textAlignment w:val="center"/>
                    <w:rPr>
                      <w:kern w:val="0"/>
                      <w:szCs w:val="21"/>
                    </w:rPr>
                  </w:pPr>
                  <w:r>
                    <w:rPr>
                      <w:rFonts w:hint="eastAsia"/>
                      <w:kern w:val="0"/>
                      <w:szCs w:val="21"/>
                    </w:rPr>
                    <w:t>300</w:t>
                  </w:r>
                </w:p>
              </w:tc>
              <w:tc>
                <w:tcPr>
                  <w:tcW w:w="453" w:type="pct"/>
                  <w:vAlign w:val="center"/>
                </w:tcPr>
                <w:p w14:paraId="08325375">
                  <w:pPr>
                    <w:widowControl/>
                    <w:spacing w:line="360" w:lineRule="exact"/>
                    <w:jc w:val="center"/>
                    <w:textAlignment w:val="center"/>
                    <w:rPr>
                      <w:kern w:val="0"/>
                      <w:szCs w:val="21"/>
                    </w:rPr>
                  </w:pPr>
                  <w:r>
                    <w:rPr>
                      <w:rFonts w:hint="eastAsia"/>
                      <w:kern w:val="0"/>
                      <w:szCs w:val="21"/>
                    </w:rPr>
                    <w:t>0.252</w:t>
                  </w:r>
                </w:p>
              </w:tc>
            </w:tr>
            <w:tr w14:paraId="56BFC8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6" w:type="pct"/>
                  <w:vMerge w:val="continue"/>
                  <w:vAlign w:val="center"/>
                </w:tcPr>
                <w:p w14:paraId="21CAAB4B">
                  <w:pPr>
                    <w:jc w:val="center"/>
                    <w:rPr>
                      <w:rFonts w:hint="eastAsia"/>
                      <w:color w:val="000000"/>
                    </w:rPr>
                  </w:pPr>
                </w:p>
              </w:tc>
              <w:tc>
                <w:tcPr>
                  <w:tcW w:w="548" w:type="pct"/>
                  <w:vMerge w:val="continue"/>
                  <w:vAlign w:val="center"/>
                </w:tcPr>
                <w:p w14:paraId="4227F6AD">
                  <w:pPr>
                    <w:jc w:val="center"/>
                    <w:rPr>
                      <w:rFonts w:hint="eastAsia"/>
                    </w:rPr>
                  </w:pPr>
                </w:p>
              </w:tc>
              <w:tc>
                <w:tcPr>
                  <w:tcW w:w="341" w:type="pct"/>
                  <w:vMerge w:val="continue"/>
                  <w:vAlign w:val="center"/>
                </w:tcPr>
                <w:p w14:paraId="141C5288">
                  <w:pPr>
                    <w:jc w:val="center"/>
                    <w:rPr>
                      <w:rFonts w:hint="eastAsia"/>
                    </w:rPr>
                  </w:pPr>
                </w:p>
              </w:tc>
              <w:tc>
                <w:tcPr>
                  <w:tcW w:w="434" w:type="pct"/>
                  <w:vAlign w:val="center"/>
                </w:tcPr>
                <w:p w14:paraId="3ADFA1CC">
                  <w:pPr>
                    <w:jc w:val="center"/>
                    <w:rPr>
                      <w:rFonts w:hint="eastAsia"/>
                    </w:rPr>
                  </w:pPr>
                  <w:r>
                    <w:rPr>
                      <w:rFonts w:hint="eastAsia"/>
                    </w:rPr>
                    <w:t>N</w:t>
                  </w:r>
                  <w:r>
                    <w:t>H</w:t>
                  </w:r>
                  <w:r>
                    <w:rPr>
                      <w:vertAlign w:val="subscript"/>
                    </w:rPr>
                    <w:t>3</w:t>
                  </w:r>
                  <w:r>
                    <w:t>-N</w:t>
                  </w:r>
                </w:p>
              </w:tc>
              <w:tc>
                <w:tcPr>
                  <w:tcW w:w="486" w:type="pct"/>
                  <w:vAlign w:val="center"/>
                </w:tcPr>
                <w:p w14:paraId="692F35EB">
                  <w:pPr>
                    <w:widowControl/>
                    <w:spacing w:line="360" w:lineRule="exact"/>
                    <w:jc w:val="center"/>
                    <w:textAlignment w:val="center"/>
                    <w:rPr>
                      <w:szCs w:val="21"/>
                    </w:rPr>
                  </w:pPr>
                  <w:r>
                    <w:rPr>
                      <w:rFonts w:hint="eastAsia"/>
                      <w:kern w:val="0"/>
                      <w:szCs w:val="21"/>
                    </w:rPr>
                    <w:t>50</w:t>
                  </w:r>
                </w:p>
              </w:tc>
              <w:tc>
                <w:tcPr>
                  <w:tcW w:w="434" w:type="pct"/>
                  <w:vAlign w:val="center"/>
                </w:tcPr>
                <w:p w14:paraId="64CFB96F">
                  <w:pPr>
                    <w:widowControl/>
                    <w:spacing w:line="360" w:lineRule="exact"/>
                    <w:jc w:val="center"/>
                    <w:textAlignment w:val="center"/>
                    <w:rPr>
                      <w:rFonts w:hint="eastAsia"/>
                      <w:szCs w:val="21"/>
                    </w:rPr>
                  </w:pPr>
                  <w:r>
                    <w:rPr>
                      <w:rFonts w:hint="eastAsia"/>
                      <w:szCs w:val="21"/>
                    </w:rPr>
                    <w:t>0.042</w:t>
                  </w:r>
                </w:p>
              </w:tc>
              <w:tc>
                <w:tcPr>
                  <w:tcW w:w="465" w:type="pct"/>
                  <w:vMerge w:val="continue"/>
                  <w:vAlign w:val="center"/>
                </w:tcPr>
                <w:p w14:paraId="65434FE8">
                  <w:pPr>
                    <w:jc w:val="center"/>
                  </w:pPr>
                </w:p>
              </w:tc>
              <w:tc>
                <w:tcPr>
                  <w:tcW w:w="424" w:type="pct"/>
                  <w:vMerge w:val="continue"/>
                  <w:vAlign w:val="center"/>
                </w:tcPr>
                <w:p w14:paraId="4345269E">
                  <w:pPr>
                    <w:jc w:val="center"/>
                  </w:pPr>
                </w:p>
              </w:tc>
              <w:tc>
                <w:tcPr>
                  <w:tcW w:w="455" w:type="pct"/>
                  <w:vMerge w:val="continue"/>
                  <w:vAlign w:val="center"/>
                </w:tcPr>
                <w:p w14:paraId="0E1CC4FC">
                  <w:pPr>
                    <w:jc w:val="center"/>
                  </w:pPr>
                </w:p>
              </w:tc>
              <w:tc>
                <w:tcPr>
                  <w:tcW w:w="458" w:type="pct"/>
                  <w:vAlign w:val="center"/>
                </w:tcPr>
                <w:p w14:paraId="2F7CCA1F">
                  <w:pPr>
                    <w:widowControl/>
                    <w:spacing w:line="360" w:lineRule="exact"/>
                    <w:jc w:val="center"/>
                    <w:textAlignment w:val="center"/>
                    <w:rPr>
                      <w:kern w:val="0"/>
                      <w:szCs w:val="21"/>
                    </w:rPr>
                  </w:pPr>
                  <w:r>
                    <w:rPr>
                      <w:rFonts w:hint="eastAsia"/>
                      <w:kern w:val="0"/>
                      <w:szCs w:val="21"/>
                    </w:rPr>
                    <w:t>45</w:t>
                  </w:r>
                </w:p>
              </w:tc>
              <w:tc>
                <w:tcPr>
                  <w:tcW w:w="453" w:type="pct"/>
                  <w:vAlign w:val="center"/>
                </w:tcPr>
                <w:p w14:paraId="4A659244">
                  <w:pPr>
                    <w:widowControl/>
                    <w:spacing w:line="360" w:lineRule="exact"/>
                    <w:jc w:val="center"/>
                    <w:textAlignment w:val="center"/>
                    <w:rPr>
                      <w:rFonts w:hint="eastAsia"/>
                      <w:kern w:val="0"/>
                      <w:szCs w:val="21"/>
                    </w:rPr>
                  </w:pPr>
                  <w:r>
                    <w:rPr>
                      <w:rFonts w:hint="eastAsia"/>
                      <w:kern w:val="0"/>
                      <w:szCs w:val="21"/>
                    </w:rPr>
                    <w:t>0.038</w:t>
                  </w:r>
                </w:p>
              </w:tc>
            </w:tr>
            <w:tr w14:paraId="77FB27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6" w:type="pct"/>
                  <w:vMerge w:val="continue"/>
                  <w:vAlign w:val="center"/>
                </w:tcPr>
                <w:p w14:paraId="00207605">
                  <w:pPr>
                    <w:jc w:val="center"/>
                    <w:rPr>
                      <w:rFonts w:hint="eastAsia"/>
                      <w:color w:val="000000"/>
                    </w:rPr>
                  </w:pPr>
                </w:p>
              </w:tc>
              <w:tc>
                <w:tcPr>
                  <w:tcW w:w="548" w:type="pct"/>
                  <w:vMerge w:val="continue"/>
                  <w:vAlign w:val="center"/>
                </w:tcPr>
                <w:p w14:paraId="0E4E0DCD">
                  <w:pPr>
                    <w:jc w:val="center"/>
                    <w:rPr>
                      <w:rFonts w:hint="eastAsia"/>
                    </w:rPr>
                  </w:pPr>
                </w:p>
              </w:tc>
              <w:tc>
                <w:tcPr>
                  <w:tcW w:w="341" w:type="pct"/>
                  <w:vMerge w:val="continue"/>
                  <w:vAlign w:val="center"/>
                </w:tcPr>
                <w:p w14:paraId="05A711F4">
                  <w:pPr>
                    <w:jc w:val="center"/>
                    <w:rPr>
                      <w:rFonts w:hint="eastAsia"/>
                    </w:rPr>
                  </w:pPr>
                </w:p>
              </w:tc>
              <w:tc>
                <w:tcPr>
                  <w:tcW w:w="434" w:type="pct"/>
                  <w:vAlign w:val="center"/>
                </w:tcPr>
                <w:p w14:paraId="2E9555AD">
                  <w:pPr>
                    <w:jc w:val="center"/>
                  </w:pPr>
                  <w:r>
                    <w:rPr>
                      <w:rFonts w:hint="eastAsia"/>
                    </w:rPr>
                    <w:t>SS</w:t>
                  </w:r>
                </w:p>
              </w:tc>
              <w:tc>
                <w:tcPr>
                  <w:tcW w:w="486" w:type="pct"/>
                  <w:vAlign w:val="center"/>
                </w:tcPr>
                <w:p w14:paraId="172B607C">
                  <w:pPr>
                    <w:widowControl/>
                    <w:spacing w:line="360" w:lineRule="exact"/>
                    <w:jc w:val="center"/>
                    <w:textAlignment w:val="center"/>
                    <w:rPr>
                      <w:szCs w:val="21"/>
                    </w:rPr>
                  </w:pPr>
                  <w:r>
                    <w:rPr>
                      <w:rFonts w:hint="eastAsia"/>
                      <w:szCs w:val="21"/>
                    </w:rPr>
                    <w:t>450</w:t>
                  </w:r>
                </w:p>
              </w:tc>
              <w:tc>
                <w:tcPr>
                  <w:tcW w:w="434" w:type="pct"/>
                  <w:vAlign w:val="center"/>
                </w:tcPr>
                <w:p w14:paraId="1B8B97A0">
                  <w:pPr>
                    <w:widowControl/>
                    <w:spacing w:line="360" w:lineRule="exact"/>
                    <w:jc w:val="center"/>
                    <w:textAlignment w:val="center"/>
                    <w:rPr>
                      <w:szCs w:val="21"/>
                    </w:rPr>
                  </w:pPr>
                  <w:r>
                    <w:rPr>
                      <w:rFonts w:hint="eastAsia"/>
                      <w:szCs w:val="21"/>
                    </w:rPr>
                    <w:t>0.378</w:t>
                  </w:r>
                </w:p>
              </w:tc>
              <w:tc>
                <w:tcPr>
                  <w:tcW w:w="465" w:type="pct"/>
                  <w:vMerge w:val="continue"/>
                  <w:vAlign w:val="center"/>
                </w:tcPr>
                <w:p w14:paraId="1EC5D0EE">
                  <w:pPr>
                    <w:jc w:val="center"/>
                  </w:pPr>
                </w:p>
              </w:tc>
              <w:tc>
                <w:tcPr>
                  <w:tcW w:w="424" w:type="pct"/>
                  <w:vMerge w:val="continue"/>
                  <w:vAlign w:val="center"/>
                </w:tcPr>
                <w:p w14:paraId="3F589766">
                  <w:pPr>
                    <w:jc w:val="center"/>
                  </w:pPr>
                </w:p>
              </w:tc>
              <w:tc>
                <w:tcPr>
                  <w:tcW w:w="455" w:type="pct"/>
                  <w:vMerge w:val="continue"/>
                  <w:vAlign w:val="center"/>
                </w:tcPr>
                <w:p w14:paraId="22A04835">
                  <w:pPr>
                    <w:jc w:val="center"/>
                  </w:pPr>
                </w:p>
              </w:tc>
              <w:tc>
                <w:tcPr>
                  <w:tcW w:w="458" w:type="pct"/>
                  <w:vAlign w:val="center"/>
                </w:tcPr>
                <w:p w14:paraId="2E89848A">
                  <w:pPr>
                    <w:widowControl/>
                    <w:spacing w:line="360" w:lineRule="exact"/>
                    <w:jc w:val="center"/>
                    <w:textAlignment w:val="center"/>
                    <w:rPr>
                      <w:kern w:val="0"/>
                      <w:szCs w:val="21"/>
                    </w:rPr>
                  </w:pPr>
                  <w:r>
                    <w:rPr>
                      <w:rFonts w:hint="eastAsia"/>
                      <w:kern w:val="0"/>
                      <w:szCs w:val="21"/>
                    </w:rPr>
                    <w:t>400</w:t>
                  </w:r>
                </w:p>
              </w:tc>
              <w:tc>
                <w:tcPr>
                  <w:tcW w:w="453" w:type="pct"/>
                  <w:vAlign w:val="center"/>
                </w:tcPr>
                <w:p w14:paraId="6C8B4714">
                  <w:pPr>
                    <w:widowControl/>
                    <w:spacing w:line="360" w:lineRule="exact"/>
                    <w:jc w:val="center"/>
                    <w:textAlignment w:val="center"/>
                    <w:rPr>
                      <w:kern w:val="0"/>
                      <w:szCs w:val="21"/>
                    </w:rPr>
                  </w:pPr>
                  <w:r>
                    <w:rPr>
                      <w:rFonts w:hint="eastAsia"/>
                      <w:kern w:val="0"/>
                      <w:szCs w:val="21"/>
                    </w:rPr>
                    <w:t>0.336</w:t>
                  </w:r>
                </w:p>
              </w:tc>
            </w:tr>
            <w:tr w14:paraId="052529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6" w:type="pct"/>
                  <w:vMerge w:val="restart"/>
                  <w:vAlign w:val="center"/>
                </w:tcPr>
                <w:p w14:paraId="24D8ABA0">
                  <w:pPr>
                    <w:jc w:val="center"/>
                    <w:rPr>
                      <w:rFonts w:hint="eastAsia"/>
                      <w:color w:val="000000"/>
                    </w:rPr>
                  </w:pPr>
                  <w:r>
                    <w:rPr>
                      <w:rFonts w:hint="eastAsia"/>
                      <w:color w:val="000000"/>
                    </w:rPr>
                    <w:t>场地冲洗废水、初期雨水</w:t>
                  </w:r>
                </w:p>
              </w:tc>
              <w:tc>
                <w:tcPr>
                  <w:tcW w:w="548" w:type="pct"/>
                  <w:vMerge w:val="restart"/>
                  <w:vAlign w:val="center"/>
                </w:tcPr>
                <w:p w14:paraId="687A2683">
                  <w:pPr>
                    <w:jc w:val="center"/>
                    <w:rPr>
                      <w:rFonts w:hint="eastAsia"/>
                    </w:rPr>
                  </w:pPr>
                  <w:r>
                    <w:rPr>
                      <w:rFonts w:hint="eastAsia"/>
                    </w:rPr>
                    <w:t>8.559</w:t>
                  </w:r>
                  <w:r>
                    <w:t>m</w:t>
                  </w:r>
                  <w:r>
                    <w:rPr>
                      <w:vertAlign w:val="superscript"/>
                    </w:rPr>
                    <w:t>3</w:t>
                  </w:r>
                  <w:r>
                    <w:t>/d</w:t>
                  </w:r>
                  <w:r>
                    <w:rPr>
                      <w:rFonts w:hint="eastAsia"/>
                    </w:rPr>
                    <w:t>（最大值）</w:t>
                  </w:r>
                  <w:r>
                    <w:t>，</w:t>
                  </w:r>
                  <w:r>
                    <w:rPr>
                      <w:rFonts w:hint="eastAsia"/>
                    </w:rPr>
                    <w:t>427.95</w:t>
                  </w:r>
                  <w:r>
                    <w:t>m</w:t>
                  </w:r>
                  <w:r>
                    <w:rPr>
                      <w:vertAlign w:val="superscript"/>
                    </w:rPr>
                    <w:t>3</w:t>
                  </w:r>
                  <w:r>
                    <w:t>/a</w:t>
                  </w:r>
                </w:p>
              </w:tc>
              <w:tc>
                <w:tcPr>
                  <w:tcW w:w="341" w:type="pct"/>
                  <w:vMerge w:val="restart"/>
                  <w:vAlign w:val="center"/>
                </w:tcPr>
                <w:p w14:paraId="2B4A9339">
                  <w:pPr>
                    <w:jc w:val="center"/>
                    <w:rPr>
                      <w:rFonts w:hint="eastAsia"/>
                    </w:rPr>
                  </w:pPr>
                  <w:r>
                    <w:rPr>
                      <w:rFonts w:hint="eastAsia"/>
                    </w:rPr>
                    <w:t>场地冲洗废水及初期雨水</w:t>
                  </w:r>
                </w:p>
              </w:tc>
              <w:tc>
                <w:tcPr>
                  <w:tcW w:w="434" w:type="pct"/>
                  <w:vAlign w:val="center"/>
                </w:tcPr>
                <w:p w14:paraId="212A6425">
                  <w:pPr>
                    <w:jc w:val="center"/>
                  </w:pPr>
                  <w:r>
                    <w:rPr>
                      <w:rFonts w:hint="eastAsia"/>
                    </w:rPr>
                    <w:t>SS</w:t>
                  </w:r>
                </w:p>
              </w:tc>
              <w:tc>
                <w:tcPr>
                  <w:tcW w:w="486" w:type="pct"/>
                  <w:vAlign w:val="center"/>
                </w:tcPr>
                <w:p w14:paraId="3794BBF8">
                  <w:pPr>
                    <w:widowControl/>
                    <w:spacing w:line="360" w:lineRule="exact"/>
                    <w:jc w:val="center"/>
                    <w:textAlignment w:val="center"/>
                    <w:rPr>
                      <w:kern w:val="0"/>
                      <w:szCs w:val="21"/>
                    </w:rPr>
                  </w:pPr>
                  <w:r>
                    <w:rPr>
                      <w:rFonts w:hint="eastAsia"/>
                      <w:kern w:val="0"/>
                      <w:szCs w:val="21"/>
                    </w:rPr>
                    <w:t>450</w:t>
                  </w:r>
                </w:p>
              </w:tc>
              <w:tc>
                <w:tcPr>
                  <w:tcW w:w="434" w:type="pct"/>
                  <w:vAlign w:val="center"/>
                </w:tcPr>
                <w:p w14:paraId="4A10C055">
                  <w:pPr>
                    <w:widowControl/>
                    <w:spacing w:line="360" w:lineRule="exact"/>
                    <w:jc w:val="center"/>
                    <w:textAlignment w:val="center"/>
                    <w:rPr>
                      <w:rFonts w:hint="eastAsia"/>
                      <w:szCs w:val="21"/>
                    </w:rPr>
                  </w:pPr>
                  <w:r>
                    <w:rPr>
                      <w:rFonts w:hint="eastAsia"/>
                      <w:szCs w:val="21"/>
                    </w:rPr>
                    <w:t>0.193</w:t>
                  </w:r>
                </w:p>
              </w:tc>
              <w:tc>
                <w:tcPr>
                  <w:tcW w:w="465" w:type="pct"/>
                  <w:vMerge w:val="restart"/>
                  <w:vAlign w:val="center"/>
                </w:tcPr>
                <w:p w14:paraId="7A7E6807">
                  <w:pPr>
                    <w:jc w:val="center"/>
                    <w:rPr>
                      <w:rFonts w:hint="eastAsia"/>
                    </w:rPr>
                  </w:pPr>
                  <w:r>
                    <w:rPr>
                      <w:rFonts w:hint="eastAsia"/>
                    </w:rPr>
                    <w:t>隔油池15</w:t>
                  </w:r>
                  <w:r>
                    <w:t>m</w:t>
                  </w:r>
                  <w:r>
                    <w:rPr>
                      <w:vertAlign w:val="superscript"/>
                    </w:rPr>
                    <w:t>3</w:t>
                  </w:r>
                  <w:r>
                    <w:rPr>
                      <w:rFonts w:hint="eastAsia"/>
                    </w:rPr>
                    <w:t>/d</w:t>
                  </w:r>
                </w:p>
              </w:tc>
              <w:tc>
                <w:tcPr>
                  <w:tcW w:w="424" w:type="pct"/>
                  <w:vMerge w:val="restart"/>
                  <w:vAlign w:val="center"/>
                </w:tcPr>
                <w:p w14:paraId="132EBAF4">
                  <w:pPr>
                    <w:jc w:val="center"/>
                  </w:pPr>
                  <w:r>
                    <w:rPr>
                      <w:rFonts w:hint="eastAsia"/>
                    </w:rPr>
                    <w:t>隔油沉淀</w:t>
                  </w:r>
                </w:p>
              </w:tc>
              <w:tc>
                <w:tcPr>
                  <w:tcW w:w="455" w:type="pct"/>
                  <w:vMerge w:val="restart"/>
                  <w:vAlign w:val="center"/>
                </w:tcPr>
                <w:p w14:paraId="57A50747">
                  <w:pPr>
                    <w:jc w:val="center"/>
                    <w:rPr>
                      <w:rFonts w:hint="eastAsia"/>
                    </w:rPr>
                  </w:pPr>
                  <w:r>
                    <w:rPr>
                      <w:rFonts w:hint="eastAsia"/>
                    </w:rPr>
                    <w:t>是</w:t>
                  </w:r>
                </w:p>
              </w:tc>
              <w:tc>
                <w:tcPr>
                  <w:tcW w:w="458" w:type="pct"/>
                  <w:vAlign w:val="center"/>
                </w:tcPr>
                <w:p w14:paraId="30723FA4">
                  <w:pPr>
                    <w:widowControl/>
                    <w:spacing w:line="360" w:lineRule="exact"/>
                    <w:jc w:val="center"/>
                    <w:textAlignment w:val="center"/>
                    <w:rPr>
                      <w:color w:val="000000"/>
                      <w:kern w:val="0"/>
                      <w:szCs w:val="21"/>
                    </w:rPr>
                  </w:pPr>
                  <w:r>
                    <w:rPr>
                      <w:rFonts w:hint="eastAsia"/>
                      <w:color w:val="000000"/>
                      <w:kern w:val="0"/>
                      <w:szCs w:val="21"/>
                    </w:rPr>
                    <w:t>400</w:t>
                  </w:r>
                </w:p>
              </w:tc>
              <w:tc>
                <w:tcPr>
                  <w:tcW w:w="453" w:type="pct"/>
                  <w:vAlign w:val="center"/>
                </w:tcPr>
                <w:p w14:paraId="4798B448">
                  <w:pPr>
                    <w:jc w:val="right"/>
                    <w:rPr>
                      <w:rFonts w:ascii="宋体" w:hAnsi="宋体" w:cs="宋体"/>
                      <w:color w:val="000000"/>
                      <w:sz w:val="22"/>
                      <w:szCs w:val="22"/>
                    </w:rPr>
                  </w:pPr>
                  <w:r>
                    <w:rPr>
                      <w:rFonts w:hint="eastAsia"/>
                      <w:color w:val="000000"/>
                      <w:sz w:val="22"/>
                      <w:szCs w:val="22"/>
                    </w:rPr>
                    <w:t>0.171</w:t>
                  </w:r>
                </w:p>
              </w:tc>
            </w:tr>
            <w:tr w14:paraId="2C6B51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6" w:type="pct"/>
                  <w:vMerge w:val="continue"/>
                  <w:vAlign w:val="center"/>
                </w:tcPr>
                <w:p w14:paraId="3957A429">
                  <w:pPr>
                    <w:jc w:val="center"/>
                    <w:rPr>
                      <w:rFonts w:hint="eastAsia"/>
                    </w:rPr>
                  </w:pPr>
                </w:p>
              </w:tc>
              <w:tc>
                <w:tcPr>
                  <w:tcW w:w="548" w:type="pct"/>
                  <w:vMerge w:val="continue"/>
                  <w:vAlign w:val="center"/>
                </w:tcPr>
                <w:p w14:paraId="49D830B8">
                  <w:pPr>
                    <w:jc w:val="center"/>
                    <w:rPr>
                      <w:rFonts w:hint="eastAsia"/>
                    </w:rPr>
                  </w:pPr>
                </w:p>
              </w:tc>
              <w:tc>
                <w:tcPr>
                  <w:tcW w:w="341" w:type="pct"/>
                  <w:vMerge w:val="continue"/>
                  <w:vAlign w:val="center"/>
                </w:tcPr>
                <w:p w14:paraId="34243631">
                  <w:pPr>
                    <w:jc w:val="center"/>
                    <w:rPr>
                      <w:rFonts w:hint="eastAsia"/>
                    </w:rPr>
                  </w:pPr>
                </w:p>
              </w:tc>
              <w:tc>
                <w:tcPr>
                  <w:tcW w:w="434" w:type="pct"/>
                  <w:vAlign w:val="center"/>
                </w:tcPr>
                <w:p w14:paraId="71716170">
                  <w:pPr>
                    <w:jc w:val="center"/>
                  </w:pPr>
                  <w:r>
                    <w:rPr>
                      <w:rFonts w:hint="eastAsia"/>
                    </w:rPr>
                    <w:t>石油类</w:t>
                  </w:r>
                </w:p>
              </w:tc>
              <w:tc>
                <w:tcPr>
                  <w:tcW w:w="486" w:type="pct"/>
                  <w:vAlign w:val="center"/>
                </w:tcPr>
                <w:p w14:paraId="1F81732A">
                  <w:pPr>
                    <w:widowControl/>
                    <w:spacing w:line="360" w:lineRule="exact"/>
                    <w:jc w:val="center"/>
                    <w:textAlignment w:val="center"/>
                    <w:rPr>
                      <w:kern w:val="0"/>
                      <w:szCs w:val="21"/>
                    </w:rPr>
                  </w:pPr>
                  <w:r>
                    <w:rPr>
                      <w:rFonts w:hint="eastAsia"/>
                      <w:kern w:val="0"/>
                      <w:szCs w:val="21"/>
                    </w:rPr>
                    <w:t>100</w:t>
                  </w:r>
                </w:p>
              </w:tc>
              <w:tc>
                <w:tcPr>
                  <w:tcW w:w="434" w:type="pct"/>
                  <w:vAlign w:val="center"/>
                </w:tcPr>
                <w:p w14:paraId="1ADC7302">
                  <w:pPr>
                    <w:widowControl/>
                    <w:spacing w:line="360" w:lineRule="exact"/>
                    <w:jc w:val="center"/>
                    <w:textAlignment w:val="center"/>
                    <w:rPr>
                      <w:rFonts w:hint="eastAsia"/>
                      <w:szCs w:val="21"/>
                    </w:rPr>
                  </w:pPr>
                  <w:r>
                    <w:rPr>
                      <w:rFonts w:hint="eastAsia"/>
                      <w:szCs w:val="21"/>
                    </w:rPr>
                    <w:t>0.043</w:t>
                  </w:r>
                </w:p>
              </w:tc>
              <w:tc>
                <w:tcPr>
                  <w:tcW w:w="465" w:type="pct"/>
                  <w:vMerge w:val="continue"/>
                  <w:vAlign w:val="center"/>
                </w:tcPr>
                <w:p w14:paraId="4A98CB6F">
                  <w:pPr>
                    <w:jc w:val="center"/>
                  </w:pPr>
                </w:p>
              </w:tc>
              <w:tc>
                <w:tcPr>
                  <w:tcW w:w="424" w:type="pct"/>
                  <w:vMerge w:val="continue"/>
                  <w:vAlign w:val="center"/>
                </w:tcPr>
                <w:p w14:paraId="46120A2E">
                  <w:pPr>
                    <w:jc w:val="center"/>
                  </w:pPr>
                </w:p>
              </w:tc>
              <w:tc>
                <w:tcPr>
                  <w:tcW w:w="455" w:type="pct"/>
                  <w:vMerge w:val="continue"/>
                  <w:vAlign w:val="center"/>
                </w:tcPr>
                <w:p w14:paraId="59892F55">
                  <w:pPr>
                    <w:jc w:val="center"/>
                  </w:pPr>
                </w:p>
              </w:tc>
              <w:tc>
                <w:tcPr>
                  <w:tcW w:w="458" w:type="pct"/>
                  <w:vAlign w:val="center"/>
                </w:tcPr>
                <w:p w14:paraId="07DB971F">
                  <w:pPr>
                    <w:widowControl/>
                    <w:spacing w:line="360" w:lineRule="exact"/>
                    <w:jc w:val="center"/>
                    <w:textAlignment w:val="center"/>
                    <w:rPr>
                      <w:color w:val="000000"/>
                      <w:kern w:val="0"/>
                      <w:szCs w:val="21"/>
                    </w:rPr>
                  </w:pPr>
                  <w:r>
                    <w:rPr>
                      <w:rFonts w:hint="eastAsia"/>
                      <w:color w:val="000000"/>
                      <w:kern w:val="0"/>
                      <w:szCs w:val="21"/>
                    </w:rPr>
                    <w:t>20</w:t>
                  </w:r>
                </w:p>
              </w:tc>
              <w:tc>
                <w:tcPr>
                  <w:tcW w:w="453" w:type="pct"/>
                  <w:vAlign w:val="center"/>
                </w:tcPr>
                <w:p w14:paraId="3B756D8B">
                  <w:pPr>
                    <w:jc w:val="right"/>
                    <w:rPr>
                      <w:rFonts w:ascii="宋体" w:hAnsi="宋体" w:cs="宋体"/>
                      <w:color w:val="000000"/>
                      <w:sz w:val="22"/>
                      <w:szCs w:val="22"/>
                    </w:rPr>
                  </w:pPr>
                  <w:r>
                    <w:rPr>
                      <w:rFonts w:hint="eastAsia"/>
                      <w:color w:val="000000"/>
                      <w:sz w:val="22"/>
                      <w:szCs w:val="22"/>
                    </w:rPr>
                    <w:t xml:space="preserve">0.009 </w:t>
                  </w:r>
                </w:p>
              </w:tc>
            </w:tr>
          </w:tbl>
          <w:p w14:paraId="559609E1">
            <w:pPr>
              <w:pStyle w:val="68"/>
              <w:spacing w:line="240" w:lineRule="auto"/>
              <w:rPr>
                <w:rFonts w:hint="eastAsia" w:ascii="黑体" w:hAnsi="黑体" w:eastAsia="黑体" w:cs="黑体"/>
                <w:b w:val="0"/>
                <w:bCs w:val="0"/>
                <w:lang w:val="zh-CN"/>
              </w:rPr>
            </w:pPr>
            <w:r>
              <w:rPr>
                <w:rFonts w:hint="eastAsia" w:ascii="黑体" w:hAnsi="黑体" w:eastAsia="黑体" w:cs="黑体"/>
                <w:b w:val="0"/>
                <w:bCs w:val="0"/>
                <w:lang w:val="zh-CN"/>
              </w:rPr>
              <w:t>表4-6</w:t>
            </w:r>
            <w:r>
              <w:rPr>
                <w:rFonts w:hint="eastAsia" w:ascii="黑体" w:hAnsi="黑体" w:eastAsia="黑体" w:cs="黑体"/>
                <w:b w:val="0"/>
                <w:bCs w:val="0"/>
              </w:rPr>
              <w:t xml:space="preserve">  </w:t>
            </w:r>
            <w:r>
              <w:rPr>
                <w:rFonts w:hint="eastAsia" w:ascii="黑体" w:hAnsi="黑体" w:eastAsia="黑体" w:cs="黑体"/>
                <w:b w:val="0"/>
                <w:bCs w:val="0"/>
                <w:lang w:val="zh-CN"/>
              </w:rPr>
              <w:t>项目废水主要污染物排放情况汇总表</w:t>
            </w:r>
          </w:p>
          <w:tbl>
            <w:tblPr>
              <w:tblStyle w:val="23"/>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47"/>
              <w:gridCol w:w="1929"/>
              <w:gridCol w:w="2340"/>
              <w:gridCol w:w="2275"/>
            </w:tblGrid>
            <w:tr w14:paraId="576730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56" w:type="pct"/>
                  <w:vMerge w:val="restart"/>
                  <w:vAlign w:val="center"/>
                </w:tcPr>
                <w:p w14:paraId="04C217EA">
                  <w:pPr>
                    <w:spacing w:line="320" w:lineRule="exact"/>
                    <w:jc w:val="center"/>
                    <w:rPr>
                      <w:rFonts w:hint="eastAsia"/>
                      <w:color w:val="000000"/>
                      <w:szCs w:val="18"/>
                    </w:rPr>
                  </w:pPr>
                  <w:r>
                    <w:rPr>
                      <w:rFonts w:hint="eastAsia"/>
                      <w:color w:val="000000"/>
                      <w:szCs w:val="18"/>
                    </w:rPr>
                    <w:t>废水量</w:t>
                  </w:r>
                </w:p>
                <w:p w14:paraId="328085C6">
                  <w:pPr>
                    <w:spacing w:line="320" w:lineRule="exact"/>
                    <w:jc w:val="center"/>
                    <w:rPr>
                      <w:rFonts w:hint="eastAsia"/>
                      <w:color w:val="000000"/>
                      <w:szCs w:val="18"/>
                    </w:rPr>
                  </w:pPr>
                  <w:r>
                    <w:rPr>
                      <w:rFonts w:hint="eastAsia"/>
                      <w:color w:val="000000"/>
                      <w:szCs w:val="18"/>
                    </w:rPr>
                    <w:t>(m</w:t>
                  </w:r>
                  <w:r>
                    <w:rPr>
                      <w:rFonts w:hint="eastAsia"/>
                      <w:color w:val="000000"/>
                      <w:szCs w:val="18"/>
                      <w:vertAlign w:val="superscript"/>
                    </w:rPr>
                    <w:t>3</w:t>
                  </w:r>
                  <w:r>
                    <w:rPr>
                      <w:rFonts w:hint="eastAsia"/>
                      <w:color w:val="000000"/>
                      <w:szCs w:val="18"/>
                    </w:rPr>
                    <w:t>/a)</w:t>
                  </w:r>
                </w:p>
              </w:tc>
              <w:tc>
                <w:tcPr>
                  <w:tcW w:w="1192" w:type="pct"/>
                  <w:vMerge w:val="restart"/>
                  <w:vAlign w:val="center"/>
                </w:tcPr>
                <w:p w14:paraId="42DA100C">
                  <w:pPr>
                    <w:spacing w:line="320" w:lineRule="exact"/>
                    <w:jc w:val="center"/>
                    <w:rPr>
                      <w:rFonts w:hint="eastAsia"/>
                      <w:color w:val="000000"/>
                      <w:szCs w:val="18"/>
                    </w:rPr>
                  </w:pPr>
                  <w:r>
                    <w:rPr>
                      <w:rFonts w:hint="eastAsia"/>
                      <w:color w:val="000000"/>
                      <w:szCs w:val="18"/>
                    </w:rPr>
                    <w:t>主要污染因子</w:t>
                  </w:r>
                </w:p>
              </w:tc>
              <w:tc>
                <w:tcPr>
                  <w:tcW w:w="2852" w:type="pct"/>
                  <w:gridSpan w:val="2"/>
                  <w:vAlign w:val="center"/>
                </w:tcPr>
                <w:p w14:paraId="4F17C2BF">
                  <w:pPr>
                    <w:spacing w:line="320" w:lineRule="exact"/>
                    <w:jc w:val="center"/>
                    <w:rPr>
                      <w:rFonts w:hint="eastAsia"/>
                      <w:color w:val="000000"/>
                      <w:szCs w:val="18"/>
                    </w:rPr>
                  </w:pPr>
                  <w:r>
                    <w:rPr>
                      <w:rFonts w:hint="eastAsia"/>
                      <w:color w:val="000000"/>
                      <w:szCs w:val="18"/>
                    </w:rPr>
                    <w:t>大耍坝污水处理厂处理后</w:t>
                  </w:r>
                </w:p>
              </w:tc>
            </w:tr>
            <w:tr w14:paraId="660F66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56" w:type="pct"/>
                  <w:vMerge w:val="continue"/>
                  <w:vAlign w:val="center"/>
                </w:tcPr>
                <w:p w14:paraId="518FFBE1">
                  <w:pPr>
                    <w:spacing w:line="320" w:lineRule="exact"/>
                    <w:jc w:val="center"/>
                    <w:rPr>
                      <w:rFonts w:hint="eastAsia"/>
                      <w:color w:val="000000"/>
                      <w:szCs w:val="18"/>
                    </w:rPr>
                  </w:pPr>
                </w:p>
              </w:tc>
              <w:tc>
                <w:tcPr>
                  <w:tcW w:w="1192" w:type="pct"/>
                  <w:vMerge w:val="continue"/>
                  <w:vAlign w:val="center"/>
                </w:tcPr>
                <w:p w14:paraId="40D3009C">
                  <w:pPr>
                    <w:spacing w:line="320" w:lineRule="exact"/>
                    <w:jc w:val="center"/>
                    <w:rPr>
                      <w:rFonts w:hint="eastAsia"/>
                      <w:color w:val="000000"/>
                      <w:szCs w:val="18"/>
                    </w:rPr>
                  </w:pPr>
                </w:p>
              </w:tc>
              <w:tc>
                <w:tcPr>
                  <w:tcW w:w="1446" w:type="pct"/>
                  <w:vAlign w:val="center"/>
                </w:tcPr>
                <w:p w14:paraId="2F92F08B">
                  <w:pPr>
                    <w:spacing w:line="320" w:lineRule="exact"/>
                    <w:jc w:val="center"/>
                    <w:rPr>
                      <w:rFonts w:hint="eastAsia"/>
                      <w:color w:val="000000"/>
                      <w:szCs w:val="18"/>
                    </w:rPr>
                  </w:pPr>
                  <w:r>
                    <w:rPr>
                      <w:rFonts w:hint="eastAsia"/>
                      <w:color w:val="000000"/>
                      <w:szCs w:val="18"/>
                    </w:rPr>
                    <w:t>浓度(mg/L)</w:t>
                  </w:r>
                </w:p>
              </w:tc>
              <w:tc>
                <w:tcPr>
                  <w:tcW w:w="1406" w:type="pct"/>
                  <w:vAlign w:val="center"/>
                </w:tcPr>
                <w:p w14:paraId="12D0F601">
                  <w:pPr>
                    <w:spacing w:line="320" w:lineRule="exact"/>
                    <w:jc w:val="center"/>
                    <w:rPr>
                      <w:rFonts w:hint="eastAsia"/>
                      <w:color w:val="000000"/>
                      <w:szCs w:val="18"/>
                    </w:rPr>
                  </w:pPr>
                  <w:r>
                    <w:rPr>
                      <w:rFonts w:hint="eastAsia"/>
                      <w:color w:val="000000"/>
                      <w:szCs w:val="18"/>
                    </w:rPr>
                    <w:t>排放量(t/a)</w:t>
                  </w:r>
                </w:p>
              </w:tc>
            </w:tr>
            <w:tr w14:paraId="48BE58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56" w:type="pct"/>
                  <w:vMerge w:val="restart"/>
                  <w:vAlign w:val="center"/>
                </w:tcPr>
                <w:p w14:paraId="314E0DC1">
                  <w:pPr>
                    <w:jc w:val="center"/>
                    <w:rPr>
                      <w:szCs w:val="21"/>
                    </w:rPr>
                  </w:pPr>
                  <w:r>
                    <w:rPr>
                      <w:rFonts w:hint="eastAsia"/>
                      <w:szCs w:val="21"/>
                    </w:rPr>
                    <w:t>1268.91</w:t>
                  </w:r>
                </w:p>
              </w:tc>
              <w:tc>
                <w:tcPr>
                  <w:tcW w:w="1192" w:type="pct"/>
                  <w:vAlign w:val="center"/>
                </w:tcPr>
                <w:p w14:paraId="0260E3AE">
                  <w:pPr>
                    <w:spacing w:line="320" w:lineRule="exact"/>
                    <w:jc w:val="center"/>
                    <w:rPr>
                      <w:rFonts w:hint="eastAsia"/>
                      <w:color w:val="000000"/>
                      <w:szCs w:val="18"/>
                    </w:rPr>
                  </w:pPr>
                  <w:r>
                    <w:rPr>
                      <w:color w:val="000000"/>
                      <w:szCs w:val="18"/>
                    </w:rPr>
                    <w:t>COD</w:t>
                  </w:r>
                </w:p>
              </w:tc>
              <w:tc>
                <w:tcPr>
                  <w:tcW w:w="1446" w:type="pct"/>
                  <w:vAlign w:val="center"/>
                </w:tcPr>
                <w:p w14:paraId="030598AE">
                  <w:pPr>
                    <w:pStyle w:val="61"/>
                    <w:rPr>
                      <w:color w:val="000000"/>
                    </w:rPr>
                  </w:pPr>
                  <w:r>
                    <w:rPr>
                      <w:rFonts w:hint="eastAsia"/>
                      <w:color w:val="000000"/>
                    </w:rPr>
                    <w:t>60</w:t>
                  </w:r>
                </w:p>
              </w:tc>
              <w:tc>
                <w:tcPr>
                  <w:tcW w:w="1406" w:type="pct"/>
                  <w:vAlign w:val="center"/>
                </w:tcPr>
                <w:p w14:paraId="6D9975E4">
                  <w:pPr>
                    <w:jc w:val="center"/>
                    <w:rPr>
                      <w:rFonts w:ascii="宋体" w:hAnsi="宋体" w:cs="宋体"/>
                      <w:color w:val="000000"/>
                      <w:sz w:val="22"/>
                      <w:szCs w:val="22"/>
                    </w:rPr>
                  </w:pPr>
                  <w:r>
                    <w:rPr>
                      <w:rFonts w:hint="eastAsia"/>
                      <w:color w:val="000000"/>
                      <w:sz w:val="22"/>
                      <w:szCs w:val="22"/>
                    </w:rPr>
                    <w:t>0.076</w:t>
                  </w:r>
                </w:p>
              </w:tc>
            </w:tr>
            <w:tr w14:paraId="30BF27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56" w:type="pct"/>
                  <w:vMerge w:val="continue"/>
                  <w:vAlign w:val="center"/>
                </w:tcPr>
                <w:p w14:paraId="0B9E0741">
                  <w:pPr>
                    <w:spacing w:line="320" w:lineRule="exact"/>
                    <w:jc w:val="center"/>
                    <w:rPr>
                      <w:rFonts w:hint="eastAsia"/>
                      <w:color w:val="000000"/>
                      <w:szCs w:val="18"/>
                    </w:rPr>
                  </w:pPr>
                </w:p>
              </w:tc>
              <w:tc>
                <w:tcPr>
                  <w:tcW w:w="1192" w:type="pct"/>
                  <w:vAlign w:val="center"/>
                </w:tcPr>
                <w:p w14:paraId="66AB130E">
                  <w:pPr>
                    <w:spacing w:line="320" w:lineRule="exact"/>
                    <w:jc w:val="center"/>
                    <w:rPr>
                      <w:rFonts w:hint="eastAsia"/>
                      <w:color w:val="000000"/>
                      <w:szCs w:val="18"/>
                    </w:rPr>
                  </w:pPr>
                  <w:r>
                    <w:rPr>
                      <w:color w:val="000000"/>
                      <w:szCs w:val="18"/>
                    </w:rPr>
                    <w:t>BOD</w:t>
                  </w:r>
                  <w:r>
                    <w:rPr>
                      <w:color w:val="000000"/>
                      <w:szCs w:val="18"/>
                      <w:vertAlign w:val="subscript"/>
                    </w:rPr>
                    <w:t>5</w:t>
                  </w:r>
                </w:p>
              </w:tc>
              <w:tc>
                <w:tcPr>
                  <w:tcW w:w="1446" w:type="pct"/>
                  <w:vAlign w:val="center"/>
                </w:tcPr>
                <w:p w14:paraId="4C765DC2">
                  <w:pPr>
                    <w:pStyle w:val="61"/>
                    <w:rPr>
                      <w:color w:val="000000"/>
                    </w:rPr>
                  </w:pPr>
                  <w:r>
                    <w:rPr>
                      <w:rFonts w:hint="eastAsia"/>
                      <w:color w:val="000000"/>
                    </w:rPr>
                    <w:t>20</w:t>
                  </w:r>
                </w:p>
              </w:tc>
              <w:tc>
                <w:tcPr>
                  <w:tcW w:w="1406" w:type="pct"/>
                  <w:vAlign w:val="center"/>
                </w:tcPr>
                <w:p w14:paraId="06DC55BB">
                  <w:pPr>
                    <w:jc w:val="center"/>
                    <w:rPr>
                      <w:rFonts w:hint="eastAsia" w:ascii="宋体" w:hAnsi="宋体" w:cs="宋体"/>
                      <w:color w:val="000000"/>
                      <w:sz w:val="22"/>
                      <w:szCs w:val="22"/>
                    </w:rPr>
                  </w:pPr>
                  <w:r>
                    <w:rPr>
                      <w:rFonts w:hint="eastAsia"/>
                      <w:color w:val="000000"/>
                      <w:sz w:val="22"/>
                      <w:szCs w:val="22"/>
                    </w:rPr>
                    <w:t>0.025</w:t>
                  </w:r>
                </w:p>
              </w:tc>
            </w:tr>
            <w:tr w14:paraId="721DE0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56" w:type="pct"/>
                  <w:vMerge w:val="continue"/>
                  <w:vAlign w:val="center"/>
                </w:tcPr>
                <w:p w14:paraId="79520302">
                  <w:pPr>
                    <w:spacing w:line="320" w:lineRule="exact"/>
                    <w:jc w:val="center"/>
                    <w:rPr>
                      <w:rFonts w:hint="eastAsia"/>
                      <w:color w:val="000000"/>
                      <w:szCs w:val="18"/>
                    </w:rPr>
                  </w:pPr>
                </w:p>
              </w:tc>
              <w:tc>
                <w:tcPr>
                  <w:tcW w:w="1192" w:type="pct"/>
                  <w:vAlign w:val="center"/>
                </w:tcPr>
                <w:p w14:paraId="5EE91521">
                  <w:pPr>
                    <w:spacing w:line="320" w:lineRule="exact"/>
                    <w:jc w:val="center"/>
                    <w:rPr>
                      <w:rFonts w:hint="eastAsia"/>
                      <w:color w:val="000000"/>
                      <w:szCs w:val="18"/>
                    </w:rPr>
                  </w:pPr>
                  <w:r>
                    <w:rPr>
                      <w:color w:val="000000"/>
                      <w:szCs w:val="18"/>
                    </w:rPr>
                    <w:t>SS</w:t>
                  </w:r>
                </w:p>
              </w:tc>
              <w:tc>
                <w:tcPr>
                  <w:tcW w:w="1446" w:type="pct"/>
                  <w:vAlign w:val="center"/>
                </w:tcPr>
                <w:p w14:paraId="403369D4">
                  <w:pPr>
                    <w:pStyle w:val="61"/>
                    <w:rPr>
                      <w:color w:val="000000"/>
                    </w:rPr>
                  </w:pPr>
                  <w:r>
                    <w:rPr>
                      <w:rFonts w:hint="eastAsia"/>
                      <w:color w:val="000000"/>
                    </w:rPr>
                    <w:t>20</w:t>
                  </w:r>
                </w:p>
              </w:tc>
              <w:tc>
                <w:tcPr>
                  <w:tcW w:w="1406" w:type="pct"/>
                  <w:vAlign w:val="center"/>
                </w:tcPr>
                <w:p w14:paraId="03A60CA6">
                  <w:pPr>
                    <w:jc w:val="center"/>
                    <w:rPr>
                      <w:rFonts w:hint="eastAsia" w:ascii="宋体" w:hAnsi="宋体" w:cs="宋体"/>
                      <w:color w:val="000000"/>
                      <w:sz w:val="22"/>
                      <w:szCs w:val="22"/>
                    </w:rPr>
                  </w:pPr>
                  <w:r>
                    <w:rPr>
                      <w:rFonts w:hint="eastAsia"/>
                      <w:color w:val="000000"/>
                      <w:sz w:val="22"/>
                      <w:szCs w:val="22"/>
                    </w:rPr>
                    <w:t>0.025</w:t>
                  </w:r>
                </w:p>
              </w:tc>
            </w:tr>
            <w:tr w14:paraId="580610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 w:hRule="atLeast"/>
              </w:trPr>
              <w:tc>
                <w:tcPr>
                  <w:tcW w:w="956" w:type="pct"/>
                  <w:vMerge w:val="continue"/>
                  <w:vAlign w:val="center"/>
                </w:tcPr>
                <w:p w14:paraId="31C1ADD2">
                  <w:pPr>
                    <w:spacing w:line="320" w:lineRule="exact"/>
                    <w:jc w:val="center"/>
                    <w:rPr>
                      <w:rFonts w:hint="eastAsia"/>
                      <w:color w:val="000000"/>
                      <w:szCs w:val="18"/>
                    </w:rPr>
                  </w:pPr>
                </w:p>
              </w:tc>
              <w:tc>
                <w:tcPr>
                  <w:tcW w:w="1192" w:type="pct"/>
                  <w:vAlign w:val="center"/>
                </w:tcPr>
                <w:p w14:paraId="67EC89AC">
                  <w:pPr>
                    <w:spacing w:line="320" w:lineRule="exact"/>
                    <w:jc w:val="center"/>
                    <w:rPr>
                      <w:rFonts w:hint="eastAsia"/>
                      <w:color w:val="000000"/>
                      <w:szCs w:val="18"/>
                    </w:rPr>
                  </w:pPr>
                  <w:r>
                    <w:rPr>
                      <w:rFonts w:hint="eastAsia"/>
                      <w:color w:val="000000"/>
                      <w:szCs w:val="18"/>
                    </w:rPr>
                    <w:t>石油类</w:t>
                  </w:r>
                </w:p>
              </w:tc>
              <w:tc>
                <w:tcPr>
                  <w:tcW w:w="1446" w:type="pct"/>
                  <w:vAlign w:val="center"/>
                </w:tcPr>
                <w:p w14:paraId="1F6839C7">
                  <w:pPr>
                    <w:pStyle w:val="61"/>
                    <w:rPr>
                      <w:color w:val="000000"/>
                    </w:rPr>
                  </w:pPr>
                  <w:r>
                    <w:rPr>
                      <w:rFonts w:hint="eastAsia"/>
                      <w:color w:val="000000"/>
                    </w:rPr>
                    <w:t>3</w:t>
                  </w:r>
                </w:p>
              </w:tc>
              <w:tc>
                <w:tcPr>
                  <w:tcW w:w="1406" w:type="pct"/>
                  <w:vAlign w:val="center"/>
                </w:tcPr>
                <w:p w14:paraId="7D131832">
                  <w:pPr>
                    <w:jc w:val="center"/>
                    <w:rPr>
                      <w:rFonts w:ascii="宋体" w:hAnsi="宋体" w:cs="宋体"/>
                      <w:color w:val="000000"/>
                      <w:sz w:val="22"/>
                      <w:szCs w:val="22"/>
                    </w:rPr>
                  </w:pPr>
                  <w:r>
                    <w:rPr>
                      <w:rFonts w:hint="eastAsia"/>
                      <w:color w:val="000000"/>
                      <w:sz w:val="22"/>
                      <w:szCs w:val="22"/>
                    </w:rPr>
                    <w:t>0.004</w:t>
                  </w:r>
                </w:p>
              </w:tc>
            </w:tr>
            <w:tr w14:paraId="2C74A0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56" w:type="pct"/>
                  <w:vMerge w:val="continue"/>
                  <w:vAlign w:val="center"/>
                </w:tcPr>
                <w:p w14:paraId="15E1FE6D">
                  <w:pPr>
                    <w:spacing w:line="320" w:lineRule="exact"/>
                    <w:jc w:val="center"/>
                    <w:rPr>
                      <w:rFonts w:hint="eastAsia"/>
                      <w:color w:val="000000"/>
                      <w:szCs w:val="18"/>
                    </w:rPr>
                  </w:pPr>
                </w:p>
              </w:tc>
              <w:tc>
                <w:tcPr>
                  <w:tcW w:w="1192" w:type="pct"/>
                  <w:vAlign w:val="center"/>
                </w:tcPr>
                <w:p w14:paraId="53E997FB">
                  <w:pPr>
                    <w:spacing w:line="320" w:lineRule="exact"/>
                    <w:jc w:val="center"/>
                    <w:rPr>
                      <w:rFonts w:hint="eastAsia"/>
                      <w:color w:val="000000"/>
                      <w:szCs w:val="18"/>
                    </w:rPr>
                  </w:pPr>
                  <w:r>
                    <w:rPr>
                      <w:color w:val="000000"/>
                      <w:szCs w:val="18"/>
                    </w:rPr>
                    <w:t>NH</w:t>
                  </w:r>
                  <w:r>
                    <w:rPr>
                      <w:color w:val="000000"/>
                      <w:szCs w:val="18"/>
                      <w:vertAlign w:val="subscript"/>
                    </w:rPr>
                    <w:t>3</w:t>
                  </w:r>
                  <w:r>
                    <w:rPr>
                      <w:color w:val="000000"/>
                      <w:szCs w:val="18"/>
                    </w:rPr>
                    <w:t>-N</w:t>
                  </w:r>
                </w:p>
              </w:tc>
              <w:tc>
                <w:tcPr>
                  <w:tcW w:w="1446" w:type="pct"/>
                  <w:vAlign w:val="center"/>
                </w:tcPr>
                <w:p w14:paraId="680183C4">
                  <w:pPr>
                    <w:pStyle w:val="61"/>
                    <w:rPr>
                      <w:color w:val="000000"/>
                    </w:rPr>
                  </w:pPr>
                  <w:r>
                    <w:rPr>
                      <w:rFonts w:hint="eastAsia"/>
                      <w:color w:val="000000"/>
                    </w:rPr>
                    <w:t>15</w:t>
                  </w:r>
                </w:p>
              </w:tc>
              <w:tc>
                <w:tcPr>
                  <w:tcW w:w="1406" w:type="pct"/>
                  <w:vAlign w:val="center"/>
                </w:tcPr>
                <w:p w14:paraId="0B79306C">
                  <w:pPr>
                    <w:jc w:val="center"/>
                    <w:rPr>
                      <w:rFonts w:ascii="宋体" w:hAnsi="宋体" w:cs="宋体"/>
                      <w:color w:val="000000"/>
                      <w:sz w:val="22"/>
                      <w:szCs w:val="22"/>
                    </w:rPr>
                  </w:pPr>
                  <w:r>
                    <w:rPr>
                      <w:rFonts w:hint="eastAsia"/>
                      <w:color w:val="000000"/>
                      <w:sz w:val="22"/>
                      <w:szCs w:val="22"/>
                    </w:rPr>
                    <w:t>0.019</w:t>
                  </w:r>
                </w:p>
              </w:tc>
            </w:tr>
          </w:tbl>
          <w:p w14:paraId="4EE5BFA8">
            <w:pPr>
              <w:pStyle w:val="68"/>
              <w:spacing w:line="240" w:lineRule="auto"/>
              <w:rPr>
                <w:rFonts w:hint="eastAsia" w:ascii="黑体" w:hAnsi="黑体" w:eastAsia="黑体" w:cs="黑体"/>
                <w:b w:val="0"/>
                <w:bCs w:val="0"/>
                <w:lang w:val="zh-CN"/>
              </w:rPr>
            </w:pPr>
            <w:r>
              <w:rPr>
                <w:rFonts w:hint="eastAsia" w:ascii="黑体" w:hAnsi="黑体" w:eastAsia="黑体" w:cs="黑体"/>
                <w:b w:val="0"/>
                <w:bCs w:val="0"/>
                <w:lang w:val="zh-CN"/>
              </w:rPr>
              <w:t>表4-7  废水排放基本情况一览表</w:t>
            </w:r>
          </w:p>
          <w:tbl>
            <w:tblPr>
              <w:tblStyle w:val="23"/>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31"/>
              <w:gridCol w:w="545"/>
              <w:gridCol w:w="461"/>
              <w:gridCol w:w="1141"/>
              <w:gridCol w:w="1157"/>
              <w:gridCol w:w="516"/>
              <w:gridCol w:w="600"/>
              <w:gridCol w:w="670"/>
              <w:gridCol w:w="697"/>
              <w:gridCol w:w="712"/>
              <w:gridCol w:w="1261"/>
            </w:tblGrid>
            <w:tr w14:paraId="56339D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204" w:type="pct"/>
                  <w:vMerge w:val="restart"/>
                  <w:vAlign w:val="center"/>
                </w:tcPr>
                <w:p w14:paraId="432DB12D">
                  <w:pPr>
                    <w:pStyle w:val="21"/>
                    <w:spacing w:before="0" w:beforeAutospacing="0" w:after="0" w:afterAutospacing="0"/>
                    <w:jc w:val="center"/>
                    <w:rPr>
                      <w:rFonts w:hint="eastAsia" w:ascii="Times New Roman" w:hAnsi="Times New Roman"/>
                      <w:snapToGrid w:val="0"/>
                      <w:sz w:val="21"/>
                      <w:szCs w:val="21"/>
                    </w:rPr>
                  </w:pPr>
                  <w:r>
                    <w:rPr>
                      <w:rFonts w:hint="eastAsia" w:ascii="Times New Roman" w:hAnsi="Times New Roman"/>
                      <w:snapToGrid w:val="0"/>
                      <w:sz w:val="21"/>
                      <w:szCs w:val="21"/>
                    </w:rPr>
                    <w:t>序号</w:t>
                  </w:r>
                </w:p>
              </w:tc>
              <w:tc>
                <w:tcPr>
                  <w:tcW w:w="336" w:type="pct"/>
                  <w:vMerge w:val="restart"/>
                  <w:vAlign w:val="center"/>
                </w:tcPr>
                <w:p w14:paraId="3DE77F84">
                  <w:pPr>
                    <w:pStyle w:val="21"/>
                    <w:spacing w:before="0" w:beforeAutospacing="0" w:after="0" w:afterAutospacing="0"/>
                    <w:jc w:val="center"/>
                    <w:rPr>
                      <w:rFonts w:hint="eastAsia" w:ascii="Times New Roman" w:hAnsi="Times New Roman"/>
                      <w:snapToGrid w:val="0"/>
                      <w:sz w:val="21"/>
                      <w:szCs w:val="21"/>
                    </w:rPr>
                  </w:pPr>
                  <w:r>
                    <w:rPr>
                      <w:rFonts w:hint="eastAsia" w:ascii="Times New Roman" w:hAnsi="Times New Roman"/>
                      <w:snapToGrid w:val="0"/>
                      <w:sz w:val="21"/>
                      <w:szCs w:val="21"/>
                    </w:rPr>
                    <w:t>排放口编号</w:t>
                  </w:r>
                </w:p>
              </w:tc>
              <w:tc>
                <w:tcPr>
                  <w:tcW w:w="284" w:type="pct"/>
                  <w:vMerge w:val="restart"/>
                  <w:vAlign w:val="center"/>
                </w:tcPr>
                <w:p w14:paraId="6EDB4DA2">
                  <w:pPr>
                    <w:pStyle w:val="21"/>
                    <w:spacing w:before="0" w:beforeAutospacing="0" w:after="0" w:afterAutospacing="0"/>
                    <w:jc w:val="center"/>
                    <w:rPr>
                      <w:rFonts w:hint="eastAsia" w:ascii="Times New Roman" w:hAnsi="Times New Roman"/>
                      <w:snapToGrid w:val="0"/>
                      <w:sz w:val="21"/>
                      <w:szCs w:val="21"/>
                    </w:rPr>
                  </w:pPr>
                  <w:r>
                    <w:rPr>
                      <w:rFonts w:hint="eastAsia" w:ascii="Times New Roman" w:hAnsi="Times New Roman"/>
                      <w:snapToGrid w:val="0"/>
                      <w:sz w:val="21"/>
                      <w:szCs w:val="21"/>
                    </w:rPr>
                    <w:t>排放口名称</w:t>
                  </w:r>
                </w:p>
              </w:tc>
              <w:tc>
                <w:tcPr>
                  <w:tcW w:w="1418" w:type="pct"/>
                  <w:gridSpan w:val="2"/>
                  <w:vAlign w:val="center"/>
                </w:tcPr>
                <w:p w14:paraId="6F2E1889">
                  <w:pPr>
                    <w:jc w:val="center"/>
                    <w:rPr>
                      <w:rFonts w:hint="eastAsia"/>
                      <w:snapToGrid w:val="0"/>
                      <w:szCs w:val="21"/>
                    </w:rPr>
                  </w:pPr>
                  <w:r>
                    <w:rPr>
                      <w:szCs w:val="21"/>
                    </w:rPr>
                    <w:t>排放口地理坐标</w:t>
                  </w:r>
                </w:p>
              </w:tc>
              <w:tc>
                <w:tcPr>
                  <w:tcW w:w="319" w:type="pct"/>
                  <w:vMerge w:val="restart"/>
                  <w:vAlign w:val="center"/>
                </w:tcPr>
                <w:p w14:paraId="39EF3AC1">
                  <w:pPr>
                    <w:pStyle w:val="21"/>
                    <w:spacing w:before="0" w:beforeAutospacing="0" w:after="0" w:afterAutospacing="0"/>
                    <w:jc w:val="center"/>
                    <w:rPr>
                      <w:rFonts w:hint="eastAsia" w:ascii="Times New Roman" w:hAnsi="Times New Roman"/>
                      <w:snapToGrid w:val="0"/>
                      <w:sz w:val="21"/>
                      <w:szCs w:val="21"/>
                    </w:rPr>
                  </w:pPr>
                  <w:r>
                    <w:rPr>
                      <w:rFonts w:hint="eastAsia" w:ascii="Times New Roman" w:hAnsi="Times New Roman"/>
                      <w:snapToGrid w:val="0"/>
                      <w:sz w:val="21"/>
                      <w:szCs w:val="21"/>
                    </w:rPr>
                    <w:t>类型</w:t>
                  </w:r>
                </w:p>
              </w:tc>
              <w:tc>
                <w:tcPr>
                  <w:tcW w:w="371" w:type="pct"/>
                  <w:vMerge w:val="restart"/>
                  <w:vAlign w:val="center"/>
                </w:tcPr>
                <w:p w14:paraId="5D3D1D62">
                  <w:pPr>
                    <w:pStyle w:val="21"/>
                    <w:spacing w:before="0" w:beforeAutospacing="0" w:after="0" w:afterAutospacing="0"/>
                    <w:jc w:val="center"/>
                    <w:rPr>
                      <w:rFonts w:hint="eastAsia" w:ascii="Times New Roman" w:hAnsi="Times New Roman"/>
                      <w:snapToGrid w:val="0"/>
                      <w:sz w:val="21"/>
                      <w:szCs w:val="21"/>
                    </w:rPr>
                  </w:pPr>
                  <w:r>
                    <w:rPr>
                      <w:rFonts w:hint="eastAsia" w:ascii="Times New Roman" w:hAnsi="Times New Roman"/>
                      <w:snapToGrid w:val="0"/>
                      <w:sz w:val="21"/>
                      <w:szCs w:val="21"/>
                    </w:rPr>
                    <w:t>排放方式</w:t>
                  </w:r>
                </w:p>
              </w:tc>
              <w:tc>
                <w:tcPr>
                  <w:tcW w:w="414" w:type="pct"/>
                  <w:vMerge w:val="restart"/>
                  <w:vAlign w:val="center"/>
                </w:tcPr>
                <w:p w14:paraId="72676CE6">
                  <w:pPr>
                    <w:pStyle w:val="21"/>
                    <w:spacing w:before="0" w:beforeAutospacing="0" w:after="0" w:afterAutospacing="0"/>
                    <w:jc w:val="center"/>
                    <w:rPr>
                      <w:rFonts w:hint="eastAsia" w:ascii="Times New Roman" w:hAnsi="Times New Roman"/>
                      <w:snapToGrid w:val="0"/>
                      <w:sz w:val="21"/>
                      <w:szCs w:val="21"/>
                    </w:rPr>
                  </w:pPr>
                  <w:r>
                    <w:rPr>
                      <w:rFonts w:hint="eastAsia" w:ascii="Times New Roman" w:hAnsi="Times New Roman"/>
                      <w:snapToGrid w:val="0"/>
                      <w:sz w:val="21"/>
                      <w:szCs w:val="21"/>
                    </w:rPr>
                    <w:t>排放去向</w:t>
                  </w:r>
                </w:p>
              </w:tc>
              <w:tc>
                <w:tcPr>
                  <w:tcW w:w="431" w:type="pct"/>
                  <w:vMerge w:val="restart"/>
                  <w:vAlign w:val="center"/>
                </w:tcPr>
                <w:p w14:paraId="124F2E27">
                  <w:pPr>
                    <w:pStyle w:val="21"/>
                    <w:spacing w:before="0" w:beforeAutospacing="0" w:after="0" w:afterAutospacing="0"/>
                    <w:jc w:val="center"/>
                    <w:rPr>
                      <w:rFonts w:hint="eastAsia" w:ascii="Times New Roman" w:hAnsi="Times New Roman"/>
                      <w:snapToGrid w:val="0"/>
                      <w:sz w:val="21"/>
                      <w:szCs w:val="21"/>
                    </w:rPr>
                  </w:pPr>
                  <w:r>
                    <w:rPr>
                      <w:rFonts w:hint="eastAsia" w:ascii="Times New Roman" w:hAnsi="Times New Roman"/>
                      <w:snapToGrid w:val="0"/>
                      <w:sz w:val="21"/>
                      <w:szCs w:val="21"/>
                    </w:rPr>
                    <w:t>排放规律</w:t>
                  </w:r>
                </w:p>
              </w:tc>
              <w:tc>
                <w:tcPr>
                  <w:tcW w:w="440" w:type="pct"/>
                  <w:vMerge w:val="restart"/>
                  <w:vAlign w:val="center"/>
                </w:tcPr>
                <w:p w14:paraId="30BEFEDC">
                  <w:pPr>
                    <w:pStyle w:val="21"/>
                    <w:spacing w:before="0" w:beforeAutospacing="0" w:after="0" w:afterAutospacing="0"/>
                    <w:jc w:val="center"/>
                    <w:rPr>
                      <w:rFonts w:hint="eastAsia" w:ascii="Times New Roman" w:hAnsi="Times New Roman"/>
                      <w:snapToGrid w:val="0"/>
                      <w:sz w:val="21"/>
                      <w:szCs w:val="21"/>
                    </w:rPr>
                  </w:pPr>
                  <w:r>
                    <w:rPr>
                      <w:rFonts w:hint="eastAsia" w:ascii="Times New Roman" w:hAnsi="Times New Roman"/>
                      <w:snapToGrid w:val="0"/>
                      <w:sz w:val="21"/>
                      <w:szCs w:val="21"/>
                    </w:rPr>
                    <w:t>排放标准</w:t>
                  </w:r>
                </w:p>
              </w:tc>
              <w:tc>
                <w:tcPr>
                  <w:tcW w:w="778" w:type="pct"/>
                  <w:vMerge w:val="restart"/>
                  <w:vAlign w:val="center"/>
                </w:tcPr>
                <w:p w14:paraId="5BCCDD27">
                  <w:pPr>
                    <w:pStyle w:val="21"/>
                    <w:spacing w:before="0" w:beforeAutospacing="0" w:after="0" w:afterAutospacing="0"/>
                    <w:jc w:val="center"/>
                    <w:rPr>
                      <w:rFonts w:hint="eastAsia" w:ascii="Times New Roman" w:hAnsi="Times New Roman"/>
                      <w:snapToGrid w:val="0"/>
                      <w:sz w:val="21"/>
                      <w:szCs w:val="21"/>
                    </w:rPr>
                  </w:pPr>
                  <w:r>
                    <w:rPr>
                      <w:rFonts w:hint="eastAsia" w:ascii="Times New Roman" w:hAnsi="Times New Roman"/>
                      <w:snapToGrid w:val="0"/>
                      <w:sz w:val="21"/>
                      <w:szCs w:val="21"/>
                    </w:rPr>
                    <w:t>标准限值</w:t>
                  </w:r>
                </w:p>
              </w:tc>
            </w:tr>
            <w:tr w14:paraId="7383F3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204" w:type="pct"/>
                  <w:vMerge w:val="continue"/>
                  <w:vAlign w:val="center"/>
                </w:tcPr>
                <w:p w14:paraId="353C51A8">
                  <w:pPr>
                    <w:pStyle w:val="21"/>
                    <w:spacing w:before="0" w:beforeAutospacing="0" w:after="0" w:afterAutospacing="0"/>
                    <w:jc w:val="center"/>
                    <w:rPr>
                      <w:rFonts w:hint="eastAsia" w:ascii="Times New Roman" w:hAnsi="Times New Roman"/>
                      <w:snapToGrid w:val="0"/>
                      <w:sz w:val="21"/>
                      <w:szCs w:val="21"/>
                    </w:rPr>
                  </w:pPr>
                </w:p>
              </w:tc>
              <w:tc>
                <w:tcPr>
                  <w:tcW w:w="336" w:type="pct"/>
                  <w:vMerge w:val="continue"/>
                  <w:vAlign w:val="center"/>
                </w:tcPr>
                <w:p w14:paraId="183837ED">
                  <w:pPr>
                    <w:pStyle w:val="21"/>
                    <w:spacing w:before="0" w:beforeAutospacing="0" w:after="0" w:afterAutospacing="0"/>
                    <w:jc w:val="center"/>
                    <w:rPr>
                      <w:rFonts w:hint="eastAsia" w:ascii="Times New Roman" w:hAnsi="Times New Roman"/>
                      <w:snapToGrid w:val="0"/>
                      <w:sz w:val="21"/>
                      <w:szCs w:val="21"/>
                    </w:rPr>
                  </w:pPr>
                </w:p>
              </w:tc>
              <w:tc>
                <w:tcPr>
                  <w:tcW w:w="284" w:type="pct"/>
                  <w:vMerge w:val="continue"/>
                  <w:vAlign w:val="center"/>
                </w:tcPr>
                <w:p w14:paraId="19BA5E91">
                  <w:pPr>
                    <w:pStyle w:val="21"/>
                    <w:spacing w:before="0" w:beforeAutospacing="0" w:after="0" w:afterAutospacing="0"/>
                    <w:jc w:val="center"/>
                    <w:rPr>
                      <w:rFonts w:hint="eastAsia" w:ascii="Times New Roman" w:hAnsi="Times New Roman"/>
                      <w:snapToGrid w:val="0"/>
                      <w:sz w:val="21"/>
                      <w:szCs w:val="21"/>
                    </w:rPr>
                  </w:pPr>
                </w:p>
              </w:tc>
              <w:tc>
                <w:tcPr>
                  <w:tcW w:w="704" w:type="pct"/>
                  <w:vAlign w:val="center"/>
                </w:tcPr>
                <w:p w14:paraId="02FC88FF">
                  <w:pPr>
                    <w:jc w:val="center"/>
                    <w:rPr>
                      <w:rFonts w:hint="eastAsia"/>
                      <w:snapToGrid w:val="0"/>
                      <w:szCs w:val="21"/>
                    </w:rPr>
                  </w:pPr>
                  <w:r>
                    <w:rPr>
                      <w:color w:val="000000"/>
                      <w:szCs w:val="21"/>
                    </w:rPr>
                    <w:t>经度</w:t>
                  </w:r>
                </w:p>
              </w:tc>
              <w:tc>
                <w:tcPr>
                  <w:tcW w:w="713" w:type="pct"/>
                  <w:vAlign w:val="center"/>
                </w:tcPr>
                <w:p w14:paraId="73190023">
                  <w:pPr>
                    <w:jc w:val="center"/>
                    <w:rPr>
                      <w:rFonts w:hint="eastAsia"/>
                      <w:snapToGrid w:val="0"/>
                      <w:szCs w:val="21"/>
                    </w:rPr>
                  </w:pPr>
                  <w:r>
                    <w:rPr>
                      <w:color w:val="000000"/>
                      <w:szCs w:val="21"/>
                    </w:rPr>
                    <w:t>纬度</w:t>
                  </w:r>
                </w:p>
              </w:tc>
              <w:tc>
                <w:tcPr>
                  <w:tcW w:w="319" w:type="pct"/>
                  <w:vMerge w:val="continue"/>
                  <w:vAlign w:val="center"/>
                </w:tcPr>
                <w:p w14:paraId="706624E9">
                  <w:pPr>
                    <w:pStyle w:val="21"/>
                    <w:spacing w:before="0" w:beforeAutospacing="0" w:after="0" w:afterAutospacing="0"/>
                    <w:jc w:val="center"/>
                    <w:rPr>
                      <w:rFonts w:hint="eastAsia" w:ascii="Times New Roman" w:hAnsi="Times New Roman"/>
                      <w:snapToGrid w:val="0"/>
                      <w:sz w:val="21"/>
                      <w:szCs w:val="21"/>
                    </w:rPr>
                  </w:pPr>
                </w:p>
              </w:tc>
              <w:tc>
                <w:tcPr>
                  <w:tcW w:w="371" w:type="pct"/>
                  <w:vMerge w:val="continue"/>
                  <w:vAlign w:val="center"/>
                </w:tcPr>
                <w:p w14:paraId="6E4A9ABF">
                  <w:pPr>
                    <w:pStyle w:val="21"/>
                    <w:spacing w:before="0" w:beforeAutospacing="0" w:after="0" w:afterAutospacing="0"/>
                    <w:jc w:val="center"/>
                    <w:rPr>
                      <w:rFonts w:hint="eastAsia" w:ascii="Times New Roman" w:hAnsi="Times New Roman"/>
                      <w:snapToGrid w:val="0"/>
                      <w:sz w:val="21"/>
                      <w:szCs w:val="21"/>
                    </w:rPr>
                  </w:pPr>
                </w:p>
              </w:tc>
              <w:tc>
                <w:tcPr>
                  <w:tcW w:w="414" w:type="pct"/>
                  <w:vMerge w:val="continue"/>
                  <w:vAlign w:val="center"/>
                </w:tcPr>
                <w:p w14:paraId="218BC877">
                  <w:pPr>
                    <w:pStyle w:val="21"/>
                    <w:spacing w:before="0" w:beforeAutospacing="0" w:after="0" w:afterAutospacing="0"/>
                    <w:jc w:val="center"/>
                    <w:rPr>
                      <w:rFonts w:hint="eastAsia" w:ascii="Times New Roman" w:hAnsi="Times New Roman"/>
                      <w:snapToGrid w:val="0"/>
                      <w:sz w:val="21"/>
                      <w:szCs w:val="21"/>
                    </w:rPr>
                  </w:pPr>
                </w:p>
              </w:tc>
              <w:tc>
                <w:tcPr>
                  <w:tcW w:w="431" w:type="pct"/>
                  <w:vMerge w:val="continue"/>
                  <w:vAlign w:val="center"/>
                </w:tcPr>
                <w:p w14:paraId="78E943DA">
                  <w:pPr>
                    <w:pStyle w:val="21"/>
                    <w:spacing w:before="0" w:beforeAutospacing="0" w:after="0" w:afterAutospacing="0"/>
                    <w:jc w:val="center"/>
                    <w:rPr>
                      <w:rFonts w:hint="eastAsia" w:ascii="Times New Roman" w:hAnsi="Times New Roman"/>
                      <w:snapToGrid w:val="0"/>
                      <w:sz w:val="21"/>
                      <w:szCs w:val="21"/>
                    </w:rPr>
                  </w:pPr>
                </w:p>
              </w:tc>
              <w:tc>
                <w:tcPr>
                  <w:tcW w:w="440" w:type="pct"/>
                  <w:vMerge w:val="continue"/>
                  <w:vAlign w:val="center"/>
                </w:tcPr>
                <w:p w14:paraId="4395A75B">
                  <w:pPr>
                    <w:pStyle w:val="21"/>
                    <w:spacing w:before="0" w:beforeAutospacing="0" w:after="0" w:afterAutospacing="0"/>
                    <w:jc w:val="center"/>
                    <w:rPr>
                      <w:rFonts w:hint="eastAsia" w:ascii="Times New Roman" w:hAnsi="Times New Roman"/>
                      <w:snapToGrid w:val="0"/>
                      <w:sz w:val="21"/>
                      <w:szCs w:val="21"/>
                    </w:rPr>
                  </w:pPr>
                </w:p>
              </w:tc>
              <w:tc>
                <w:tcPr>
                  <w:tcW w:w="778" w:type="pct"/>
                  <w:vMerge w:val="continue"/>
                  <w:vAlign w:val="center"/>
                </w:tcPr>
                <w:p w14:paraId="720DE943">
                  <w:pPr>
                    <w:pStyle w:val="21"/>
                    <w:spacing w:before="0" w:beforeAutospacing="0" w:after="0" w:afterAutospacing="0"/>
                    <w:jc w:val="center"/>
                    <w:rPr>
                      <w:rFonts w:hint="eastAsia" w:ascii="Times New Roman" w:hAnsi="Times New Roman"/>
                      <w:snapToGrid w:val="0"/>
                      <w:sz w:val="21"/>
                      <w:szCs w:val="21"/>
                    </w:rPr>
                  </w:pPr>
                </w:p>
              </w:tc>
            </w:tr>
            <w:tr w14:paraId="1F8120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8" w:hRule="atLeast"/>
              </w:trPr>
              <w:tc>
                <w:tcPr>
                  <w:tcW w:w="204" w:type="pct"/>
                  <w:vAlign w:val="center"/>
                </w:tcPr>
                <w:p w14:paraId="712D30A6">
                  <w:pPr>
                    <w:pStyle w:val="21"/>
                    <w:spacing w:before="0" w:beforeAutospacing="0" w:after="0" w:afterAutospacing="0"/>
                    <w:jc w:val="center"/>
                    <w:rPr>
                      <w:rFonts w:hint="eastAsia" w:ascii="Times New Roman" w:hAnsi="Times New Roman"/>
                      <w:snapToGrid w:val="0"/>
                      <w:sz w:val="21"/>
                      <w:szCs w:val="21"/>
                    </w:rPr>
                  </w:pPr>
                  <w:r>
                    <w:rPr>
                      <w:rFonts w:hint="eastAsia" w:ascii="Times New Roman" w:hAnsi="Times New Roman"/>
                      <w:snapToGrid w:val="0"/>
                      <w:sz w:val="21"/>
                      <w:szCs w:val="21"/>
                    </w:rPr>
                    <w:t>1</w:t>
                  </w:r>
                </w:p>
              </w:tc>
              <w:tc>
                <w:tcPr>
                  <w:tcW w:w="336" w:type="pct"/>
                  <w:vAlign w:val="center"/>
                </w:tcPr>
                <w:p w14:paraId="0CDD6A92">
                  <w:pPr>
                    <w:pStyle w:val="21"/>
                    <w:spacing w:before="0" w:beforeAutospacing="0" w:after="0" w:afterAutospacing="0"/>
                    <w:jc w:val="center"/>
                    <w:rPr>
                      <w:rFonts w:hint="eastAsia" w:ascii="Times New Roman" w:hAnsi="Times New Roman"/>
                      <w:snapToGrid w:val="0"/>
                      <w:sz w:val="21"/>
                      <w:szCs w:val="21"/>
                    </w:rPr>
                  </w:pPr>
                  <w:r>
                    <w:rPr>
                      <w:rFonts w:hint="eastAsia" w:ascii="Times New Roman" w:hAnsi="Times New Roman"/>
                      <w:snapToGrid w:val="0"/>
                      <w:sz w:val="21"/>
                      <w:szCs w:val="21"/>
                    </w:rPr>
                    <w:t>D</w:t>
                  </w:r>
                  <w:r>
                    <w:rPr>
                      <w:rFonts w:ascii="Times New Roman" w:hAnsi="Times New Roman"/>
                      <w:snapToGrid w:val="0"/>
                      <w:sz w:val="21"/>
                      <w:szCs w:val="21"/>
                    </w:rPr>
                    <w:t>W001</w:t>
                  </w:r>
                </w:p>
              </w:tc>
              <w:tc>
                <w:tcPr>
                  <w:tcW w:w="284" w:type="pct"/>
                  <w:vAlign w:val="center"/>
                </w:tcPr>
                <w:p w14:paraId="3681CB15">
                  <w:pPr>
                    <w:pStyle w:val="21"/>
                    <w:spacing w:before="0" w:beforeAutospacing="0" w:after="0" w:afterAutospacing="0"/>
                    <w:jc w:val="center"/>
                    <w:rPr>
                      <w:rFonts w:ascii="Times New Roman" w:hAnsi="Times New Roman"/>
                      <w:snapToGrid w:val="0"/>
                      <w:sz w:val="21"/>
                      <w:szCs w:val="21"/>
                    </w:rPr>
                  </w:pPr>
                  <w:r>
                    <w:rPr>
                      <w:rFonts w:hint="eastAsia" w:ascii="Times New Roman" w:hAnsi="Times New Roman"/>
                      <w:snapToGrid w:val="0"/>
                      <w:sz w:val="21"/>
                      <w:szCs w:val="21"/>
                    </w:rPr>
                    <w:t>综合废水排放口</w:t>
                  </w:r>
                </w:p>
              </w:tc>
              <w:tc>
                <w:tcPr>
                  <w:tcW w:w="704" w:type="pct"/>
                  <w:vAlign w:val="center"/>
                </w:tcPr>
                <w:p w14:paraId="0ABBBC0D">
                  <w:pPr>
                    <w:pStyle w:val="21"/>
                    <w:spacing w:before="0" w:beforeAutospacing="0" w:after="0" w:afterAutospacing="0"/>
                    <w:jc w:val="center"/>
                    <w:rPr>
                      <w:rFonts w:hint="eastAsia" w:ascii="Times New Roman" w:hAnsi="Times New Roman"/>
                      <w:snapToGrid w:val="0"/>
                      <w:sz w:val="21"/>
                      <w:szCs w:val="21"/>
                    </w:rPr>
                  </w:pPr>
                  <w:r>
                    <w:rPr>
                      <w:rFonts w:hint="eastAsia" w:ascii="Times New Roman" w:hAnsi="Times New Roman"/>
                      <w:snapToGrid w:val="0"/>
                      <w:sz w:val="21"/>
                      <w:szCs w:val="21"/>
                    </w:rPr>
                    <w:t>107°15′19.87484″</w:t>
                  </w:r>
                </w:p>
              </w:tc>
              <w:tc>
                <w:tcPr>
                  <w:tcW w:w="713" w:type="pct"/>
                  <w:vAlign w:val="center"/>
                </w:tcPr>
                <w:p w14:paraId="03BB7626">
                  <w:pPr>
                    <w:pStyle w:val="21"/>
                    <w:spacing w:before="0" w:beforeAutospacing="0" w:after="0" w:afterAutospacing="0"/>
                    <w:jc w:val="center"/>
                    <w:rPr>
                      <w:rFonts w:hint="eastAsia" w:ascii="Times New Roman" w:hAnsi="Times New Roman"/>
                      <w:snapToGrid w:val="0"/>
                      <w:sz w:val="21"/>
                      <w:szCs w:val="21"/>
                    </w:rPr>
                  </w:pPr>
                  <w:r>
                    <w:rPr>
                      <w:rFonts w:hint="eastAsia" w:ascii="Times New Roman" w:hAnsi="Times New Roman"/>
                      <w:snapToGrid w:val="0"/>
                      <w:sz w:val="21"/>
                      <w:szCs w:val="21"/>
                    </w:rPr>
                    <w:t>29°43′54.18430″</w:t>
                  </w:r>
                </w:p>
              </w:tc>
              <w:tc>
                <w:tcPr>
                  <w:tcW w:w="319" w:type="pct"/>
                  <w:vAlign w:val="center"/>
                </w:tcPr>
                <w:p w14:paraId="7231FB54">
                  <w:pPr>
                    <w:pStyle w:val="21"/>
                    <w:spacing w:before="0" w:beforeAutospacing="0" w:after="0" w:afterAutospacing="0"/>
                    <w:jc w:val="center"/>
                    <w:rPr>
                      <w:rFonts w:hint="eastAsia" w:ascii="Times New Roman" w:hAnsi="Times New Roman"/>
                      <w:snapToGrid w:val="0"/>
                      <w:sz w:val="21"/>
                      <w:szCs w:val="21"/>
                    </w:rPr>
                  </w:pPr>
                  <w:r>
                    <w:rPr>
                      <w:rFonts w:hint="eastAsia" w:ascii="Times New Roman" w:hAnsi="Times New Roman"/>
                      <w:snapToGrid w:val="0"/>
                      <w:sz w:val="21"/>
                      <w:szCs w:val="21"/>
                    </w:rPr>
                    <w:t>一般排放口</w:t>
                  </w:r>
                </w:p>
              </w:tc>
              <w:tc>
                <w:tcPr>
                  <w:tcW w:w="371" w:type="pct"/>
                  <w:vAlign w:val="center"/>
                </w:tcPr>
                <w:p w14:paraId="19224154">
                  <w:pPr>
                    <w:pStyle w:val="21"/>
                    <w:spacing w:before="0" w:beforeAutospacing="0" w:after="0" w:afterAutospacing="0"/>
                    <w:jc w:val="center"/>
                    <w:rPr>
                      <w:rFonts w:hint="eastAsia" w:ascii="Times New Roman" w:hAnsi="Times New Roman"/>
                      <w:snapToGrid w:val="0"/>
                      <w:sz w:val="21"/>
                      <w:szCs w:val="21"/>
                    </w:rPr>
                  </w:pPr>
                  <w:r>
                    <w:rPr>
                      <w:rFonts w:hint="eastAsia" w:ascii="Times New Roman" w:hAnsi="Times New Roman"/>
                      <w:snapToGrid w:val="0"/>
                      <w:sz w:val="21"/>
                      <w:szCs w:val="21"/>
                    </w:rPr>
                    <w:t>间接排放</w:t>
                  </w:r>
                </w:p>
              </w:tc>
              <w:tc>
                <w:tcPr>
                  <w:tcW w:w="414" w:type="pct"/>
                  <w:vAlign w:val="center"/>
                </w:tcPr>
                <w:p w14:paraId="2D1C75A4">
                  <w:pPr>
                    <w:pStyle w:val="21"/>
                    <w:spacing w:before="0" w:beforeAutospacing="0" w:after="0" w:afterAutospacing="0"/>
                    <w:jc w:val="center"/>
                    <w:rPr>
                      <w:rFonts w:ascii="Times New Roman" w:hAnsi="Times New Roman"/>
                      <w:snapToGrid w:val="0"/>
                      <w:sz w:val="21"/>
                      <w:szCs w:val="21"/>
                    </w:rPr>
                  </w:pPr>
                  <w:r>
                    <w:rPr>
                      <w:rFonts w:hint="eastAsia" w:ascii="Times New Roman" w:hAnsi="Times New Roman"/>
                      <w:snapToGrid w:val="0"/>
                      <w:sz w:val="21"/>
                      <w:szCs w:val="21"/>
                    </w:rPr>
                    <w:t>经园区污水管网排入大耍坝污水处理厂</w:t>
                  </w:r>
                </w:p>
              </w:tc>
              <w:tc>
                <w:tcPr>
                  <w:tcW w:w="431" w:type="pct"/>
                  <w:vAlign w:val="center"/>
                </w:tcPr>
                <w:p w14:paraId="369D8E52">
                  <w:pPr>
                    <w:pStyle w:val="21"/>
                    <w:spacing w:before="0" w:beforeAutospacing="0" w:after="0" w:afterAutospacing="0"/>
                    <w:jc w:val="center"/>
                    <w:rPr>
                      <w:rFonts w:hint="eastAsia" w:ascii="Times New Roman" w:hAnsi="Times New Roman"/>
                      <w:snapToGrid w:val="0"/>
                      <w:sz w:val="21"/>
                      <w:szCs w:val="21"/>
                    </w:rPr>
                  </w:pPr>
                  <w:r>
                    <w:rPr>
                      <w:rFonts w:hint="eastAsia" w:ascii="Times New Roman" w:hAnsi="Times New Roman"/>
                      <w:snapToGrid w:val="0"/>
                      <w:sz w:val="21"/>
                      <w:szCs w:val="21"/>
                    </w:rPr>
                    <w:t>间歇排放</w:t>
                  </w:r>
                </w:p>
              </w:tc>
              <w:tc>
                <w:tcPr>
                  <w:tcW w:w="440" w:type="pct"/>
                  <w:vMerge w:val="restart"/>
                  <w:vAlign w:val="center"/>
                </w:tcPr>
                <w:p w14:paraId="4009239B">
                  <w:pPr>
                    <w:pStyle w:val="21"/>
                    <w:spacing w:before="0" w:beforeAutospacing="0" w:after="0" w:afterAutospacing="0"/>
                    <w:jc w:val="center"/>
                    <w:rPr>
                      <w:rFonts w:hint="eastAsia" w:ascii="Times New Roman" w:hAnsi="Times New Roman"/>
                      <w:snapToGrid w:val="0"/>
                      <w:sz w:val="21"/>
                      <w:szCs w:val="21"/>
                    </w:rPr>
                  </w:pPr>
                  <w:r>
                    <w:rPr>
                      <w:rFonts w:ascii="Times New Roman" w:hAnsi="Times New Roman"/>
                      <w:bCs/>
                      <w:snapToGrid w:val="0"/>
                      <w:sz w:val="21"/>
                      <w:szCs w:val="21"/>
                    </w:rPr>
                    <w:t>《污水综合排放标准》（GB8978-1996）</w:t>
                  </w:r>
                  <w:r>
                    <w:rPr>
                      <w:rFonts w:hint="eastAsia" w:ascii="Times New Roman" w:hAnsi="Times New Roman"/>
                      <w:bCs/>
                      <w:snapToGrid w:val="0"/>
                      <w:sz w:val="21"/>
                      <w:szCs w:val="21"/>
                    </w:rPr>
                    <w:t>三</w:t>
                  </w:r>
                  <w:r>
                    <w:rPr>
                      <w:rFonts w:ascii="Times New Roman" w:hAnsi="Times New Roman"/>
                      <w:bCs/>
                      <w:snapToGrid w:val="0"/>
                      <w:sz w:val="21"/>
                      <w:szCs w:val="21"/>
                    </w:rPr>
                    <w:t>级标准</w:t>
                  </w:r>
                </w:p>
              </w:tc>
              <w:tc>
                <w:tcPr>
                  <w:tcW w:w="778" w:type="pct"/>
                  <w:vAlign w:val="center"/>
                </w:tcPr>
                <w:p w14:paraId="34CEB3DB">
                  <w:pPr>
                    <w:pStyle w:val="21"/>
                    <w:spacing w:before="0" w:beforeAutospacing="0" w:after="0" w:afterAutospacing="0"/>
                    <w:jc w:val="center"/>
                    <w:rPr>
                      <w:rFonts w:hint="eastAsia" w:ascii="Times New Roman" w:hAnsi="Times New Roman"/>
                      <w:snapToGrid w:val="0"/>
                      <w:sz w:val="21"/>
                      <w:szCs w:val="21"/>
                    </w:rPr>
                  </w:pPr>
                  <w:r>
                    <w:rPr>
                      <w:rFonts w:hint="eastAsia" w:ascii="Times New Roman" w:hAnsi="Times New Roman"/>
                      <w:snapToGrid w:val="0"/>
                      <w:sz w:val="21"/>
                      <w:szCs w:val="21"/>
                    </w:rPr>
                    <w:t>pH：6~9</w:t>
                  </w:r>
                </w:p>
                <w:p w14:paraId="1DB77562">
                  <w:pPr>
                    <w:pStyle w:val="21"/>
                    <w:spacing w:before="0" w:beforeAutospacing="0" w:after="0" w:afterAutospacing="0"/>
                    <w:jc w:val="center"/>
                    <w:rPr>
                      <w:rFonts w:hint="eastAsia" w:ascii="Times New Roman" w:hAnsi="Times New Roman"/>
                      <w:snapToGrid w:val="0"/>
                      <w:sz w:val="21"/>
                      <w:szCs w:val="21"/>
                    </w:rPr>
                  </w:pPr>
                  <w:r>
                    <w:rPr>
                      <w:rFonts w:ascii="Times New Roman" w:hAnsi="Times New Roman"/>
                      <w:snapToGrid w:val="0"/>
                      <w:sz w:val="21"/>
                      <w:szCs w:val="21"/>
                    </w:rPr>
                    <w:t>CO</w:t>
                  </w:r>
                  <w:r>
                    <w:rPr>
                      <w:rFonts w:hint="eastAsia" w:ascii="Times New Roman" w:hAnsi="Times New Roman"/>
                      <w:snapToGrid w:val="0"/>
                      <w:sz w:val="21"/>
                      <w:szCs w:val="21"/>
                    </w:rPr>
                    <w:t>D</w:t>
                  </w:r>
                  <w:r>
                    <w:rPr>
                      <w:rFonts w:ascii="Times New Roman" w:hAnsi="Times New Roman"/>
                      <w:snapToGrid w:val="0"/>
                      <w:sz w:val="21"/>
                      <w:szCs w:val="21"/>
                    </w:rPr>
                    <w:t>：</w:t>
                  </w:r>
                  <w:r>
                    <w:rPr>
                      <w:rFonts w:hint="eastAsia" w:ascii="Times New Roman" w:hAnsi="Times New Roman"/>
                      <w:snapToGrid w:val="0"/>
                      <w:sz w:val="21"/>
                      <w:szCs w:val="21"/>
                    </w:rPr>
                    <w:t>500</w:t>
                  </w:r>
                  <w:r>
                    <w:rPr>
                      <w:rFonts w:ascii="Times New Roman" w:hAnsi="Times New Roman"/>
                      <w:snapToGrid w:val="0"/>
                      <w:sz w:val="21"/>
                      <w:szCs w:val="21"/>
                    </w:rPr>
                    <w:t>mg/L</w:t>
                  </w:r>
                </w:p>
                <w:p w14:paraId="43E98424">
                  <w:pPr>
                    <w:pStyle w:val="21"/>
                    <w:spacing w:before="0" w:beforeAutospacing="0" w:after="0" w:afterAutospacing="0"/>
                    <w:jc w:val="center"/>
                    <w:rPr>
                      <w:rFonts w:hint="eastAsia" w:ascii="Times New Roman" w:hAnsi="Times New Roman"/>
                      <w:snapToGrid w:val="0"/>
                      <w:sz w:val="21"/>
                      <w:szCs w:val="21"/>
                    </w:rPr>
                  </w:pPr>
                  <w:r>
                    <w:rPr>
                      <w:rFonts w:hint="eastAsia" w:ascii="Times New Roman" w:hAnsi="Times New Roman"/>
                      <w:snapToGrid w:val="0"/>
                      <w:sz w:val="21"/>
                      <w:szCs w:val="21"/>
                    </w:rPr>
                    <w:t>B</w:t>
                  </w:r>
                  <w:r>
                    <w:rPr>
                      <w:rFonts w:ascii="Times New Roman" w:hAnsi="Times New Roman"/>
                      <w:snapToGrid w:val="0"/>
                      <w:sz w:val="21"/>
                      <w:szCs w:val="21"/>
                    </w:rPr>
                    <w:t>OD</w:t>
                  </w:r>
                  <w:r>
                    <w:rPr>
                      <w:rFonts w:ascii="Times New Roman" w:hAnsi="Times New Roman"/>
                      <w:snapToGrid w:val="0"/>
                      <w:sz w:val="21"/>
                      <w:szCs w:val="21"/>
                      <w:vertAlign w:val="subscript"/>
                    </w:rPr>
                    <w:t>5</w:t>
                  </w:r>
                  <w:r>
                    <w:rPr>
                      <w:rFonts w:hint="eastAsia" w:ascii="Times New Roman" w:hAnsi="Times New Roman"/>
                      <w:snapToGrid w:val="0"/>
                      <w:sz w:val="21"/>
                      <w:szCs w:val="21"/>
                    </w:rPr>
                    <w:t>：300</w:t>
                  </w:r>
                  <w:r>
                    <w:rPr>
                      <w:rFonts w:ascii="Times New Roman" w:hAnsi="Times New Roman"/>
                      <w:snapToGrid w:val="0"/>
                      <w:sz w:val="21"/>
                      <w:szCs w:val="21"/>
                    </w:rPr>
                    <w:t>mg/L</w:t>
                  </w:r>
                </w:p>
                <w:p w14:paraId="37834D25">
                  <w:pPr>
                    <w:pStyle w:val="21"/>
                    <w:spacing w:before="0" w:beforeAutospacing="0" w:after="0" w:afterAutospacing="0"/>
                    <w:jc w:val="center"/>
                    <w:rPr>
                      <w:rFonts w:hint="eastAsia" w:ascii="Times New Roman" w:hAnsi="Times New Roman"/>
                      <w:snapToGrid w:val="0"/>
                      <w:sz w:val="21"/>
                      <w:szCs w:val="21"/>
                    </w:rPr>
                  </w:pPr>
                  <w:r>
                    <w:rPr>
                      <w:rFonts w:hint="eastAsia" w:ascii="Times New Roman" w:hAnsi="Times New Roman"/>
                      <w:snapToGrid w:val="0"/>
                      <w:sz w:val="21"/>
                      <w:szCs w:val="21"/>
                    </w:rPr>
                    <w:t>S</w:t>
                  </w:r>
                  <w:r>
                    <w:rPr>
                      <w:rFonts w:ascii="Times New Roman" w:hAnsi="Times New Roman"/>
                      <w:snapToGrid w:val="0"/>
                      <w:sz w:val="21"/>
                      <w:szCs w:val="21"/>
                    </w:rPr>
                    <w:t>S</w:t>
                  </w:r>
                  <w:r>
                    <w:rPr>
                      <w:rFonts w:hint="eastAsia" w:ascii="Times New Roman" w:hAnsi="Times New Roman"/>
                      <w:snapToGrid w:val="0"/>
                      <w:sz w:val="21"/>
                      <w:szCs w:val="21"/>
                    </w:rPr>
                    <w:t>：400</w:t>
                  </w:r>
                  <w:r>
                    <w:rPr>
                      <w:rFonts w:ascii="Times New Roman" w:hAnsi="Times New Roman"/>
                      <w:snapToGrid w:val="0"/>
                      <w:sz w:val="21"/>
                      <w:szCs w:val="21"/>
                    </w:rPr>
                    <w:t>mg/L</w:t>
                  </w:r>
                </w:p>
                <w:p w14:paraId="1337B805">
                  <w:pPr>
                    <w:pStyle w:val="21"/>
                    <w:spacing w:before="0" w:beforeAutospacing="0" w:after="0" w:afterAutospacing="0"/>
                    <w:jc w:val="center"/>
                    <w:rPr>
                      <w:rFonts w:hint="eastAsia" w:ascii="Times New Roman" w:hAnsi="Times New Roman"/>
                      <w:snapToGrid w:val="0"/>
                      <w:sz w:val="21"/>
                      <w:szCs w:val="21"/>
                    </w:rPr>
                  </w:pPr>
                  <w:r>
                    <w:rPr>
                      <w:rFonts w:ascii="Times New Roman" w:hAnsi="Times New Roman"/>
                      <w:snapToGrid w:val="0"/>
                      <w:sz w:val="21"/>
                      <w:szCs w:val="21"/>
                    </w:rPr>
                    <w:t>NH</w:t>
                  </w:r>
                  <w:r>
                    <w:rPr>
                      <w:rFonts w:ascii="Times New Roman" w:hAnsi="Times New Roman"/>
                      <w:snapToGrid w:val="0"/>
                      <w:sz w:val="21"/>
                      <w:szCs w:val="21"/>
                      <w:vertAlign w:val="subscript"/>
                    </w:rPr>
                    <w:t>3</w:t>
                  </w:r>
                  <w:r>
                    <w:rPr>
                      <w:rFonts w:ascii="Times New Roman" w:hAnsi="Times New Roman"/>
                      <w:snapToGrid w:val="0"/>
                      <w:sz w:val="21"/>
                      <w:szCs w:val="21"/>
                    </w:rPr>
                    <w:t>-N</w:t>
                  </w:r>
                  <w:r>
                    <w:rPr>
                      <w:rFonts w:hint="eastAsia" w:ascii="Times New Roman" w:hAnsi="Times New Roman"/>
                      <w:snapToGrid w:val="0"/>
                      <w:sz w:val="21"/>
                      <w:szCs w:val="21"/>
                    </w:rPr>
                    <w:t>：45</w:t>
                  </w:r>
                  <w:r>
                    <w:rPr>
                      <w:rFonts w:ascii="Times New Roman" w:hAnsi="Times New Roman"/>
                      <w:snapToGrid w:val="0"/>
                      <w:sz w:val="21"/>
                      <w:szCs w:val="21"/>
                    </w:rPr>
                    <w:t>mg/L</w:t>
                  </w:r>
                </w:p>
                <w:p w14:paraId="27CC269A">
                  <w:pPr>
                    <w:pStyle w:val="21"/>
                    <w:spacing w:before="0" w:beforeAutospacing="0" w:after="0" w:afterAutospacing="0"/>
                    <w:jc w:val="center"/>
                    <w:rPr>
                      <w:rFonts w:ascii="Times New Roman" w:hAnsi="Times New Roman"/>
                      <w:snapToGrid w:val="0"/>
                      <w:sz w:val="21"/>
                      <w:szCs w:val="21"/>
                    </w:rPr>
                  </w:pPr>
                  <w:r>
                    <w:rPr>
                      <w:rFonts w:hint="eastAsia" w:ascii="Times New Roman" w:hAnsi="Times New Roman"/>
                      <w:snapToGrid w:val="0"/>
                      <w:sz w:val="21"/>
                      <w:szCs w:val="21"/>
                    </w:rPr>
                    <w:t>石油类：20</w:t>
                  </w:r>
                  <w:r>
                    <w:rPr>
                      <w:rFonts w:ascii="Times New Roman" w:hAnsi="Times New Roman"/>
                      <w:snapToGrid w:val="0"/>
                      <w:sz w:val="21"/>
                      <w:szCs w:val="21"/>
                    </w:rPr>
                    <w:t>mg/L</w:t>
                  </w:r>
                </w:p>
              </w:tc>
            </w:tr>
            <w:tr w14:paraId="6A1C12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4" w:hRule="atLeast"/>
              </w:trPr>
              <w:tc>
                <w:tcPr>
                  <w:tcW w:w="204" w:type="pct"/>
                  <w:vAlign w:val="center"/>
                </w:tcPr>
                <w:p w14:paraId="268C843F">
                  <w:pPr>
                    <w:pStyle w:val="21"/>
                    <w:spacing w:before="0" w:beforeAutospacing="0" w:after="0" w:afterAutospacing="0"/>
                    <w:jc w:val="center"/>
                    <w:rPr>
                      <w:rFonts w:hint="eastAsia" w:ascii="Times New Roman" w:hAnsi="Times New Roman"/>
                      <w:snapToGrid w:val="0"/>
                      <w:sz w:val="21"/>
                      <w:szCs w:val="21"/>
                    </w:rPr>
                  </w:pPr>
                  <w:r>
                    <w:rPr>
                      <w:rFonts w:hint="eastAsia" w:ascii="Times New Roman" w:hAnsi="Times New Roman"/>
                      <w:snapToGrid w:val="0"/>
                      <w:sz w:val="21"/>
                      <w:szCs w:val="21"/>
                    </w:rPr>
                    <w:t>2</w:t>
                  </w:r>
                </w:p>
              </w:tc>
              <w:tc>
                <w:tcPr>
                  <w:tcW w:w="336" w:type="pct"/>
                  <w:vAlign w:val="center"/>
                </w:tcPr>
                <w:p w14:paraId="252AD7CF">
                  <w:pPr>
                    <w:pStyle w:val="21"/>
                    <w:spacing w:before="0" w:beforeAutospacing="0" w:after="0" w:afterAutospacing="0"/>
                    <w:jc w:val="center"/>
                    <w:rPr>
                      <w:rFonts w:ascii="Times New Roman" w:hAnsi="Times New Roman"/>
                      <w:snapToGrid w:val="0"/>
                      <w:sz w:val="21"/>
                      <w:szCs w:val="21"/>
                    </w:rPr>
                  </w:pPr>
                  <w:r>
                    <w:rPr>
                      <w:rFonts w:hint="eastAsia" w:ascii="Times New Roman" w:hAnsi="Times New Roman"/>
                      <w:snapToGrid w:val="0"/>
                      <w:sz w:val="21"/>
                      <w:szCs w:val="21"/>
                    </w:rPr>
                    <w:t>YS001</w:t>
                  </w:r>
                </w:p>
              </w:tc>
              <w:tc>
                <w:tcPr>
                  <w:tcW w:w="284" w:type="pct"/>
                  <w:vAlign w:val="center"/>
                </w:tcPr>
                <w:p w14:paraId="7CE113B9">
                  <w:pPr>
                    <w:pStyle w:val="21"/>
                    <w:spacing w:before="0" w:beforeAutospacing="0" w:after="0" w:afterAutospacing="0"/>
                    <w:jc w:val="center"/>
                    <w:rPr>
                      <w:rFonts w:ascii="Times New Roman" w:hAnsi="Times New Roman"/>
                      <w:snapToGrid w:val="0"/>
                      <w:sz w:val="21"/>
                      <w:szCs w:val="21"/>
                    </w:rPr>
                  </w:pPr>
                  <w:r>
                    <w:rPr>
                      <w:rFonts w:hint="eastAsia" w:ascii="Times New Roman" w:hAnsi="Times New Roman"/>
                      <w:snapToGrid w:val="0"/>
                      <w:sz w:val="21"/>
                      <w:szCs w:val="21"/>
                    </w:rPr>
                    <w:t>雨水排放口</w:t>
                  </w:r>
                </w:p>
              </w:tc>
              <w:tc>
                <w:tcPr>
                  <w:tcW w:w="704" w:type="pct"/>
                  <w:vAlign w:val="center"/>
                </w:tcPr>
                <w:p w14:paraId="2AFEAB2E">
                  <w:pPr>
                    <w:pStyle w:val="21"/>
                    <w:spacing w:before="0" w:beforeAutospacing="0" w:after="0" w:afterAutospacing="0"/>
                    <w:jc w:val="center"/>
                    <w:rPr>
                      <w:rFonts w:hint="eastAsia" w:ascii="Times New Roman" w:hAnsi="Times New Roman"/>
                      <w:snapToGrid w:val="0"/>
                      <w:sz w:val="21"/>
                      <w:szCs w:val="21"/>
                    </w:rPr>
                  </w:pPr>
                  <w:r>
                    <w:rPr>
                      <w:rFonts w:hint="eastAsia" w:ascii="Times New Roman" w:hAnsi="Times New Roman"/>
                      <w:snapToGrid w:val="0"/>
                      <w:sz w:val="21"/>
                      <w:szCs w:val="21"/>
                    </w:rPr>
                    <w:t>107°15′21.84166″</w:t>
                  </w:r>
                </w:p>
              </w:tc>
              <w:tc>
                <w:tcPr>
                  <w:tcW w:w="713" w:type="pct"/>
                  <w:vAlign w:val="center"/>
                </w:tcPr>
                <w:p w14:paraId="31C8EF85">
                  <w:pPr>
                    <w:pStyle w:val="21"/>
                    <w:spacing w:before="0" w:beforeAutospacing="0" w:after="0" w:afterAutospacing="0"/>
                    <w:jc w:val="center"/>
                    <w:rPr>
                      <w:rFonts w:hint="eastAsia" w:ascii="Times New Roman" w:hAnsi="Times New Roman"/>
                      <w:snapToGrid w:val="0"/>
                      <w:sz w:val="21"/>
                      <w:szCs w:val="21"/>
                    </w:rPr>
                  </w:pPr>
                  <w:r>
                    <w:rPr>
                      <w:rFonts w:hint="eastAsia" w:ascii="Times New Roman" w:hAnsi="Times New Roman"/>
                      <w:snapToGrid w:val="0"/>
                      <w:sz w:val="21"/>
                      <w:szCs w:val="21"/>
                    </w:rPr>
                    <w:t>29°43′53.29824″</w:t>
                  </w:r>
                </w:p>
              </w:tc>
              <w:tc>
                <w:tcPr>
                  <w:tcW w:w="319" w:type="pct"/>
                  <w:vAlign w:val="center"/>
                </w:tcPr>
                <w:p w14:paraId="0CCFC085">
                  <w:pPr>
                    <w:pStyle w:val="21"/>
                    <w:spacing w:before="0" w:beforeAutospacing="0" w:after="0" w:afterAutospacing="0"/>
                    <w:jc w:val="center"/>
                    <w:rPr>
                      <w:rFonts w:hint="eastAsia" w:ascii="Times New Roman" w:hAnsi="Times New Roman"/>
                      <w:snapToGrid w:val="0"/>
                      <w:sz w:val="21"/>
                      <w:szCs w:val="21"/>
                    </w:rPr>
                  </w:pPr>
                  <w:r>
                    <w:rPr>
                      <w:rFonts w:hint="eastAsia" w:ascii="Times New Roman" w:hAnsi="Times New Roman"/>
                      <w:snapToGrid w:val="0"/>
                      <w:sz w:val="21"/>
                      <w:szCs w:val="21"/>
                    </w:rPr>
                    <w:t>一般排放口</w:t>
                  </w:r>
                </w:p>
              </w:tc>
              <w:tc>
                <w:tcPr>
                  <w:tcW w:w="371" w:type="pct"/>
                  <w:vAlign w:val="center"/>
                </w:tcPr>
                <w:p w14:paraId="408EC3DD">
                  <w:pPr>
                    <w:pStyle w:val="21"/>
                    <w:spacing w:before="0" w:beforeAutospacing="0" w:after="0" w:afterAutospacing="0"/>
                    <w:jc w:val="center"/>
                    <w:rPr>
                      <w:rFonts w:hint="eastAsia" w:ascii="Times New Roman" w:hAnsi="Times New Roman"/>
                      <w:snapToGrid w:val="0"/>
                      <w:sz w:val="21"/>
                      <w:szCs w:val="21"/>
                    </w:rPr>
                  </w:pPr>
                  <w:r>
                    <w:rPr>
                      <w:rFonts w:hint="eastAsia" w:ascii="Times New Roman" w:hAnsi="Times New Roman"/>
                      <w:snapToGrid w:val="0"/>
                      <w:sz w:val="21"/>
                      <w:szCs w:val="21"/>
                    </w:rPr>
                    <w:t>间接排放</w:t>
                  </w:r>
                </w:p>
              </w:tc>
              <w:tc>
                <w:tcPr>
                  <w:tcW w:w="414" w:type="pct"/>
                  <w:vAlign w:val="center"/>
                </w:tcPr>
                <w:p w14:paraId="274CB7D5">
                  <w:pPr>
                    <w:pStyle w:val="21"/>
                    <w:spacing w:before="0" w:beforeAutospacing="0" w:after="0" w:afterAutospacing="0"/>
                    <w:jc w:val="center"/>
                    <w:rPr>
                      <w:rFonts w:hint="eastAsia" w:ascii="Times New Roman" w:hAnsi="Times New Roman"/>
                      <w:snapToGrid w:val="0"/>
                      <w:sz w:val="21"/>
                      <w:szCs w:val="21"/>
                    </w:rPr>
                  </w:pPr>
                  <w:r>
                    <w:rPr>
                      <w:rFonts w:hint="eastAsia" w:ascii="Times New Roman" w:hAnsi="Times New Roman"/>
                      <w:snapToGrid w:val="0"/>
                      <w:sz w:val="21"/>
                      <w:szCs w:val="21"/>
                    </w:rPr>
                    <w:t>经园区雨水管网排入大耍坝污水处理厂</w:t>
                  </w:r>
                </w:p>
              </w:tc>
              <w:tc>
                <w:tcPr>
                  <w:tcW w:w="431" w:type="pct"/>
                  <w:vAlign w:val="center"/>
                </w:tcPr>
                <w:p w14:paraId="297C1599">
                  <w:pPr>
                    <w:pStyle w:val="21"/>
                    <w:spacing w:before="0" w:beforeAutospacing="0" w:after="0" w:afterAutospacing="0"/>
                    <w:jc w:val="center"/>
                    <w:rPr>
                      <w:rFonts w:hint="eastAsia" w:ascii="Times New Roman" w:hAnsi="Times New Roman"/>
                      <w:snapToGrid w:val="0"/>
                      <w:sz w:val="21"/>
                      <w:szCs w:val="21"/>
                    </w:rPr>
                  </w:pPr>
                  <w:r>
                    <w:rPr>
                      <w:rFonts w:ascii="Times New Roman" w:hAnsi="Times New Roman"/>
                      <w:snapToGrid w:val="0"/>
                      <w:sz w:val="21"/>
                      <w:szCs w:val="21"/>
                    </w:rPr>
                    <w:t>间断排放，排放期间流量不稳定，属于冲击型排放</w:t>
                  </w:r>
                </w:p>
              </w:tc>
              <w:tc>
                <w:tcPr>
                  <w:tcW w:w="440" w:type="pct"/>
                  <w:vMerge w:val="continue"/>
                  <w:vAlign w:val="center"/>
                </w:tcPr>
                <w:p w14:paraId="09B2FA2B">
                  <w:pPr>
                    <w:pStyle w:val="21"/>
                    <w:spacing w:before="0" w:beforeAutospacing="0" w:after="0" w:afterAutospacing="0"/>
                    <w:jc w:val="center"/>
                    <w:rPr>
                      <w:rFonts w:ascii="Times New Roman" w:hAnsi="Times New Roman"/>
                      <w:bCs/>
                      <w:snapToGrid w:val="0"/>
                      <w:sz w:val="21"/>
                      <w:szCs w:val="21"/>
                    </w:rPr>
                  </w:pPr>
                </w:p>
              </w:tc>
              <w:tc>
                <w:tcPr>
                  <w:tcW w:w="778" w:type="pct"/>
                  <w:vAlign w:val="center"/>
                </w:tcPr>
                <w:p w14:paraId="39D3683D">
                  <w:pPr>
                    <w:pStyle w:val="21"/>
                    <w:spacing w:before="0" w:beforeAutospacing="0" w:after="0" w:afterAutospacing="0"/>
                    <w:jc w:val="center"/>
                    <w:rPr>
                      <w:rFonts w:ascii="Times New Roman" w:hAnsi="Times New Roman"/>
                      <w:snapToGrid w:val="0"/>
                      <w:sz w:val="21"/>
                      <w:szCs w:val="21"/>
                    </w:rPr>
                  </w:pPr>
                  <w:r>
                    <w:rPr>
                      <w:rFonts w:hint="eastAsia" w:ascii="Times New Roman" w:hAnsi="Times New Roman"/>
                      <w:snapToGrid w:val="0"/>
                      <w:sz w:val="21"/>
                      <w:szCs w:val="21"/>
                    </w:rPr>
                    <w:t>S</w:t>
                  </w:r>
                  <w:r>
                    <w:rPr>
                      <w:rFonts w:ascii="Times New Roman" w:hAnsi="Times New Roman"/>
                      <w:snapToGrid w:val="0"/>
                      <w:sz w:val="21"/>
                      <w:szCs w:val="21"/>
                    </w:rPr>
                    <w:t>S</w:t>
                  </w:r>
                  <w:r>
                    <w:rPr>
                      <w:rFonts w:hint="eastAsia" w:ascii="Times New Roman" w:hAnsi="Times New Roman"/>
                      <w:snapToGrid w:val="0"/>
                      <w:sz w:val="21"/>
                      <w:szCs w:val="21"/>
                    </w:rPr>
                    <w:t>：400</w:t>
                  </w:r>
                  <w:r>
                    <w:rPr>
                      <w:rFonts w:ascii="Times New Roman" w:hAnsi="Times New Roman"/>
                      <w:snapToGrid w:val="0"/>
                      <w:sz w:val="21"/>
                      <w:szCs w:val="21"/>
                    </w:rPr>
                    <w:t>mg/L</w:t>
                  </w:r>
                </w:p>
                <w:p w14:paraId="46A44B56">
                  <w:pPr>
                    <w:pStyle w:val="21"/>
                    <w:spacing w:before="0" w:beforeAutospacing="0" w:after="0" w:afterAutospacing="0"/>
                    <w:jc w:val="center"/>
                    <w:rPr>
                      <w:rFonts w:hint="eastAsia" w:ascii="Times New Roman" w:hAnsi="Times New Roman"/>
                      <w:snapToGrid w:val="0"/>
                      <w:sz w:val="21"/>
                      <w:szCs w:val="21"/>
                    </w:rPr>
                  </w:pPr>
                  <w:r>
                    <w:rPr>
                      <w:rFonts w:hint="eastAsia" w:ascii="Times New Roman" w:hAnsi="Times New Roman"/>
                      <w:snapToGrid w:val="0"/>
                      <w:sz w:val="21"/>
                      <w:szCs w:val="21"/>
                    </w:rPr>
                    <w:t>石油类：20</w:t>
                  </w:r>
                  <w:r>
                    <w:rPr>
                      <w:rFonts w:ascii="Times New Roman" w:hAnsi="Times New Roman"/>
                      <w:snapToGrid w:val="0"/>
                      <w:sz w:val="21"/>
                      <w:szCs w:val="21"/>
                    </w:rPr>
                    <w:t>mg/L</w:t>
                  </w:r>
                </w:p>
              </w:tc>
            </w:tr>
          </w:tbl>
          <w:p w14:paraId="59C4C800">
            <w:pPr>
              <w:pStyle w:val="6"/>
              <w:spacing w:line="360" w:lineRule="auto"/>
              <w:ind w:firstLine="480"/>
              <w:rPr>
                <w:rFonts w:hint="eastAsia"/>
                <w:sz w:val="24"/>
              </w:rPr>
            </w:pPr>
            <w:r>
              <w:rPr>
                <w:rFonts w:hint="eastAsia"/>
                <w:sz w:val="24"/>
              </w:rPr>
              <w:t>根据《排污许可证申请与核发技术规范  储油库、加油站》（HJ1118-2020）、《排污单位自行监测技术指南 总则》（HJ819-2017）。本项目废水污染物排放监测要求详见表4-8。</w:t>
            </w:r>
          </w:p>
          <w:p w14:paraId="6898CA3E">
            <w:pPr>
              <w:pStyle w:val="68"/>
              <w:spacing w:line="240" w:lineRule="auto"/>
              <w:rPr>
                <w:rFonts w:hint="eastAsia" w:ascii="黑体" w:hAnsi="黑体" w:eastAsia="黑体" w:cs="黑体"/>
                <w:b w:val="0"/>
                <w:bCs w:val="0"/>
                <w:lang w:val="zh-CN"/>
              </w:rPr>
            </w:pPr>
            <w:r>
              <w:rPr>
                <w:rFonts w:hint="eastAsia" w:ascii="黑体" w:hAnsi="黑体" w:eastAsia="黑体" w:cs="黑体"/>
                <w:b w:val="0"/>
                <w:bCs w:val="0"/>
                <w:lang w:val="zh-CN"/>
              </w:rPr>
              <w:t>表4-</w:t>
            </w:r>
            <w:r>
              <w:rPr>
                <w:rFonts w:hint="eastAsia" w:ascii="黑体" w:hAnsi="黑体" w:eastAsia="黑体" w:cs="黑体"/>
                <w:b w:val="0"/>
                <w:bCs w:val="0"/>
              </w:rPr>
              <w:t>8</w:t>
            </w:r>
            <w:r>
              <w:rPr>
                <w:rFonts w:hint="eastAsia" w:ascii="黑体" w:hAnsi="黑体" w:eastAsia="黑体" w:cs="黑体"/>
                <w:b w:val="0"/>
                <w:bCs w:val="0"/>
                <w:lang w:val="zh-CN"/>
              </w:rPr>
              <w:t xml:space="preserve">  废水污染物监测要求一览表</w:t>
            </w:r>
          </w:p>
          <w:tbl>
            <w:tblPr>
              <w:tblStyle w:val="23"/>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49"/>
              <w:gridCol w:w="1351"/>
              <w:gridCol w:w="1350"/>
              <w:gridCol w:w="1581"/>
              <w:gridCol w:w="1115"/>
              <w:gridCol w:w="1345"/>
            </w:tblGrid>
            <w:tr w14:paraId="4EC573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3" w:type="pct"/>
                  <w:vAlign w:val="center"/>
                </w:tcPr>
                <w:p w14:paraId="53FA0B44">
                  <w:pPr>
                    <w:pStyle w:val="21"/>
                    <w:spacing w:before="0" w:beforeAutospacing="0" w:after="0" w:afterAutospacing="0"/>
                    <w:jc w:val="center"/>
                    <w:rPr>
                      <w:rFonts w:hint="eastAsia" w:ascii="Times New Roman" w:hAnsi="Times New Roman"/>
                      <w:snapToGrid w:val="0"/>
                      <w:sz w:val="21"/>
                      <w:szCs w:val="21"/>
                    </w:rPr>
                  </w:pPr>
                  <w:r>
                    <w:rPr>
                      <w:rFonts w:hint="eastAsia" w:ascii="Times New Roman" w:hAnsi="Times New Roman"/>
                      <w:snapToGrid w:val="0"/>
                      <w:sz w:val="21"/>
                      <w:szCs w:val="21"/>
                    </w:rPr>
                    <w:t>序号</w:t>
                  </w:r>
                </w:p>
              </w:tc>
              <w:tc>
                <w:tcPr>
                  <w:tcW w:w="834" w:type="pct"/>
                  <w:vAlign w:val="center"/>
                </w:tcPr>
                <w:p w14:paraId="20FC19B7">
                  <w:pPr>
                    <w:pStyle w:val="21"/>
                    <w:spacing w:before="0" w:beforeAutospacing="0" w:after="0" w:afterAutospacing="0"/>
                    <w:jc w:val="center"/>
                    <w:rPr>
                      <w:rFonts w:hint="eastAsia" w:ascii="Times New Roman" w:hAnsi="Times New Roman"/>
                      <w:snapToGrid w:val="0"/>
                      <w:sz w:val="21"/>
                      <w:szCs w:val="21"/>
                    </w:rPr>
                  </w:pPr>
                  <w:r>
                    <w:rPr>
                      <w:rFonts w:hint="eastAsia" w:ascii="Times New Roman" w:hAnsi="Times New Roman"/>
                      <w:snapToGrid w:val="0"/>
                      <w:sz w:val="21"/>
                      <w:szCs w:val="21"/>
                    </w:rPr>
                    <w:t>污染源类别/监测类别</w:t>
                  </w:r>
                </w:p>
              </w:tc>
              <w:tc>
                <w:tcPr>
                  <w:tcW w:w="834" w:type="pct"/>
                  <w:vAlign w:val="center"/>
                </w:tcPr>
                <w:p w14:paraId="63B59AD9">
                  <w:pPr>
                    <w:pStyle w:val="21"/>
                    <w:spacing w:before="0" w:beforeAutospacing="0" w:after="0" w:afterAutospacing="0"/>
                    <w:jc w:val="center"/>
                    <w:rPr>
                      <w:rFonts w:hint="eastAsia" w:ascii="Times New Roman" w:hAnsi="Times New Roman"/>
                      <w:snapToGrid w:val="0"/>
                      <w:sz w:val="21"/>
                      <w:szCs w:val="21"/>
                    </w:rPr>
                  </w:pPr>
                  <w:r>
                    <w:rPr>
                      <w:rFonts w:hint="eastAsia" w:ascii="Times New Roman" w:hAnsi="Times New Roman"/>
                      <w:snapToGrid w:val="0"/>
                      <w:sz w:val="21"/>
                      <w:szCs w:val="21"/>
                    </w:rPr>
                    <w:t>排放口编号/监测点位</w:t>
                  </w:r>
                </w:p>
              </w:tc>
              <w:tc>
                <w:tcPr>
                  <w:tcW w:w="977" w:type="pct"/>
                  <w:vAlign w:val="center"/>
                </w:tcPr>
                <w:p w14:paraId="72CAA2F3">
                  <w:pPr>
                    <w:pStyle w:val="21"/>
                    <w:spacing w:before="0" w:beforeAutospacing="0" w:after="0" w:afterAutospacing="0"/>
                    <w:jc w:val="center"/>
                    <w:rPr>
                      <w:rFonts w:hint="eastAsia" w:ascii="Times New Roman" w:hAnsi="Times New Roman"/>
                      <w:snapToGrid w:val="0"/>
                      <w:sz w:val="21"/>
                      <w:szCs w:val="21"/>
                    </w:rPr>
                  </w:pPr>
                  <w:r>
                    <w:rPr>
                      <w:rFonts w:hint="eastAsia" w:ascii="Times New Roman" w:hAnsi="Times New Roman"/>
                      <w:snapToGrid w:val="0"/>
                      <w:sz w:val="21"/>
                      <w:szCs w:val="21"/>
                    </w:rPr>
                    <w:t>排放口名称/监测点位名称</w:t>
                  </w:r>
                </w:p>
              </w:tc>
              <w:tc>
                <w:tcPr>
                  <w:tcW w:w="689" w:type="pct"/>
                  <w:vAlign w:val="center"/>
                </w:tcPr>
                <w:p w14:paraId="6C29BFC7">
                  <w:pPr>
                    <w:pStyle w:val="21"/>
                    <w:spacing w:before="0" w:beforeAutospacing="0" w:after="0" w:afterAutospacing="0"/>
                    <w:jc w:val="center"/>
                    <w:rPr>
                      <w:rFonts w:hint="eastAsia" w:ascii="Times New Roman" w:hAnsi="Times New Roman"/>
                      <w:snapToGrid w:val="0"/>
                      <w:sz w:val="21"/>
                      <w:szCs w:val="21"/>
                    </w:rPr>
                  </w:pPr>
                  <w:r>
                    <w:rPr>
                      <w:rFonts w:hint="eastAsia" w:ascii="Times New Roman" w:hAnsi="Times New Roman"/>
                      <w:snapToGrid w:val="0"/>
                      <w:sz w:val="21"/>
                      <w:szCs w:val="21"/>
                    </w:rPr>
                    <w:t>监测因子</w:t>
                  </w:r>
                </w:p>
              </w:tc>
              <w:tc>
                <w:tcPr>
                  <w:tcW w:w="831" w:type="pct"/>
                  <w:vAlign w:val="center"/>
                </w:tcPr>
                <w:p w14:paraId="43361655">
                  <w:pPr>
                    <w:pStyle w:val="21"/>
                    <w:spacing w:before="0" w:beforeAutospacing="0" w:after="0" w:afterAutospacing="0"/>
                    <w:jc w:val="center"/>
                    <w:rPr>
                      <w:rFonts w:hint="eastAsia" w:ascii="Times New Roman" w:hAnsi="Times New Roman"/>
                      <w:snapToGrid w:val="0"/>
                      <w:sz w:val="21"/>
                      <w:szCs w:val="21"/>
                    </w:rPr>
                  </w:pPr>
                  <w:r>
                    <w:rPr>
                      <w:rFonts w:hint="eastAsia" w:ascii="Times New Roman" w:hAnsi="Times New Roman"/>
                      <w:snapToGrid w:val="0"/>
                      <w:sz w:val="21"/>
                      <w:szCs w:val="21"/>
                    </w:rPr>
                    <w:t>监测频次</w:t>
                  </w:r>
                </w:p>
              </w:tc>
            </w:tr>
            <w:tr w14:paraId="348AF8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3" w:type="pct"/>
                  <w:vAlign w:val="center"/>
                </w:tcPr>
                <w:p w14:paraId="6DAA1412">
                  <w:pPr>
                    <w:pStyle w:val="21"/>
                    <w:spacing w:before="0" w:beforeAutospacing="0" w:after="0" w:afterAutospacing="0"/>
                    <w:jc w:val="center"/>
                    <w:rPr>
                      <w:rFonts w:hint="eastAsia" w:ascii="Times New Roman" w:hAnsi="Times New Roman"/>
                      <w:snapToGrid w:val="0"/>
                      <w:sz w:val="21"/>
                      <w:szCs w:val="21"/>
                    </w:rPr>
                  </w:pPr>
                  <w:r>
                    <w:rPr>
                      <w:rFonts w:hint="eastAsia" w:ascii="Times New Roman" w:hAnsi="Times New Roman"/>
                      <w:snapToGrid w:val="0"/>
                      <w:sz w:val="21"/>
                      <w:szCs w:val="21"/>
                    </w:rPr>
                    <w:t>1</w:t>
                  </w:r>
                </w:p>
              </w:tc>
              <w:tc>
                <w:tcPr>
                  <w:tcW w:w="834" w:type="pct"/>
                  <w:vMerge w:val="restart"/>
                  <w:vAlign w:val="center"/>
                </w:tcPr>
                <w:p w14:paraId="075D8949">
                  <w:pPr>
                    <w:pStyle w:val="21"/>
                    <w:spacing w:before="0" w:beforeAutospacing="0" w:after="0" w:afterAutospacing="0"/>
                    <w:jc w:val="center"/>
                    <w:rPr>
                      <w:rFonts w:hint="eastAsia" w:ascii="Times New Roman" w:hAnsi="Times New Roman"/>
                      <w:snapToGrid w:val="0"/>
                      <w:sz w:val="21"/>
                      <w:szCs w:val="21"/>
                    </w:rPr>
                  </w:pPr>
                  <w:r>
                    <w:rPr>
                      <w:rFonts w:hint="eastAsia" w:ascii="Times New Roman" w:hAnsi="Times New Roman"/>
                      <w:snapToGrid w:val="0"/>
                      <w:sz w:val="21"/>
                      <w:szCs w:val="21"/>
                    </w:rPr>
                    <w:t>废水</w:t>
                  </w:r>
                </w:p>
              </w:tc>
              <w:tc>
                <w:tcPr>
                  <w:tcW w:w="834" w:type="pct"/>
                  <w:vMerge w:val="restart"/>
                  <w:vAlign w:val="center"/>
                </w:tcPr>
                <w:p w14:paraId="2ED0D629">
                  <w:pPr>
                    <w:pStyle w:val="21"/>
                    <w:spacing w:before="0" w:beforeAutospacing="0" w:after="0" w:afterAutospacing="0"/>
                    <w:jc w:val="center"/>
                    <w:rPr>
                      <w:rFonts w:hint="eastAsia" w:ascii="Times New Roman" w:hAnsi="Times New Roman"/>
                      <w:snapToGrid w:val="0"/>
                      <w:sz w:val="21"/>
                      <w:szCs w:val="21"/>
                    </w:rPr>
                  </w:pPr>
                  <w:r>
                    <w:rPr>
                      <w:rFonts w:hint="eastAsia" w:ascii="Times New Roman" w:hAnsi="Times New Roman"/>
                      <w:snapToGrid w:val="0"/>
                      <w:sz w:val="21"/>
                      <w:szCs w:val="21"/>
                    </w:rPr>
                    <w:t>D</w:t>
                  </w:r>
                  <w:r>
                    <w:rPr>
                      <w:rFonts w:ascii="Times New Roman" w:hAnsi="Times New Roman"/>
                      <w:snapToGrid w:val="0"/>
                      <w:sz w:val="21"/>
                      <w:szCs w:val="21"/>
                    </w:rPr>
                    <w:t>W001</w:t>
                  </w:r>
                </w:p>
              </w:tc>
              <w:tc>
                <w:tcPr>
                  <w:tcW w:w="977" w:type="pct"/>
                  <w:vMerge w:val="restart"/>
                  <w:vAlign w:val="center"/>
                </w:tcPr>
                <w:p w14:paraId="4C58B955">
                  <w:pPr>
                    <w:pStyle w:val="21"/>
                    <w:spacing w:before="0" w:beforeAutospacing="0" w:after="0" w:afterAutospacing="0"/>
                    <w:jc w:val="center"/>
                    <w:rPr>
                      <w:rFonts w:hint="eastAsia" w:ascii="Times New Roman" w:hAnsi="Times New Roman"/>
                      <w:snapToGrid w:val="0"/>
                      <w:sz w:val="21"/>
                      <w:szCs w:val="21"/>
                    </w:rPr>
                  </w:pPr>
                  <w:r>
                    <w:rPr>
                      <w:rFonts w:hint="eastAsia" w:ascii="Times New Roman" w:hAnsi="Times New Roman"/>
                      <w:snapToGrid w:val="0"/>
                      <w:sz w:val="21"/>
                      <w:szCs w:val="21"/>
                    </w:rPr>
                    <w:t>综合废水排放口</w:t>
                  </w:r>
                </w:p>
              </w:tc>
              <w:tc>
                <w:tcPr>
                  <w:tcW w:w="689" w:type="pct"/>
                  <w:vAlign w:val="center"/>
                </w:tcPr>
                <w:p w14:paraId="3F0D41DC">
                  <w:pPr>
                    <w:pStyle w:val="21"/>
                    <w:spacing w:before="0" w:beforeAutospacing="0" w:after="0" w:afterAutospacing="0"/>
                    <w:jc w:val="center"/>
                    <w:rPr>
                      <w:rFonts w:hint="eastAsia" w:ascii="Times New Roman" w:hAnsi="Times New Roman"/>
                      <w:snapToGrid w:val="0"/>
                      <w:sz w:val="21"/>
                      <w:szCs w:val="21"/>
                    </w:rPr>
                  </w:pPr>
                  <w:r>
                    <w:rPr>
                      <w:rFonts w:hint="eastAsia" w:ascii="Times New Roman" w:hAnsi="Times New Roman"/>
                      <w:snapToGrid w:val="0"/>
                      <w:sz w:val="21"/>
                      <w:szCs w:val="21"/>
                    </w:rPr>
                    <w:t>pH</w:t>
                  </w:r>
                </w:p>
              </w:tc>
              <w:tc>
                <w:tcPr>
                  <w:tcW w:w="831" w:type="pct"/>
                  <w:vMerge w:val="restart"/>
                  <w:vAlign w:val="center"/>
                </w:tcPr>
                <w:p w14:paraId="779C9038">
                  <w:pPr>
                    <w:pStyle w:val="21"/>
                    <w:spacing w:before="0" w:beforeAutospacing="0" w:after="0" w:afterAutospacing="0"/>
                    <w:jc w:val="center"/>
                    <w:rPr>
                      <w:rFonts w:hint="eastAsia" w:ascii="Times New Roman" w:hAnsi="Times New Roman"/>
                      <w:snapToGrid w:val="0"/>
                      <w:sz w:val="21"/>
                      <w:szCs w:val="21"/>
                    </w:rPr>
                  </w:pPr>
                  <w:r>
                    <w:rPr>
                      <w:rFonts w:hint="eastAsia"/>
                      <w:sz w:val="21"/>
                      <w:szCs w:val="21"/>
                    </w:rPr>
                    <w:t>1次/年</w:t>
                  </w:r>
                </w:p>
              </w:tc>
            </w:tr>
            <w:tr w14:paraId="4D8200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833" w:type="pct"/>
                  <w:vAlign w:val="center"/>
                </w:tcPr>
                <w:p w14:paraId="350629F6">
                  <w:pPr>
                    <w:pStyle w:val="21"/>
                    <w:spacing w:before="0" w:beforeAutospacing="0" w:after="0" w:afterAutospacing="0"/>
                    <w:jc w:val="center"/>
                    <w:rPr>
                      <w:rFonts w:hint="eastAsia" w:ascii="Times New Roman" w:hAnsi="Times New Roman"/>
                      <w:snapToGrid w:val="0"/>
                      <w:sz w:val="21"/>
                      <w:szCs w:val="21"/>
                    </w:rPr>
                  </w:pPr>
                  <w:r>
                    <w:rPr>
                      <w:rFonts w:hint="eastAsia" w:ascii="Times New Roman" w:hAnsi="Times New Roman"/>
                      <w:snapToGrid w:val="0"/>
                      <w:sz w:val="21"/>
                      <w:szCs w:val="21"/>
                    </w:rPr>
                    <w:t>2</w:t>
                  </w:r>
                </w:p>
              </w:tc>
              <w:tc>
                <w:tcPr>
                  <w:tcW w:w="834" w:type="pct"/>
                  <w:vMerge w:val="continue"/>
                  <w:vAlign w:val="center"/>
                </w:tcPr>
                <w:p w14:paraId="6539E7BC">
                  <w:pPr>
                    <w:pStyle w:val="21"/>
                    <w:spacing w:before="0" w:beforeAutospacing="0" w:after="0" w:afterAutospacing="0"/>
                    <w:jc w:val="center"/>
                    <w:rPr>
                      <w:rFonts w:hint="eastAsia" w:ascii="Times New Roman" w:hAnsi="Times New Roman"/>
                      <w:snapToGrid w:val="0"/>
                      <w:sz w:val="21"/>
                      <w:szCs w:val="21"/>
                    </w:rPr>
                  </w:pPr>
                </w:p>
              </w:tc>
              <w:tc>
                <w:tcPr>
                  <w:tcW w:w="834" w:type="pct"/>
                  <w:vMerge w:val="continue"/>
                  <w:vAlign w:val="center"/>
                </w:tcPr>
                <w:p w14:paraId="4BA06297">
                  <w:pPr>
                    <w:pStyle w:val="21"/>
                    <w:spacing w:before="0" w:beforeAutospacing="0" w:after="0" w:afterAutospacing="0"/>
                    <w:jc w:val="center"/>
                    <w:rPr>
                      <w:rFonts w:hint="eastAsia" w:ascii="Times New Roman" w:hAnsi="Times New Roman"/>
                      <w:snapToGrid w:val="0"/>
                      <w:sz w:val="21"/>
                      <w:szCs w:val="21"/>
                    </w:rPr>
                  </w:pPr>
                </w:p>
              </w:tc>
              <w:tc>
                <w:tcPr>
                  <w:tcW w:w="977" w:type="pct"/>
                  <w:vMerge w:val="continue"/>
                  <w:vAlign w:val="center"/>
                </w:tcPr>
                <w:p w14:paraId="0356E8A3">
                  <w:pPr>
                    <w:pStyle w:val="21"/>
                    <w:spacing w:before="0" w:beforeAutospacing="0" w:after="0" w:afterAutospacing="0"/>
                    <w:jc w:val="center"/>
                    <w:rPr>
                      <w:rFonts w:hint="eastAsia" w:ascii="Times New Roman" w:hAnsi="Times New Roman"/>
                      <w:snapToGrid w:val="0"/>
                      <w:sz w:val="21"/>
                      <w:szCs w:val="21"/>
                    </w:rPr>
                  </w:pPr>
                </w:p>
              </w:tc>
              <w:tc>
                <w:tcPr>
                  <w:tcW w:w="689" w:type="pct"/>
                  <w:vAlign w:val="center"/>
                </w:tcPr>
                <w:p w14:paraId="7D3C4B74">
                  <w:pPr>
                    <w:pStyle w:val="21"/>
                    <w:spacing w:before="0" w:beforeAutospacing="0" w:after="0" w:afterAutospacing="0"/>
                    <w:jc w:val="center"/>
                    <w:rPr>
                      <w:rFonts w:hint="eastAsia" w:ascii="Times New Roman" w:hAnsi="Times New Roman"/>
                      <w:snapToGrid w:val="0"/>
                      <w:sz w:val="21"/>
                      <w:szCs w:val="21"/>
                    </w:rPr>
                  </w:pPr>
                  <w:r>
                    <w:rPr>
                      <w:rFonts w:hint="eastAsia" w:ascii="Times New Roman" w:hAnsi="Times New Roman"/>
                      <w:snapToGrid w:val="0"/>
                      <w:sz w:val="21"/>
                      <w:szCs w:val="21"/>
                    </w:rPr>
                    <w:t>COD</w:t>
                  </w:r>
                </w:p>
              </w:tc>
              <w:tc>
                <w:tcPr>
                  <w:tcW w:w="831" w:type="pct"/>
                  <w:vMerge w:val="continue"/>
                  <w:vAlign w:val="center"/>
                </w:tcPr>
                <w:p w14:paraId="14A2A5B7">
                  <w:pPr>
                    <w:pStyle w:val="21"/>
                    <w:spacing w:before="0" w:beforeAutospacing="0" w:after="0" w:afterAutospacing="0"/>
                    <w:jc w:val="center"/>
                    <w:rPr>
                      <w:rFonts w:hint="eastAsia" w:ascii="Times New Roman" w:hAnsi="Times New Roman"/>
                      <w:snapToGrid w:val="0"/>
                      <w:sz w:val="21"/>
                      <w:szCs w:val="21"/>
                    </w:rPr>
                  </w:pPr>
                </w:p>
              </w:tc>
            </w:tr>
            <w:tr w14:paraId="384BA6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3" w:type="pct"/>
                  <w:vAlign w:val="center"/>
                </w:tcPr>
                <w:p w14:paraId="17A2DF16">
                  <w:pPr>
                    <w:pStyle w:val="21"/>
                    <w:spacing w:before="0" w:beforeAutospacing="0" w:after="0" w:afterAutospacing="0"/>
                    <w:jc w:val="center"/>
                    <w:rPr>
                      <w:rFonts w:hint="eastAsia" w:ascii="Times New Roman" w:hAnsi="Times New Roman"/>
                      <w:snapToGrid w:val="0"/>
                      <w:sz w:val="21"/>
                      <w:szCs w:val="21"/>
                    </w:rPr>
                  </w:pPr>
                  <w:r>
                    <w:rPr>
                      <w:rFonts w:hint="eastAsia" w:ascii="Times New Roman" w:hAnsi="Times New Roman"/>
                      <w:snapToGrid w:val="0"/>
                      <w:sz w:val="21"/>
                      <w:szCs w:val="21"/>
                    </w:rPr>
                    <w:t>3</w:t>
                  </w:r>
                </w:p>
              </w:tc>
              <w:tc>
                <w:tcPr>
                  <w:tcW w:w="834" w:type="pct"/>
                  <w:vMerge w:val="continue"/>
                  <w:vAlign w:val="center"/>
                </w:tcPr>
                <w:p w14:paraId="5E168243">
                  <w:pPr>
                    <w:pStyle w:val="21"/>
                    <w:spacing w:before="0" w:beforeAutospacing="0" w:after="0" w:afterAutospacing="0"/>
                    <w:jc w:val="center"/>
                    <w:rPr>
                      <w:rFonts w:hint="eastAsia" w:ascii="Times New Roman" w:hAnsi="Times New Roman"/>
                      <w:snapToGrid w:val="0"/>
                      <w:sz w:val="21"/>
                      <w:szCs w:val="21"/>
                    </w:rPr>
                  </w:pPr>
                </w:p>
              </w:tc>
              <w:tc>
                <w:tcPr>
                  <w:tcW w:w="834" w:type="pct"/>
                  <w:vMerge w:val="continue"/>
                  <w:vAlign w:val="center"/>
                </w:tcPr>
                <w:p w14:paraId="4380804C">
                  <w:pPr>
                    <w:pStyle w:val="21"/>
                    <w:spacing w:before="0" w:beforeAutospacing="0" w:after="0" w:afterAutospacing="0"/>
                    <w:jc w:val="center"/>
                    <w:rPr>
                      <w:rFonts w:hint="eastAsia" w:ascii="Times New Roman" w:hAnsi="Times New Roman"/>
                      <w:snapToGrid w:val="0"/>
                      <w:sz w:val="21"/>
                      <w:szCs w:val="21"/>
                    </w:rPr>
                  </w:pPr>
                </w:p>
              </w:tc>
              <w:tc>
                <w:tcPr>
                  <w:tcW w:w="977" w:type="pct"/>
                  <w:vMerge w:val="continue"/>
                  <w:vAlign w:val="center"/>
                </w:tcPr>
                <w:p w14:paraId="0352C36A">
                  <w:pPr>
                    <w:pStyle w:val="21"/>
                    <w:spacing w:before="0" w:beforeAutospacing="0" w:after="0" w:afterAutospacing="0"/>
                    <w:jc w:val="center"/>
                    <w:rPr>
                      <w:rFonts w:hint="eastAsia" w:ascii="Times New Roman" w:hAnsi="Times New Roman"/>
                      <w:snapToGrid w:val="0"/>
                      <w:sz w:val="21"/>
                      <w:szCs w:val="21"/>
                    </w:rPr>
                  </w:pPr>
                </w:p>
              </w:tc>
              <w:tc>
                <w:tcPr>
                  <w:tcW w:w="689" w:type="pct"/>
                  <w:vAlign w:val="center"/>
                </w:tcPr>
                <w:p w14:paraId="79C4F7E9">
                  <w:pPr>
                    <w:pStyle w:val="21"/>
                    <w:spacing w:before="0" w:beforeAutospacing="0" w:after="0" w:afterAutospacing="0"/>
                    <w:jc w:val="center"/>
                    <w:rPr>
                      <w:rFonts w:hint="eastAsia" w:ascii="Times New Roman" w:hAnsi="Times New Roman"/>
                      <w:snapToGrid w:val="0"/>
                      <w:sz w:val="21"/>
                      <w:szCs w:val="21"/>
                    </w:rPr>
                  </w:pPr>
                  <w:r>
                    <w:rPr>
                      <w:rFonts w:hint="eastAsia" w:ascii="Times New Roman" w:hAnsi="Times New Roman"/>
                      <w:snapToGrid w:val="0"/>
                      <w:sz w:val="21"/>
                      <w:szCs w:val="21"/>
                    </w:rPr>
                    <w:t>B</w:t>
                  </w:r>
                  <w:r>
                    <w:rPr>
                      <w:rFonts w:ascii="Times New Roman" w:hAnsi="Times New Roman"/>
                      <w:snapToGrid w:val="0"/>
                      <w:sz w:val="21"/>
                      <w:szCs w:val="21"/>
                    </w:rPr>
                    <w:t>OD</w:t>
                  </w:r>
                  <w:r>
                    <w:rPr>
                      <w:rFonts w:ascii="Times New Roman" w:hAnsi="Times New Roman"/>
                      <w:snapToGrid w:val="0"/>
                      <w:sz w:val="21"/>
                      <w:szCs w:val="21"/>
                      <w:vertAlign w:val="subscript"/>
                    </w:rPr>
                    <w:t>5</w:t>
                  </w:r>
                </w:p>
              </w:tc>
              <w:tc>
                <w:tcPr>
                  <w:tcW w:w="831" w:type="pct"/>
                  <w:vMerge w:val="continue"/>
                  <w:vAlign w:val="center"/>
                </w:tcPr>
                <w:p w14:paraId="393BC22D">
                  <w:pPr>
                    <w:pStyle w:val="21"/>
                    <w:spacing w:before="0" w:beforeAutospacing="0" w:after="0" w:afterAutospacing="0"/>
                    <w:jc w:val="center"/>
                    <w:rPr>
                      <w:rFonts w:hint="eastAsia" w:ascii="Times New Roman" w:hAnsi="Times New Roman"/>
                      <w:snapToGrid w:val="0"/>
                      <w:sz w:val="21"/>
                      <w:szCs w:val="21"/>
                    </w:rPr>
                  </w:pPr>
                </w:p>
              </w:tc>
            </w:tr>
            <w:tr w14:paraId="4851AA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3" w:type="pct"/>
                  <w:vAlign w:val="center"/>
                </w:tcPr>
                <w:p w14:paraId="60B9E9FD">
                  <w:pPr>
                    <w:pStyle w:val="21"/>
                    <w:spacing w:before="0" w:beforeAutospacing="0" w:after="0" w:afterAutospacing="0"/>
                    <w:jc w:val="center"/>
                    <w:rPr>
                      <w:rFonts w:hint="eastAsia" w:ascii="Times New Roman" w:hAnsi="Times New Roman"/>
                      <w:snapToGrid w:val="0"/>
                      <w:sz w:val="21"/>
                      <w:szCs w:val="21"/>
                    </w:rPr>
                  </w:pPr>
                  <w:r>
                    <w:rPr>
                      <w:rFonts w:hint="eastAsia" w:ascii="Times New Roman" w:hAnsi="Times New Roman"/>
                      <w:snapToGrid w:val="0"/>
                      <w:sz w:val="21"/>
                      <w:szCs w:val="21"/>
                    </w:rPr>
                    <w:t>4</w:t>
                  </w:r>
                </w:p>
              </w:tc>
              <w:tc>
                <w:tcPr>
                  <w:tcW w:w="834" w:type="pct"/>
                  <w:vMerge w:val="continue"/>
                  <w:vAlign w:val="center"/>
                </w:tcPr>
                <w:p w14:paraId="20C6815C">
                  <w:pPr>
                    <w:pStyle w:val="21"/>
                    <w:spacing w:before="0" w:beforeAutospacing="0" w:after="0" w:afterAutospacing="0"/>
                    <w:jc w:val="center"/>
                    <w:rPr>
                      <w:rFonts w:hint="eastAsia" w:ascii="Times New Roman" w:hAnsi="Times New Roman"/>
                      <w:snapToGrid w:val="0"/>
                      <w:sz w:val="21"/>
                      <w:szCs w:val="21"/>
                    </w:rPr>
                  </w:pPr>
                </w:p>
              </w:tc>
              <w:tc>
                <w:tcPr>
                  <w:tcW w:w="834" w:type="pct"/>
                  <w:vMerge w:val="continue"/>
                  <w:vAlign w:val="center"/>
                </w:tcPr>
                <w:p w14:paraId="509457A1">
                  <w:pPr>
                    <w:pStyle w:val="21"/>
                    <w:spacing w:before="0" w:beforeAutospacing="0" w:after="0" w:afterAutospacing="0"/>
                    <w:jc w:val="center"/>
                    <w:rPr>
                      <w:rFonts w:hint="eastAsia" w:ascii="Times New Roman" w:hAnsi="Times New Roman"/>
                      <w:snapToGrid w:val="0"/>
                      <w:sz w:val="21"/>
                      <w:szCs w:val="21"/>
                    </w:rPr>
                  </w:pPr>
                </w:p>
              </w:tc>
              <w:tc>
                <w:tcPr>
                  <w:tcW w:w="977" w:type="pct"/>
                  <w:vMerge w:val="continue"/>
                  <w:vAlign w:val="center"/>
                </w:tcPr>
                <w:p w14:paraId="19F1BF4A">
                  <w:pPr>
                    <w:pStyle w:val="21"/>
                    <w:spacing w:before="0" w:beforeAutospacing="0" w:after="0" w:afterAutospacing="0"/>
                    <w:jc w:val="center"/>
                    <w:rPr>
                      <w:rFonts w:hint="eastAsia" w:ascii="Times New Roman" w:hAnsi="Times New Roman"/>
                      <w:snapToGrid w:val="0"/>
                      <w:sz w:val="21"/>
                      <w:szCs w:val="21"/>
                    </w:rPr>
                  </w:pPr>
                </w:p>
              </w:tc>
              <w:tc>
                <w:tcPr>
                  <w:tcW w:w="689" w:type="pct"/>
                  <w:vAlign w:val="center"/>
                </w:tcPr>
                <w:p w14:paraId="776E0F16">
                  <w:pPr>
                    <w:pStyle w:val="21"/>
                    <w:spacing w:before="0" w:beforeAutospacing="0" w:after="0" w:afterAutospacing="0"/>
                    <w:jc w:val="center"/>
                    <w:rPr>
                      <w:rFonts w:hint="eastAsia" w:ascii="Times New Roman" w:hAnsi="Times New Roman"/>
                      <w:snapToGrid w:val="0"/>
                      <w:sz w:val="21"/>
                      <w:szCs w:val="21"/>
                    </w:rPr>
                  </w:pPr>
                  <w:r>
                    <w:rPr>
                      <w:rFonts w:hint="eastAsia" w:ascii="Times New Roman" w:hAnsi="Times New Roman"/>
                      <w:snapToGrid w:val="0"/>
                      <w:sz w:val="21"/>
                      <w:szCs w:val="21"/>
                    </w:rPr>
                    <w:t>S</w:t>
                  </w:r>
                  <w:r>
                    <w:rPr>
                      <w:rFonts w:ascii="Times New Roman" w:hAnsi="Times New Roman"/>
                      <w:snapToGrid w:val="0"/>
                      <w:sz w:val="21"/>
                      <w:szCs w:val="21"/>
                    </w:rPr>
                    <w:t>S</w:t>
                  </w:r>
                </w:p>
              </w:tc>
              <w:tc>
                <w:tcPr>
                  <w:tcW w:w="831" w:type="pct"/>
                  <w:vMerge w:val="continue"/>
                  <w:vAlign w:val="center"/>
                </w:tcPr>
                <w:p w14:paraId="6358152E">
                  <w:pPr>
                    <w:pStyle w:val="21"/>
                    <w:spacing w:before="0" w:beforeAutospacing="0" w:after="0" w:afterAutospacing="0"/>
                    <w:jc w:val="center"/>
                    <w:rPr>
                      <w:rFonts w:hint="eastAsia" w:ascii="Times New Roman" w:hAnsi="Times New Roman"/>
                      <w:snapToGrid w:val="0"/>
                      <w:sz w:val="21"/>
                      <w:szCs w:val="21"/>
                    </w:rPr>
                  </w:pPr>
                </w:p>
              </w:tc>
            </w:tr>
            <w:tr w14:paraId="1EE800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3" w:type="pct"/>
                  <w:vAlign w:val="center"/>
                </w:tcPr>
                <w:p w14:paraId="47959442">
                  <w:pPr>
                    <w:pStyle w:val="21"/>
                    <w:spacing w:before="0" w:beforeAutospacing="0" w:after="0" w:afterAutospacing="0"/>
                    <w:jc w:val="center"/>
                    <w:rPr>
                      <w:rFonts w:hint="eastAsia" w:ascii="Times New Roman" w:hAnsi="Times New Roman"/>
                      <w:snapToGrid w:val="0"/>
                      <w:sz w:val="21"/>
                      <w:szCs w:val="21"/>
                    </w:rPr>
                  </w:pPr>
                  <w:r>
                    <w:rPr>
                      <w:rFonts w:hint="eastAsia" w:ascii="Times New Roman" w:hAnsi="Times New Roman"/>
                      <w:snapToGrid w:val="0"/>
                      <w:sz w:val="21"/>
                      <w:szCs w:val="21"/>
                    </w:rPr>
                    <w:t>5</w:t>
                  </w:r>
                </w:p>
              </w:tc>
              <w:tc>
                <w:tcPr>
                  <w:tcW w:w="834" w:type="pct"/>
                  <w:vMerge w:val="continue"/>
                  <w:vAlign w:val="center"/>
                </w:tcPr>
                <w:p w14:paraId="5D517757">
                  <w:pPr>
                    <w:pStyle w:val="21"/>
                    <w:spacing w:before="0" w:beforeAutospacing="0" w:after="0" w:afterAutospacing="0"/>
                    <w:jc w:val="center"/>
                    <w:rPr>
                      <w:rFonts w:hint="eastAsia" w:ascii="Times New Roman" w:hAnsi="Times New Roman"/>
                      <w:snapToGrid w:val="0"/>
                      <w:sz w:val="21"/>
                      <w:szCs w:val="21"/>
                    </w:rPr>
                  </w:pPr>
                </w:p>
              </w:tc>
              <w:tc>
                <w:tcPr>
                  <w:tcW w:w="834" w:type="pct"/>
                  <w:vMerge w:val="continue"/>
                  <w:vAlign w:val="center"/>
                </w:tcPr>
                <w:p w14:paraId="1B84DC90">
                  <w:pPr>
                    <w:pStyle w:val="21"/>
                    <w:spacing w:before="0" w:beforeAutospacing="0" w:after="0" w:afterAutospacing="0"/>
                    <w:jc w:val="center"/>
                    <w:rPr>
                      <w:rFonts w:hint="eastAsia" w:ascii="Times New Roman" w:hAnsi="Times New Roman"/>
                      <w:snapToGrid w:val="0"/>
                      <w:sz w:val="21"/>
                      <w:szCs w:val="21"/>
                    </w:rPr>
                  </w:pPr>
                </w:p>
              </w:tc>
              <w:tc>
                <w:tcPr>
                  <w:tcW w:w="977" w:type="pct"/>
                  <w:vMerge w:val="continue"/>
                  <w:vAlign w:val="center"/>
                </w:tcPr>
                <w:p w14:paraId="752B9E32">
                  <w:pPr>
                    <w:pStyle w:val="21"/>
                    <w:spacing w:before="0" w:beforeAutospacing="0" w:after="0" w:afterAutospacing="0"/>
                    <w:jc w:val="center"/>
                    <w:rPr>
                      <w:rFonts w:hint="eastAsia" w:ascii="Times New Roman" w:hAnsi="Times New Roman"/>
                      <w:snapToGrid w:val="0"/>
                      <w:sz w:val="21"/>
                      <w:szCs w:val="21"/>
                    </w:rPr>
                  </w:pPr>
                </w:p>
              </w:tc>
              <w:tc>
                <w:tcPr>
                  <w:tcW w:w="689" w:type="pct"/>
                  <w:vAlign w:val="center"/>
                </w:tcPr>
                <w:p w14:paraId="68E68DC8">
                  <w:pPr>
                    <w:pStyle w:val="21"/>
                    <w:spacing w:before="0" w:beforeAutospacing="0" w:after="0" w:afterAutospacing="0"/>
                    <w:jc w:val="center"/>
                    <w:rPr>
                      <w:rFonts w:hint="eastAsia" w:ascii="Times New Roman" w:hAnsi="Times New Roman"/>
                      <w:snapToGrid w:val="0"/>
                      <w:sz w:val="21"/>
                      <w:szCs w:val="21"/>
                    </w:rPr>
                  </w:pPr>
                  <w:r>
                    <w:rPr>
                      <w:rFonts w:hint="eastAsia" w:ascii="Times New Roman" w:hAnsi="Times New Roman"/>
                      <w:snapToGrid w:val="0"/>
                      <w:sz w:val="21"/>
                      <w:szCs w:val="21"/>
                    </w:rPr>
                    <w:t>N</w:t>
                  </w:r>
                  <w:r>
                    <w:rPr>
                      <w:rFonts w:ascii="Times New Roman" w:hAnsi="Times New Roman"/>
                      <w:snapToGrid w:val="0"/>
                      <w:sz w:val="21"/>
                      <w:szCs w:val="21"/>
                    </w:rPr>
                    <w:t>H</w:t>
                  </w:r>
                  <w:r>
                    <w:rPr>
                      <w:rFonts w:ascii="Times New Roman" w:hAnsi="Times New Roman"/>
                      <w:snapToGrid w:val="0"/>
                      <w:sz w:val="21"/>
                      <w:szCs w:val="21"/>
                      <w:vertAlign w:val="subscript"/>
                    </w:rPr>
                    <w:t>3</w:t>
                  </w:r>
                  <w:r>
                    <w:rPr>
                      <w:rFonts w:ascii="Times New Roman" w:hAnsi="Times New Roman"/>
                      <w:snapToGrid w:val="0"/>
                      <w:sz w:val="21"/>
                      <w:szCs w:val="21"/>
                    </w:rPr>
                    <w:t>-N</w:t>
                  </w:r>
                </w:p>
              </w:tc>
              <w:tc>
                <w:tcPr>
                  <w:tcW w:w="831" w:type="pct"/>
                  <w:vMerge w:val="continue"/>
                  <w:vAlign w:val="center"/>
                </w:tcPr>
                <w:p w14:paraId="3764F909">
                  <w:pPr>
                    <w:pStyle w:val="21"/>
                    <w:spacing w:before="0" w:beforeAutospacing="0" w:after="0" w:afterAutospacing="0"/>
                    <w:jc w:val="center"/>
                    <w:rPr>
                      <w:rFonts w:hint="eastAsia" w:ascii="Times New Roman" w:hAnsi="Times New Roman"/>
                      <w:snapToGrid w:val="0"/>
                      <w:sz w:val="21"/>
                      <w:szCs w:val="21"/>
                    </w:rPr>
                  </w:pPr>
                </w:p>
              </w:tc>
            </w:tr>
            <w:tr w14:paraId="2A9115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3" w:type="pct"/>
                  <w:vAlign w:val="center"/>
                </w:tcPr>
                <w:p w14:paraId="0D71AC0B">
                  <w:pPr>
                    <w:pStyle w:val="21"/>
                    <w:spacing w:before="0" w:beforeAutospacing="0" w:after="0" w:afterAutospacing="0"/>
                    <w:jc w:val="center"/>
                    <w:rPr>
                      <w:rFonts w:hint="eastAsia" w:ascii="Times New Roman" w:hAnsi="Times New Roman"/>
                      <w:snapToGrid w:val="0"/>
                      <w:sz w:val="21"/>
                      <w:szCs w:val="21"/>
                    </w:rPr>
                  </w:pPr>
                  <w:r>
                    <w:rPr>
                      <w:rFonts w:hint="eastAsia" w:ascii="Times New Roman" w:hAnsi="Times New Roman"/>
                      <w:snapToGrid w:val="0"/>
                      <w:sz w:val="21"/>
                      <w:szCs w:val="21"/>
                    </w:rPr>
                    <w:t>6</w:t>
                  </w:r>
                </w:p>
              </w:tc>
              <w:tc>
                <w:tcPr>
                  <w:tcW w:w="834" w:type="pct"/>
                  <w:vMerge w:val="continue"/>
                  <w:vAlign w:val="center"/>
                </w:tcPr>
                <w:p w14:paraId="26FDAF6D">
                  <w:pPr>
                    <w:pStyle w:val="21"/>
                    <w:spacing w:before="0" w:beforeAutospacing="0" w:after="0" w:afterAutospacing="0"/>
                    <w:jc w:val="center"/>
                    <w:rPr>
                      <w:rFonts w:hint="eastAsia" w:ascii="Times New Roman" w:hAnsi="Times New Roman"/>
                      <w:snapToGrid w:val="0"/>
                      <w:sz w:val="21"/>
                      <w:szCs w:val="21"/>
                    </w:rPr>
                  </w:pPr>
                </w:p>
              </w:tc>
              <w:tc>
                <w:tcPr>
                  <w:tcW w:w="834" w:type="pct"/>
                  <w:vMerge w:val="continue"/>
                  <w:vAlign w:val="center"/>
                </w:tcPr>
                <w:p w14:paraId="60C067B5">
                  <w:pPr>
                    <w:pStyle w:val="21"/>
                    <w:spacing w:before="0" w:beforeAutospacing="0" w:after="0" w:afterAutospacing="0"/>
                    <w:jc w:val="center"/>
                    <w:rPr>
                      <w:rFonts w:hint="eastAsia" w:ascii="Times New Roman" w:hAnsi="Times New Roman"/>
                      <w:snapToGrid w:val="0"/>
                      <w:sz w:val="21"/>
                      <w:szCs w:val="21"/>
                    </w:rPr>
                  </w:pPr>
                </w:p>
              </w:tc>
              <w:tc>
                <w:tcPr>
                  <w:tcW w:w="977" w:type="pct"/>
                  <w:vMerge w:val="continue"/>
                  <w:vAlign w:val="center"/>
                </w:tcPr>
                <w:p w14:paraId="594FBC08">
                  <w:pPr>
                    <w:pStyle w:val="21"/>
                    <w:spacing w:before="0" w:beforeAutospacing="0" w:after="0" w:afterAutospacing="0"/>
                    <w:jc w:val="center"/>
                    <w:rPr>
                      <w:rFonts w:hint="eastAsia" w:ascii="Times New Roman" w:hAnsi="Times New Roman"/>
                      <w:snapToGrid w:val="0"/>
                      <w:sz w:val="21"/>
                      <w:szCs w:val="21"/>
                    </w:rPr>
                  </w:pPr>
                </w:p>
              </w:tc>
              <w:tc>
                <w:tcPr>
                  <w:tcW w:w="689" w:type="pct"/>
                  <w:vAlign w:val="center"/>
                </w:tcPr>
                <w:p w14:paraId="39F9E326">
                  <w:pPr>
                    <w:pStyle w:val="21"/>
                    <w:spacing w:before="0" w:beforeAutospacing="0" w:after="0" w:afterAutospacing="0"/>
                    <w:jc w:val="center"/>
                    <w:rPr>
                      <w:rFonts w:hint="eastAsia" w:ascii="Times New Roman" w:hAnsi="Times New Roman"/>
                      <w:snapToGrid w:val="0"/>
                      <w:sz w:val="21"/>
                      <w:szCs w:val="21"/>
                    </w:rPr>
                  </w:pPr>
                  <w:r>
                    <w:rPr>
                      <w:rFonts w:hint="eastAsia" w:ascii="Times New Roman" w:hAnsi="Times New Roman"/>
                      <w:snapToGrid w:val="0"/>
                      <w:sz w:val="21"/>
                      <w:szCs w:val="21"/>
                    </w:rPr>
                    <w:t>石油类</w:t>
                  </w:r>
                </w:p>
              </w:tc>
              <w:tc>
                <w:tcPr>
                  <w:tcW w:w="831" w:type="pct"/>
                  <w:vMerge w:val="continue"/>
                  <w:vAlign w:val="center"/>
                </w:tcPr>
                <w:p w14:paraId="2F231D96">
                  <w:pPr>
                    <w:pStyle w:val="21"/>
                    <w:spacing w:before="0" w:beforeAutospacing="0" w:after="0" w:afterAutospacing="0"/>
                    <w:jc w:val="center"/>
                    <w:rPr>
                      <w:rFonts w:hint="eastAsia" w:ascii="Times New Roman" w:hAnsi="Times New Roman"/>
                      <w:snapToGrid w:val="0"/>
                      <w:sz w:val="21"/>
                      <w:szCs w:val="21"/>
                    </w:rPr>
                  </w:pPr>
                </w:p>
              </w:tc>
            </w:tr>
            <w:tr w14:paraId="28C8D1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3" w:type="pct"/>
                  <w:vAlign w:val="center"/>
                </w:tcPr>
                <w:p w14:paraId="6305F9BD">
                  <w:pPr>
                    <w:pStyle w:val="21"/>
                    <w:spacing w:before="0" w:beforeAutospacing="0" w:after="0" w:afterAutospacing="0"/>
                    <w:jc w:val="center"/>
                    <w:rPr>
                      <w:rFonts w:ascii="Times New Roman" w:hAnsi="Times New Roman"/>
                      <w:snapToGrid w:val="0"/>
                      <w:sz w:val="21"/>
                      <w:szCs w:val="21"/>
                    </w:rPr>
                  </w:pPr>
                  <w:r>
                    <w:rPr>
                      <w:rFonts w:hint="eastAsia" w:ascii="Times New Roman" w:hAnsi="Times New Roman"/>
                      <w:snapToGrid w:val="0"/>
                      <w:sz w:val="21"/>
                      <w:szCs w:val="21"/>
                    </w:rPr>
                    <w:t>7</w:t>
                  </w:r>
                </w:p>
              </w:tc>
              <w:tc>
                <w:tcPr>
                  <w:tcW w:w="834" w:type="pct"/>
                  <w:vMerge w:val="continue"/>
                  <w:vAlign w:val="center"/>
                </w:tcPr>
                <w:p w14:paraId="0D08C8E2">
                  <w:pPr>
                    <w:pStyle w:val="21"/>
                    <w:spacing w:before="0" w:beforeAutospacing="0" w:after="0" w:afterAutospacing="0"/>
                    <w:jc w:val="center"/>
                    <w:rPr>
                      <w:rFonts w:hint="eastAsia" w:ascii="Times New Roman" w:hAnsi="Times New Roman"/>
                      <w:snapToGrid w:val="0"/>
                      <w:sz w:val="21"/>
                      <w:szCs w:val="21"/>
                    </w:rPr>
                  </w:pPr>
                </w:p>
              </w:tc>
              <w:tc>
                <w:tcPr>
                  <w:tcW w:w="834" w:type="pct"/>
                  <w:vMerge w:val="continue"/>
                  <w:vAlign w:val="center"/>
                </w:tcPr>
                <w:p w14:paraId="78850BF7">
                  <w:pPr>
                    <w:pStyle w:val="21"/>
                    <w:spacing w:before="0" w:beforeAutospacing="0" w:after="0" w:afterAutospacing="0"/>
                    <w:jc w:val="center"/>
                    <w:rPr>
                      <w:rFonts w:hint="eastAsia" w:ascii="Times New Roman" w:hAnsi="Times New Roman"/>
                      <w:snapToGrid w:val="0"/>
                      <w:sz w:val="21"/>
                      <w:szCs w:val="21"/>
                    </w:rPr>
                  </w:pPr>
                </w:p>
              </w:tc>
              <w:tc>
                <w:tcPr>
                  <w:tcW w:w="977" w:type="pct"/>
                  <w:vMerge w:val="continue"/>
                  <w:vAlign w:val="center"/>
                </w:tcPr>
                <w:p w14:paraId="650ECBF7">
                  <w:pPr>
                    <w:pStyle w:val="21"/>
                    <w:spacing w:before="0" w:beforeAutospacing="0" w:after="0" w:afterAutospacing="0"/>
                    <w:jc w:val="center"/>
                    <w:rPr>
                      <w:rFonts w:hint="eastAsia" w:ascii="Times New Roman" w:hAnsi="Times New Roman"/>
                      <w:snapToGrid w:val="0"/>
                      <w:sz w:val="21"/>
                      <w:szCs w:val="21"/>
                    </w:rPr>
                  </w:pPr>
                </w:p>
              </w:tc>
              <w:tc>
                <w:tcPr>
                  <w:tcW w:w="689" w:type="pct"/>
                  <w:vAlign w:val="center"/>
                </w:tcPr>
                <w:p w14:paraId="2AAA9839">
                  <w:pPr>
                    <w:pStyle w:val="21"/>
                    <w:spacing w:before="0" w:beforeAutospacing="0" w:after="0" w:afterAutospacing="0"/>
                    <w:jc w:val="center"/>
                    <w:rPr>
                      <w:rFonts w:hint="eastAsia" w:ascii="Times New Roman" w:hAnsi="Times New Roman"/>
                      <w:snapToGrid w:val="0"/>
                      <w:sz w:val="21"/>
                      <w:szCs w:val="21"/>
                    </w:rPr>
                  </w:pPr>
                  <w:r>
                    <w:rPr>
                      <w:rFonts w:hint="eastAsia" w:ascii="Times New Roman" w:hAnsi="Times New Roman"/>
                      <w:snapToGrid w:val="0"/>
                      <w:sz w:val="21"/>
                      <w:szCs w:val="21"/>
                    </w:rPr>
                    <w:t>动植物油</w:t>
                  </w:r>
                </w:p>
              </w:tc>
              <w:tc>
                <w:tcPr>
                  <w:tcW w:w="831" w:type="pct"/>
                  <w:vMerge w:val="continue"/>
                  <w:vAlign w:val="center"/>
                </w:tcPr>
                <w:p w14:paraId="6974232D">
                  <w:pPr>
                    <w:pStyle w:val="21"/>
                    <w:spacing w:before="0" w:beforeAutospacing="0" w:after="0" w:afterAutospacing="0"/>
                    <w:jc w:val="center"/>
                    <w:rPr>
                      <w:rFonts w:hint="eastAsia" w:ascii="Times New Roman" w:hAnsi="Times New Roman"/>
                      <w:snapToGrid w:val="0"/>
                      <w:sz w:val="21"/>
                      <w:szCs w:val="21"/>
                    </w:rPr>
                  </w:pPr>
                </w:p>
              </w:tc>
            </w:tr>
          </w:tbl>
          <w:p w14:paraId="661DF409">
            <w:pPr>
              <w:adjustRightInd w:val="0"/>
              <w:snapToGrid w:val="0"/>
              <w:spacing w:line="360" w:lineRule="auto"/>
              <w:ind w:firstLine="454"/>
              <w:rPr>
                <w:rFonts w:hint="eastAsia"/>
                <w:color w:val="000000"/>
                <w:sz w:val="24"/>
              </w:rPr>
            </w:pPr>
            <w:r>
              <w:rPr>
                <w:rFonts w:hint="eastAsia"/>
                <w:color w:val="000000"/>
                <w:sz w:val="24"/>
              </w:rPr>
              <w:t>本项目生活污水产生量为2.304m³/d，本项目拟设置生化池容积为5m³，生化池容积满足要求。场地冲洗废水日最大产生量为1.922m³/d，初期雨水产生量为6.637 m³/次，拟设置一座容积为15 m³的隔油池，处理能力能够满足项目初期雨水和场地冲洗废水的处理量。</w:t>
            </w:r>
          </w:p>
          <w:p w14:paraId="0F9892A7">
            <w:pPr>
              <w:adjustRightInd w:val="0"/>
              <w:snapToGrid w:val="0"/>
              <w:spacing w:line="360" w:lineRule="auto"/>
              <w:ind w:firstLine="454"/>
              <w:rPr>
                <w:b/>
                <w:bCs/>
                <w:sz w:val="24"/>
              </w:rPr>
            </w:pPr>
            <w:r>
              <w:rPr>
                <w:rFonts w:hint="eastAsia"/>
                <w:b/>
                <w:bCs/>
                <w:sz w:val="24"/>
              </w:rPr>
              <w:t>（2）废水处置措施可行性分析</w:t>
            </w:r>
          </w:p>
          <w:p w14:paraId="4397169F">
            <w:pPr>
              <w:adjustRightInd w:val="0"/>
              <w:snapToGrid w:val="0"/>
              <w:spacing w:line="360" w:lineRule="auto"/>
              <w:ind w:firstLine="454"/>
              <w:rPr>
                <w:rFonts w:hint="eastAsia"/>
                <w:sz w:val="24"/>
              </w:rPr>
            </w:pPr>
            <w:r>
              <w:rPr>
                <w:rFonts w:hint="eastAsia"/>
                <w:sz w:val="24"/>
              </w:rPr>
              <w:t>本项目废水主要为生活污水和场地冲洗废水，生活污水污染物主要为</w:t>
            </w:r>
            <w:r>
              <w:rPr>
                <w:sz w:val="24"/>
              </w:rPr>
              <w:t>COD、</w:t>
            </w:r>
            <w:r>
              <w:rPr>
                <w:rFonts w:hint="eastAsia"/>
                <w:sz w:val="24"/>
              </w:rPr>
              <w:t>BOD</w:t>
            </w:r>
            <w:r>
              <w:rPr>
                <w:rFonts w:hint="eastAsia"/>
                <w:sz w:val="24"/>
                <w:vertAlign w:val="subscript"/>
              </w:rPr>
              <w:t>5</w:t>
            </w:r>
            <w:r>
              <w:rPr>
                <w:rFonts w:hint="eastAsia"/>
                <w:sz w:val="24"/>
              </w:rPr>
              <w:t>、</w:t>
            </w:r>
            <w:r>
              <w:rPr>
                <w:sz w:val="24"/>
              </w:rPr>
              <w:t>SS</w:t>
            </w:r>
            <w:r>
              <w:rPr>
                <w:rFonts w:hint="eastAsia"/>
                <w:sz w:val="24"/>
              </w:rPr>
              <w:t>、</w:t>
            </w:r>
            <w:r>
              <w:rPr>
                <w:sz w:val="24"/>
              </w:rPr>
              <w:t>NH</w:t>
            </w:r>
            <w:r>
              <w:rPr>
                <w:sz w:val="24"/>
                <w:vertAlign w:val="subscript"/>
              </w:rPr>
              <w:t>3</w:t>
            </w:r>
            <w:r>
              <w:rPr>
                <w:sz w:val="24"/>
              </w:rPr>
              <w:t>-N</w:t>
            </w:r>
            <w:r>
              <w:rPr>
                <w:rFonts w:hint="eastAsia"/>
                <w:sz w:val="24"/>
              </w:rPr>
              <w:t>，</w:t>
            </w:r>
            <w:r>
              <w:rPr>
                <w:color w:val="000000"/>
                <w:sz w:val="24"/>
              </w:rPr>
              <w:t>本项目废水水质成分简单，不含重金属和难降解的有机物，</w:t>
            </w:r>
            <w:r>
              <w:rPr>
                <w:rFonts w:hint="eastAsia"/>
                <w:sz w:val="24"/>
              </w:rPr>
              <w:t>生活污水经生化池处理（处理工艺：沉淀+厌氧），生化池处理工艺成熟，污水经生化池处理后，各污染物排放浓度能够满足《污水综合排放标准》（GB8978-1996）三级标准。</w:t>
            </w:r>
          </w:p>
          <w:p w14:paraId="0CE6CAFA">
            <w:pPr>
              <w:adjustRightInd w:val="0"/>
              <w:snapToGrid w:val="0"/>
              <w:spacing w:line="360" w:lineRule="auto"/>
              <w:ind w:firstLine="454"/>
              <w:rPr>
                <w:rFonts w:hint="eastAsia"/>
                <w:color w:val="000000"/>
                <w:sz w:val="24"/>
              </w:rPr>
            </w:pPr>
            <w:r>
              <w:rPr>
                <w:rFonts w:hint="eastAsia"/>
                <w:color w:val="000000"/>
                <w:sz w:val="24"/>
              </w:rPr>
              <w:t>场地冲洗废水和初期雨水污染物主要为石油类和SS，污染物种类简单且各污染物浓度较小，经三段式隔油池隔油沉淀处理后能满足《污水综合排放标准》（GB8978-1996）三级标准。初期雨水进入隔油池前端设置切换阀，后期雨水直接进入园区雨水管网。</w:t>
            </w:r>
          </w:p>
          <w:p w14:paraId="405CBBB9">
            <w:pPr>
              <w:adjustRightInd w:val="0"/>
              <w:snapToGrid w:val="0"/>
              <w:spacing w:line="360" w:lineRule="auto"/>
              <w:ind w:firstLine="482" w:firstLineChars="200"/>
              <w:rPr>
                <w:rFonts w:hint="eastAsia"/>
                <w:b/>
                <w:bCs/>
                <w:color w:val="000000"/>
                <w:sz w:val="24"/>
              </w:rPr>
            </w:pPr>
            <w:r>
              <w:rPr>
                <w:rFonts w:hint="eastAsia"/>
                <w:b/>
                <w:bCs/>
                <w:color w:val="000000"/>
                <w:sz w:val="24"/>
              </w:rPr>
              <w:t>（3）依托污水处理厂可行性分析</w:t>
            </w:r>
          </w:p>
          <w:p w14:paraId="40A41316">
            <w:pPr>
              <w:adjustRightInd w:val="0"/>
              <w:snapToGrid w:val="0"/>
              <w:spacing w:line="360" w:lineRule="auto"/>
              <w:ind w:firstLine="454"/>
              <w:rPr>
                <w:rFonts w:hint="eastAsia"/>
                <w:color w:val="000000"/>
                <w:sz w:val="24"/>
              </w:rPr>
            </w:pPr>
            <w:r>
              <w:rPr>
                <w:rFonts w:hint="eastAsia"/>
                <w:color w:val="000000"/>
                <w:sz w:val="24"/>
              </w:rPr>
              <w:t>李渡组团规划区内现状已建成大耍坝污水处理厂，大耍坝污水处理厂现有处理规模为30000m</w:t>
            </w:r>
            <w:r>
              <w:rPr>
                <w:rFonts w:hint="eastAsia"/>
                <w:color w:val="000000"/>
                <w:sz w:val="24"/>
                <w:vertAlign w:val="superscript"/>
              </w:rPr>
              <w:t>3</w:t>
            </w:r>
            <w:r>
              <w:rPr>
                <w:rFonts w:hint="eastAsia"/>
                <w:color w:val="000000"/>
                <w:sz w:val="24"/>
              </w:rPr>
              <w:t>/d，服务范围为重庆市涪陵西部新城，服务范围为涪陵区李渡新区的9个片区，包括马鞍高铁片区、涞滩河片区（东一区、东二区、西一区、西二区、西三区）、综保片区、义和区以及食品园片区。采用处理工艺为“粗格栅→细格栅→旋流沉砂池→调节池→A-A-O氧化沟→二沉池→高效澄清池→曝气生物滤池→接触消毒池→计量排放”，尾水通过排放管于长江左岸岸边排放，现状尾水执行《城镇污水处理厂污染物排放标准》（GB18918-2002）一级标准的B标准。目前大耍坝污水处理厂的处理负荷为26000m</w:t>
            </w:r>
            <w:r>
              <w:rPr>
                <w:rFonts w:hint="eastAsia"/>
                <w:color w:val="000000"/>
                <w:sz w:val="24"/>
                <w:vertAlign w:val="superscript"/>
              </w:rPr>
              <w:t>3</w:t>
            </w:r>
            <w:r>
              <w:rPr>
                <w:rFonts w:hint="eastAsia"/>
                <w:color w:val="000000"/>
                <w:sz w:val="24"/>
              </w:rPr>
              <w:t>/d，根据污水处理厂排污许可执行年报以及排污许可证许可排放浓度和排放量，以及污水处理厂例行监测数据，目前大耍坝污水处理厂出水水质能满足一级B标准。</w:t>
            </w:r>
          </w:p>
          <w:p w14:paraId="1BF49FE2">
            <w:pPr>
              <w:adjustRightInd w:val="0"/>
              <w:snapToGrid w:val="0"/>
              <w:spacing w:line="360" w:lineRule="auto"/>
              <w:ind w:firstLine="454"/>
              <w:rPr>
                <w:rFonts w:hint="eastAsia"/>
                <w:color w:val="000000"/>
                <w:sz w:val="24"/>
              </w:rPr>
            </w:pPr>
            <w:r>
              <w:rPr>
                <w:rFonts w:hint="eastAsia"/>
                <w:color w:val="000000"/>
                <w:sz w:val="24"/>
              </w:rPr>
              <w:t>由于大耍坝污水处理厂近满负荷运行，重庆市涪陵区涞滩河水务有限公司正在实施涪陵区大耍坝污水处理厂改扩建及配套设施工程。扩建工程新增废水处理能力50000m</w:t>
            </w:r>
            <w:r>
              <w:rPr>
                <w:rFonts w:hint="eastAsia"/>
                <w:color w:val="000000"/>
                <w:sz w:val="24"/>
                <w:vertAlign w:val="superscript"/>
              </w:rPr>
              <w:t>3</w:t>
            </w:r>
            <w:r>
              <w:rPr>
                <w:rFonts w:hint="eastAsia"/>
                <w:color w:val="000000"/>
                <w:sz w:val="24"/>
              </w:rPr>
              <w:t>/d，扩建完成后大耍坝污水处理厂处理能力达到80000m</w:t>
            </w:r>
            <w:r>
              <w:rPr>
                <w:rFonts w:hint="eastAsia"/>
                <w:color w:val="000000"/>
                <w:sz w:val="24"/>
                <w:vertAlign w:val="superscript"/>
              </w:rPr>
              <w:t>3</w:t>
            </w:r>
            <w:r>
              <w:rPr>
                <w:rFonts w:hint="eastAsia"/>
                <w:color w:val="000000"/>
                <w:sz w:val="24"/>
              </w:rPr>
              <w:t>/d。扩建后工艺流程为：粗格栅→细格栅→曝气沉砂池→水解酸化池→改良AAO生物池→二沉池→磁混凝沉淀池→滤布滤池→紫外及接触消毒池→清水池→达标排放，尾水执行《城镇污水处理厂污染物排放标准》（GB18918-2002）一级A标准，依托现有的排污管道及排污口排入长江。</w:t>
            </w:r>
          </w:p>
          <w:p w14:paraId="4DDFEAC1">
            <w:pPr>
              <w:adjustRightInd w:val="0"/>
              <w:snapToGrid w:val="0"/>
              <w:spacing w:line="360" w:lineRule="auto"/>
              <w:ind w:firstLine="454"/>
              <w:rPr>
                <w:rFonts w:hint="eastAsia"/>
                <w:color w:val="000000"/>
                <w:sz w:val="24"/>
              </w:rPr>
            </w:pPr>
            <w:r>
              <w:rPr>
                <w:rFonts w:hint="eastAsia"/>
                <w:color w:val="000000"/>
                <w:sz w:val="24"/>
              </w:rPr>
              <w:t>项目拟建地为大耍坝污水处理厂的服务范围，且项目废水经处理后废水中污染物能满足《污水综合排放标准》（GB8978-1996）的三级标准，满足大耍坝污水处理厂的接管要求。且</w:t>
            </w:r>
            <w:r>
              <w:rPr>
                <w:color w:val="000000"/>
                <w:sz w:val="24"/>
              </w:rPr>
              <w:t>本项目废水水质成分简单，不含重金属和难降解的有机物，最大排水量约为</w:t>
            </w:r>
            <w:r>
              <w:rPr>
                <w:rFonts w:hint="eastAsia"/>
                <w:color w:val="000000"/>
                <w:sz w:val="24"/>
              </w:rPr>
              <w:t>10.863</w:t>
            </w:r>
            <w:r>
              <w:rPr>
                <w:color w:val="000000"/>
                <w:sz w:val="24"/>
              </w:rPr>
              <w:t>m</w:t>
            </w:r>
            <w:r>
              <w:rPr>
                <w:color w:val="000000"/>
                <w:sz w:val="24"/>
                <w:vertAlign w:val="superscript"/>
              </w:rPr>
              <w:t>3</w:t>
            </w:r>
            <w:r>
              <w:rPr>
                <w:color w:val="000000"/>
                <w:sz w:val="24"/>
              </w:rPr>
              <w:t>/d，</w:t>
            </w:r>
            <w:r>
              <w:rPr>
                <w:rFonts w:hint="eastAsia"/>
                <w:color w:val="000000"/>
                <w:sz w:val="24"/>
              </w:rPr>
              <w:t>占污水处理厂总接纳量的0.036%，</w:t>
            </w:r>
            <w:r>
              <w:rPr>
                <w:color w:val="000000"/>
                <w:sz w:val="24"/>
              </w:rPr>
              <w:t>废水量</w:t>
            </w:r>
            <w:r>
              <w:rPr>
                <w:rFonts w:hint="eastAsia"/>
                <w:color w:val="000000"/>
                <w:sz w:val="24"/>
              </w:rPr>
              <w:t>较</w:t>
            </w:r>
            <w:r>
              <w:rPr>
                <w:color w:val="000000"/>
                <w:sz w:val="24"/>
              </w:rPr>
              <w:t>少，不会对污水处理厂运行造成冲击。</w:t>
            </w:r>
          </w:p>
          <w:p w14:paraId="34F6E936">
            <w:pPr>
              <w:adjustRightInd w:val="0"/>
              <w:snapToGrid w:val="0"/>
              <w:spacing w:line="360" w:lineRule="auto"/>
              <w:ind w:firstLine="480" w:firstLineChars="200"/>
              <w:rPr>
                <w:rFonts w:hint="eastAsia"/>
                <w:color w:val="000000"/>
                <w:sz w:val="24"/>
              </w:rPr>
            </w:pPr>
            <w:r>
              <w:rPr>
                <w:rFonts w:hint="eastAsia"/>
                <w:color w:val="000000"/>
                <w:sz w:val="24"/>
              </w:rPr>
              <w:t>因此，本项目产生的废水依托大耍坝污水处理厂的方案是合理可行的。</w:t>
            </w:r>
          </w:p>
          <w:p w14:paraId="36B66405">
            <w:pPr>
              <w:adjustRightInd w:val="0"/>
              <w:snapToGrid w:val="0"/>
              <w:spacing w:line="360" w:lineRule="auto"/>
              <w:rPr>
                <w:rFonts w:hint="eastAsia" w:ascii="宋体" w:hAnsi="宋体" w:cs="宋体"/>
                <w:b/>
                <w:spacing w:val="-10"/>
                <w:sz w:val="24"/>
              </w:rPr>
            </w:pPr>
            <w:r>
              <w:rPr>
                <w:rFonts w:hint="eastAsia" w:ascii="宋体" w:hAnsi="宋体" w:cs="宋体"/>
                <w:b/>
                <w:color w:val="000000"/>
                <w:spacing w:val="-10"/>
                <w:sz w:val="24"/>
              </w:rPr>
              <w:t>4.4噪声影响分析</w:t>
            </w:r>
            <w:r>
              <w:rPr>
                <w:rFonts w:hint="eastAsia" w:ascii="宋体" w:hAnsi="宋体" w:cs="宋体"/>
                <w:b/>
                <w:spacing w:val="-10"/>
                <w:sz w:val="24"/>
              </w:rPr>
              <w:t>及其防治措施</w:t>
            </w:r>
          </w:p>
          <w:p w14:paraId="7BA91EF3">
            <w:pPr>
              <w:adjustRightInd w:val="0"/>
              <w:snapToGrid w:val="0"/>
              <w:spacing w:line="360" w:lineRule="auto"/>
              <w:ind w:firstLine="454"/>
              <w:rPr>
                <w:rFonts w:hint="eastAsia"/>
                <w:b/>
                <w:bCs/>
                <w:sz w:val="24"/>
              </w:rPr>
            </w:pPr>
            <w:r>
              <w:rPr>
                <w:rFonts w:hint="eastAsia"/>
                <w:b/>
                <w:bCs/>
                <w:sz w:val="24"/>
              </w:rPr>
              <w:t>（1）噪声源强分析</w:t>
            </w:r>
          </w:p>
          <w:p w14:paraId="512A95DB">
            <w:pPr>
              <w:adjustRightInd w:val="0"/>
              <w:snapToGrid w:val="0"/>
              <w:spacing w:line="360" w:lineRule="auto"/>
              <w:ind w:firstLine="454"/>
              <w:rPr>
                <w:sz w:val="24"/>
              </w:rPr>
            </w:pPr>
            <w:r>
              <w:rPr>
                <w:rFonts w:hint="eastAsia"/>
                <w:sz w:val="24"/>
              </w:rPr>
              <w:t>加油站噪声源强均较小，主要噪声源包括潜油泵、加油机、油罐车及加油车辆进出加油站时产生的噪声，其噪声值详见下表4-9。</w:t>
            </w:r>
          </w:p>
          <w:p w14:paraId="56C3FAE6">
            <w:pPr>
              <w:pStyle w:val="68"/>
              <w:spacing w:line="240" w:lineRule="auto"/>
              <w:rPr>
                <w:rFonts w:hint="eastAsia" w:ascii="黑体" w:hAnsi="黑体" w:eastAsia="黑体" w:cs="黑体"/>
                <w:b w:val="0"/>
                <w:bCs w:val="0"/>
                <w:lang w:val="zh-CN"/>
              </w:rPr>
            </w:pPr>
            <w:r>
              <w:rPr>
                <w:rFonts w:hint="eastAsia" w:ascii="黑体" w:hAnsi="黑体" w:eastAsia="黑体" w:cs="黑体"/>
                <w:b w:val="0"/>
                <w:bCs w:val="0"/>
                <w:lang w:val="zh-CN"/>
              </w:rPr>
              <w:t>表4-</w:t>
            </w:r>
            <w:r>
              <w:rPr>
                <w:rFonts w:hint="eastAsia" w:ascii="黑体" w:hAnsi="黑体" w:eastAsia="黑体" w:cs="黑体"/>
                <w:b w:val="0"/>
                <w:bCs w:val="0"/>
              </w:rPr>
              <w:t>9</w:t>
            </w:r>
            <w:r>
              <w:rPr>
                <w:rFonts w:hint="eastAsia" w:ascii="黑体" w:hAnsi="黑体" w:eastAsia="黑体" w:cs="黑体"/>
                <w:b w:val="0"/>
                <w:bCs w:val="0"/>
                <w:lang w:val="zh-CN"/>
              </w:rPr>
              <w:t xml:space="preserve">  营运期噪声排放源强</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26"/>
              <w:gridCol w:w="1103"/>
              <w:gridCol w:w="2341"/>
              <w:gridCol w:w="1252"/>
              <w:gridCol w:w="1566"/>
            </w:tblGrid>
            <w:tr w14:paraId="19E514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28" w:type="pct"/>
                  <w:vAlign w:val="center"/>
                </w:tcPr>
                <w:p w14:paraId="4B0041C3">
                  <w:pPr>
                    <w:jc w:val="center"/>
                  </w:pPr>
                  <w:r>
                    <w:t>噪声源</w:t>
                  </w:r>
                </w:p>
              </w:tc>
              <w:tc>
                <w:tcPr>
                  <w:tcW w:w="682" w:type="pct"/>
                  <w:vAlign w:val="center"/>
                </w:tcPr>
                <w:p w14:paraId="21807698">
                  <w:pPr>
                    <w:jc w:val="center"/>
                  </w:pPr>
                  <w:r>
                    <w:t>数量（台）</w:t>
                  </w:r>
                </w:p>
              </w:tc>
              <w:tc>
                <w:tcPr>
                  <w:tcW w:w="1447" w:type="pct"/>
                  <w:vAlign w:val="center"/>
                </w:tcPr>
                <w:p w14:paraId="587BACD3">
                  <w:pPr>
                    <w:jc w:val="center"/>
                  </w:pPr>
                  <w:r>
                    <w:t>单台噪声源强（dB（A））</w:t>
                  </w:r>
                </w:p>
              </w:tc>
              <w:tc>
                <w:tcPr>
                  <w:tcW w:w="774" w:type="pct"/>
                  <w:vAlign w:val="center"/>
                </w:tcPr>
                <w:p w14:paraId="0515AC31">
                  <w:pPr>
                    <w:jc w:val="center"/>
                  </w:pPr>
                  <w:r>
                    <w:t>排放规律</w:t>
                  </w:r>
                </w:p>
              </w:tc>
              <w:tc>
                <w:tcPr>
                  <w:tcW w:w="968" w:type="pct"/>
                  <w:vAlign w:val="center"/>
                </w:tcPr>
                <w:p w14:paraId="1E0F859F">
                  <w:pPr>
                    <w:jc w:val="center"/>
                  </w:pPr>
                  <w:r>
                    <w:t>噪声源位置</w:t>
                  </w:r>
                </w:p>
              </w:tc>
            </w:tr>
            <w:tr w14:paraId="3868FE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28" w:type="pct"/>
                  <w:vAlign w:val="center"/>
                </w:tcPr>
                <w:p w14:paraId="2AD4E883">
                  <w:pPr>
                    <w:jc w:val="center"/>
                  </w:pPr>
                  <w:r>
                    <w:t>潜油泵</w:t>
                  </w:r>
                </w:p>
              </w:tc>
              <w:tc>
                <w:tcPr>
                  <w:tcW w:w="682" w:type="pct"/>
                  <w:vAlign w:val="center"/>
                </w:tcPr>
                <w:p w14:paraId="6471A8F9">
                  <w:pPr>
                    <w:jc w:val="center"/>
                    <w:rPr>
                      <w:rFonts w:hint="eastAsia"/>
                    </w:rPr>
                  </w:pPr>
                  <w:r>
                    <w:rPr>
                      <w:rFonts w:hint="eastAsia"/>
                    </w:rPr>
                    <w:t>4</w:t>
                  </w:r>
                </w:p>
              </w:tc>
              <w:tc>
                <w:tcPr>
                  <w:tcW w:w="1447" w:type="pct"/>
                  <w:vAlign w:val="center"/>
                </w:tcPr>
                <w:p w14:paraId="38F0252B">
                  <w:pPr>
                    <w:jc w:val="center"/>
                  </w:pPr>
                  <w:r>
                    <w:t>65</w:t>
                  </w:r>
                </w:p>
              </w:tc>
              <w:tc>
                <w:tcPr>
                  <w:tcW w:w="774" w:type="pct"/>
                  <w:vMerge w:val="restart"/>
                  <w:vAlign w:val="center"/>
                </w:tcPr>
                <w:p w14:paraId="009D5D61">
                  <w:pPr>
                    <w:jc w:val="center"/>
                  </w:pPr>
                  <w:r>
                    <w:t>间歇</w:t>
                  </w:r>
                </w:p>
              </w:tc>
              <w:tc>
                <w:tcPr>
                  <w:tcW w:w="968" w:type="pct"/>
                  <w:vAlign w:val="center"/>
                </w:tcPr>
                <w:p w14:paraId="2E1239D5">
                  <w:pPr>
                    <w:jc w:val="center"/>
                  </w:pPr>
                  <w:r>
                    <w:rPr>
                      <w:rFonts w:hint="eastAsia"/>
                    </w:rPr>
                    <w:t>埋地</w:t>
                  </w:r>
                  <w:r>
                    <w:t>油罐内</w:t>
                  </w:r>
                </w:p>
              </w:tc>
            </w:tr>
            <w:tr w14:paraId="622D34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28" w:type="pct"/>
                  <w:vAlign w:val="center"/>
                </w:tcPr>
                <w:p w14:paraId="4EEDBCED">
                  <w:pPr>
                    <w:jc w:val="center"/>
                  </w:pPr>
                  <w:r>
                    <w:t>油罐车、加油车辆</w:t>
                  </w:r>
                </w:p>
              </w:tc>
              <w:tc>
                <w:tcPr>
                  <w:tcW w:w="682" w:type="pct"/>
                  <w:vAlign w:val="center"/>
                </w:tcPr>
                <w:p w14:paraId="7CD2F3D8">
                  <w:pPr>
                    <w:jc w:val="center"/>
                  </w:pPr>
                  <w:r>
                    <w:t>/</w:t>
                  </w:r>
                </w:p>
              </w:tc>
              <w:tc>
                <w:tcPr>
                  <w:tcW w:w="1447" w:type="pct"/>
                  <w:vAlign w:val="center"/>
                </w:tcPr>
                <w:p w14:paraId="0D8CB464">
                  <w:pPr>
                    <w:jc w:val="center"/>
                  </w:pPr>
                  <w:r>
                    <w:t>65</w:t>
                  </w:r>
                </w:p>
              </w:tc>
              <w:tc>
                <w:tcPr>
                  <w:tcW w:w="774" w:type="pct"/>
                  <w:vMerge w:val="continue"/>
                  <w:vAlign w:val="center"/>
                </w:tcPr>
                <w:p w14:paraId="1293971C">
                  <w:pPr>
                    <w:jc w:val="center"/>
                  </w:pPr>
                </w:p>
              </w:tc>
              <w:tc>
                <w:tcPr>
                  <w:tcW w:w="968" w:type="pct"/>
                  <w:vAlign w:val="center"/>
                </w:tcPr>
                <w:p w14:paraId="53BA8C87">
                  <w:pPr>
                    <w:jc w:val="center"/>
                  </w:pPr>
                  <w:r>
                    <w:t>站区内</w:t>
                  </w:r>
                </w:p>
              </w:tc>
            </w:tr>
            <w:tr w14:paraId="4F6E62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28" w:type="pct"/>
                  <w:vAlign w:val="center"/>
                </w:tcPr>
                <w:p w14:paraId="49044AFF">
                  <w:pPr>
                    <w:jc w:val="center"/>
                  </w:pPr>
                  <w:r>
                    <w:t>备用柴油发电机</w:t>
                  </w:r>
                </w:p>
              </w:tc>
              <w:tc>
                <w:tcPr>
                  <w:tcW w:w="682" w:type="pct"/>
                  <w:vAlign w:val="center"/>
                </w:tcPr>
                <w:p w14:paraId="47A8FD6C">
                  <w:pPr>
                    <w:jc w:val="center"/>
                  </w:pPr>
                  <w:r>
                    <w:t>1</w:t>
                  </w:r>
                </w:p>
              </w:tc>
              <w:tc>
                <w:tcPr>
                  <w:tcW w:w="1447" w:type="pct"/>
                  <w:vAlign w:val="center"/>
                </w:tcPr>
                <w:p w14:paraId="489D596E">
                  <w:pPr>
                    <w:jc w:val="center"/>
                  </w:pPr>
                  <w:r>
                    <w:t>75</w:t>
                  </w:r>
                </w:p>
              </w:tc>
              <w:tc>
                <w:tcPr>
                  <w:tcW w:w="774" w:type="pct"/>
                  <w:vMerge w:val="continue"/>
                  <w:vAlign w:val="center"/>
                </w:tcPr>
                <w:p w14:paraId="4B96698B">
                  <w:pPr>
                    <w:jc w:val="center"/>
                  </w:pPr>
                </w:p>
              </w:tc>
              <w:tc>
                <w:tcPr>
                  <w:tcW w:w="968" w:type="pct"/>
                  <w:vAlign w:val="center"/>
                </w:tcPr>
                <w:p w14:paraId="6D4329CF">
                  <w:pPr>
                    <w:jc w:val="center"/>
                  </w:pPr>
                  <w:r>
                    <w:t>发电机房</w:t>
                  </w:r>
                </w:p>
              </w:tc>
            </w:tr>
            <w:tr w14:paraId="291A3B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28" w:type="pct"/>
                  <w:vAlign w:val="center"/>
                </w:tcPr>
                <w:p w14:paraId="6378D140">
                  <w:pPr>
                    <w:jc w:val="center"/>
                  </w:pPr>
                  <w:r>
                    <w:t>加油机</w:t>
                  </w:r>
                </w:p>
              </w:tc>
              <w:tc>
                <w:tcPr>
                  <w:tcW w:w="682" w:type="pct"/>
                  <w:vAlign w:val="center"/>
                </w:tcPr>
                <w:p w14:paraId="18071C04">
                  <w:pPr>
                    <w:jc w:val="center"/>
                  </w:pPr>
                  <w:r>
                    <w:rPr>
                      <w:rFonts w:hint="eastAsia"/>
                    </w:rPr>
                    <w:t>4</w:t>
                  </w:r>
                </w:p>
              </w:tc>
              <w:tc>
                <w:tcPr>
                  <w:tcW w:w="1447" w:type="pct"/>
                  <w:vAlign w:val="center"/>
                </w:tcPr>
                <w:p w14:paraId="367AE4DC">
                  <w:pPr>
                    <w:jc w:val="center"/>
                  </w:pPr>
                  <w:r>
                    <w:t>60</w:t>
                  </w:r>
                </w:p>
              </w:tc>
              <w:tc>
                <w:tcPr>
                  <w:tcW w:w="774" w:type="pct"/>
                  <w:vMerge w:val="continue"/>
                  <w:vAlign w:val="center"/>
                </w:tcPr>
                <w:p w14:paraId="705091CC">
                  <w:pPr>
                    <w:jc w:val="center"/>
                  </w:pPr>
                </w:p>
              </w:tc>
              <w:tc>
                <w:tcPr>
                  <w:tcW w:w="968" w:type="pct"/>
                  <w:vAlign w:val="center"/>
                </w:tcPr>
                <w:p w14:paraId="6B712251">
                  <w:pPr>
                    <w:jc w:val="center"/>
                  </w:pPr>
                  <w:r>
                    <w:t>加油区</w:t>
                  </w:r>
                </w:p>
              </w:tc>
            </w:tr>
          </w:tbl>
          <w:p w14:paraId="5A61D5B4">
            <w:pPr>
              <w:tabs>
                <w:tab w:val="left" w:pos="2520"/>
              </w:tabs>
              <w:adjustRightInd w:val="0"/>
              <w:spacing w:line="460" w:lineRule="exact"/>
              <w:ind w:firstLine="480" w:firstLineChars="200"/>
              <w:rPr>
                <w:sz w:val="24"/>
              </w:rPr>
            </w:pPr>
            <w:r>
              <w:rPr>
                <w:sz w:val="24"/>
              </w:rPr>
              <w:t>项目营运期的噪声主要来自车辆在进出站时产生的交通噪声和设备噪声。由于进站车辆噪声为间断性产生，汽车进站加油时会关闭发动机，故车辆噪声主要反映在驶进站过程和驶离站过程，由于进出站口均设置减速标志，车辆行驶速度较慢，其噪声源强较低，因此预计加油站车辆噪声不会造成噪声扰民。潜油泵置于</w:t>
            </w:r>
            <w:r>
              <w:rPr>
                <w:rFonts w:hint="eastAsia"/>
                <w:sz w:val="24"/>
              </w:rPr>
              <w:t>埋地</w:t>
            </w:r>
            <w:r>
              <w:rPr>
                <w:sz w:val="24"/>
              </w:rPr>
              <w:t>油罐内，隔声较好。因此一般情况下，本评价仅预测加油机噪声的影响。</w:t>
            </w:r>
          </w:p>
          <w:p w14:paraId="525E3074">
            <w:pPr>
              <w:adjustRightInd w:val="0"/>
              <w:spacing w:line="460" w:lineRule="exact"/>
              <w:ind w:firstLine="482" w:firstLineChars="200"/>
              <w:rPr>
                <w:b/>
                <w:bCs/>
                <w:sz w:val="24"/>
              </w:rPr>
            </w:pPr>
            <w:r>
              <w:rPr>
                <w:b/>
                <w:bCs/>
                <w:sz w:val="24"/>
              </w:rPr>
              <w:t>（</w:t>
            </w:r>
            <w:r>
              <w:rPr>
                <w:rFonts w:hint="eastAsia"/>
                <w:b/>
                <w:bCs/>
                <w:sz w:val="24"/>
              </w:rPr>
              <w:t>2</w:t>
            </w:r>
            <w:r>
              <w:rPr>
                <w:b/>
                <w:bCs/>
                <w:sz w:val="24"/>
              </w:rPr>
              <w:t>）预测模式</w:t>
            </w:r>
          </w:p>
          <w:p w14:paraId="1C0D5BA4">
            <w:pPr>
              <w:adjustRightInd w:val="0"/>
              <w:spacing w:line="460" w:lineRule="exact"/>
              <w:ind w:firstLine="480" w:firstLineChars="200"/>
              <w:rPr>
                <w:sz w:val="24"/>
              </w:rPr>
            </w:pPr>
            <w:r>
              <w:rPr>
                <w:sz w:val="24"/>
              </w:rPr>
              <w:t>点声源距离衰减的噪声计算公式为：</w:t>
            </w:r>
          </w:p>
          <w:p w14:paraId="3A3561E8">
            <w:pPr>
              <w:adjustRightInd w:val="0"/>
              <w:spacing w:line="500" w:lineRule="exact"/>
              <w:jc w:val="center"/>
              <w:rPr>
                <w:bCs/>
                <w:sz w:val="24"/>
              </w:rPr>
            </w:pPr>
            <w:r>
              <w:rPr>
                <w:bCs/>
                <w:position w:val="-12"/>
                <w:sz w:val="24"/>
              </w:rPr>
              <w:object>
                <v:shape id="_x0000_i1028" o:spt="75" type="#_x0000_t75" style="height:21.75pt;width:125pt;" o:ole="t" filled="f" o:preferrelative="t" stroked="f" coordsize="21600,21600">
                  <v:path/>
                  <v:fill on="f" focussize="0,0"/>
                  <v:stroke on="f" joinstyle="miter"/>
                  <v:imagedata r:id="rId22" o:title=""/>
                  <o:lock v:ext="edit" aspectratio="t"/>
                  <w10:wrap type="none"/>
                  <w10:anchorlock/>
                </v:shape>
                <o:OLEObject Type="Embed" ProgID="Equation.3" ShapeID="_x0000_i1028" DrawAspect="Content" ObjectID="_1468075728" r:id="rId21">
                  <o:LockedField>false</o:LockedField>
                </o:OLEObject>
              </w:object>
            </w:r>
          </w:p>
          <w:p w14:paraId="10F173E3">
            <w:pPr>
              <w:adjustRightInd w:val="0"/>
              <w:spacing w:line="460" w:lineRule="exact"/>
              <w:ind w:firstLine="480" w:firstLineChars="200"/>
              <w:rPr>
                <w:bCs/>
                <w:sz w:val="24"/>
              </w:rPr>
            </w:pPr>
            <w:r>
              <w:rPr>
                <w:sz w:val="24"/>
              </w:rPr>
              <w:t>式中：</w:t>
            </w:r>
            <w:r>
              <w:rPr>
                <w:bCs/>
                <w:sz w:val="24"/>
              </w:rPr>
              <w:t>L</w:t>
            </w:r>
            <w:r>
              <w:rPr>
                <w:bCs/>
                <w:sz w:val="24"/>
                <w:vertAlign w:val="subscript"/>
              </w:rPr>
              <w:t>r</w:t>
            </w:r>
            <w:r>
              <w:rPr>
                <w:bCs/>
                <w:sz w:val="24"/>
              </w:rPr>
              <w:t>—— 距声点源r处的声级，</w:t>
            </w:r>
            <w:r>
              <w:rPr>
                <w:sz w:val="24"/>
              </w:rPr>
              <w:t>dB（A）</w:t>
            </w:r>
            <w:r>
              <w:rPr>
                <w:bCs/>
                <w:sz w:val="24"/>
              </w:rPr>
              <w:t>；</w:t>
            </w:r>
          </w:p>
          <w:p w14:paraId="7044FF1F">
            <w:pPr>
              <w:adjustRightInd w:val="0"/>
              <w:spacing w:line="460" w:lineRule="exact"/>
              <w:ind w:firstLine="1200" w:firstLineChars="500"/>
              <w:rPr>
                <w:bCs/>
                <w:sz w:val="24"/>
              </w:rPr>
            </w:pPr>
            <w:r>
              <w:rPr>
                <w:bCs/>
                <w:sz w:val="24"/>
              </w:rPr>
              <w:t>L</w:t>
            </w:r>
            <w:r>
              <w:rPr>
                <w:bCs/>
                <w:sz w:val="24"/>
                <w:vertAlign w:val="subscript"/>
              </w:rPr>
              <w:t>0</w:t>
            </w:r>
            <w:r>
              <w:rPr>
                <w:bCs/>
                <w:sz w:val="24"/>
              </w:rPr>
              <w:t>—— 声源在r</w:t>
            </w:r>
            <w:r>
              <w:rPr>
                <w:bCs/>
                <w:sz w:val="24"/>
                <w:vertAlign w:val="subscript"/>
              </w:rPr>
              <w:t>0</w:t>
            </w:r>
            <w:r>
              <w:rPr>
                <w:bCs/>
                <w:sz w:val="24"/>
              </w:rPr>
              <w:t>处的声级，</w:t>
            </w:r>
            <w:r>
              <w:rPr>
                <w:sz w:val="24"/>
              </w:rPr>
              <w:t>dB（A）</w:t>
            </w:r>
            <w:r>
              <w:rPr>
                <w:bCs/>
                <w:sz w:val="24"/>
              </w:rPr>
              <w:t>；</w:t>
            </w:r>
          </w:p>
          <w:p w14:paraId="528E3AA9">
            <w:pPr>
              <w:adjustRightInd w:val="0"/>
              <w:spacing w:line="460" w:lineRule="exact"/>
              <w:ind w:firstLine="1200" w:firstLineChars="500"/>
              <w:rPr>
                <w:bCs/>
                <w:sz w:val="24"/>
              </w:rPr>
            </w:pPr>
            <w:r>
              <w:rPr>
                <w:bCs/>
                <w:sz w:val="24"/>
              </w:rPr>
              <w:t>r—— 预测点与声点源之间距离，m；</w:t>
            </w:r>
          </w:p>
          <w:p w14:paraId="3D4FCB4A">
            <w:pPr>
              <w:adjustRightInd w:val="0"/>
              <w:spacing w:line="460" w:lineRule="exact"/>
              <w:ind w:firstLine="1200" w:firstLineChars="500"/>
              <w:rPr>
                <w:sz w:val="24"/>
              </w:rPr>
            </w:pPr>
            <w:r>
              <w:rPr>
                <w:bCs/>
                <w:sz w:val="24"/>
              </w:rPr>
              <w:t>r</w:t>
            </w:r>
            <w:r>
              <w:rPr>
                <w:bCs/>
                <w:sz w:val="24"/>
                <w:vertAlign w:val="subscript"/>
              </w:rPr>
              <w:t>0</w:t>
            </w:r>
            <w:r>
              <w:rPr>
                <w:bCs/>
                <w:sz w:val="24"/>
              </w:rPr>
              <w:t xml:space="preserve">—— </w:t>
            </w:r>
            <w:r>
              <w:rPr>
                <w:sz w:val="24"/>
              </w:rPr>
              <w:t>测定声源时的距离，m。</w:t>
            </w:r>
          </w:p>
          <w:p w14:paraId="054543D9">
            <w:pPr>
              <w:adjustRightInd w:val="0"/>
              <w:spacing w:line="460" w:lineRule="exact"/>
              <w:ind w:firstLine="480" w:firstLineChars="200"/>
              <w:rPr>
                <w:sz w:val="24"/>
              </w:rPr>
            </w:pPr>
            <w:r>
              <w:rPr>
                <w:sz w:val="24"/>
              </w:rPr>
              <w:t>各设备声级根据声音的叠加方法，得到声级叠加公式为：</w:t>
            </w:r>
          </w:p>
          <w:p w14:paraId="1ACDD0C4">
            <w:pPr>
              <w:adjustRightInd w:val="0"/>
              <w:spacing w:line="500" w:lineRule="exact"/>
              <w:jc w:val="center"/>
              <w:rPr>
                <w:bCs/>
                <w:sz w:val="28"/>
                <w:szCs w:val="28"/>
              </w:rPr>
            </w:pPr>
            <w:r>
              <w:rPr>
                <w:rStyle w:val="26"/>
                <w:kern w:val="0"/>
                <w:sz w:val="22"/>
                <w:szCs w:val="28"/>
              </w:rPr>
              <w:t>L</w:t>
            </w:r>
            <w:r>
              <w:rPr>
                <w:rStyle w:val="26"/>
                <w:kern w:val="0"/>
                <w:sz w:val="22"/>
                <w:szCs w:val="28"/>
                <w:vertAlign w:val="subscript"/>
              </w:rPr>
              <w:t>A</w:t>
            </w:r>
            <w:r>
              <w:rPr>
                <w:rStyle w:val="26"/>
                <w:kern w:val="0"/>
                <w:sz w:val="22"/>
                <w:szCs w:val="28"/>
              </w:rPr>
              <w:t>（总）=10 lg（</w:t>
            </w:r>
            <w:r>
              <w:rPr>
                <w:kern w:val="0"/>
                <w:position w:val="-28"/>
                <w:sz w:val="28"/>
                <w:szCs w:val="28"/>
              </w:rPr>
              <w:drawing>
                <wp:inline distT="0" distB="0" distL="0" distR="0">
                  <wp:extent cx="577850" cy="431165"/>
                  <wp:effectExtent l="0" t="0" r="0" b="0"/>
                  <wp:docPr id="1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9"/>
                          <pic:cNvPicPr>
                            <a:picLocks noChangeAspect="1" noChangeArrowheads="1"/>
                          </pic:cNvPicPr>
                        </pic:nvPicPr>
                        <pic:blipFill>
                          <a:blip r:embed="rId23"/>
                          <a:srcRect/>
                          <a:stretch>
                            <a:fillRect/>
                          </a:stretch>
                        </pic:blipFill>
                        <pic:spPr>
                          <a:xfrm>
                            <a:off x="0" y="0"/>
                            <a:ext cx="577850" cy="431165"/>
                          </a:xfrm>
                          <a:prstGeom prst="rect">
                            <a:avLst/>
                          </a:prstGeom>
                          <a:noFill/>
                          <a:ln w="9525" cmpd="sng">
                            <a:noFill/>
                            <a:miter lim="800000"/>
                            <a:headEnd/>
                            <a:tailEnd/>
                          </a:ln>
                        </pic:spPr>
                      </pic:pic>
                    </a:graphicData>
                  </a:graphic>
                </wp:inline>
              </w:drawing>
            </w:r>
            <w:r>
              <w:rPr>
                <w:rStyle w:val="26"/>
                <w:kern w:val="0"/>
                <w:sz w:val="22"/>
                <w:szCs w:val="28"/>
              </w:rPr>
              <w:t>）</w:t>
            </w:r>
          </w:p>
          <w:p w14:paraId="275F5E87">
            <w:pPr>
              <w:adjustRightInd w:val="0"/>
              <w:spacing w:line="460" w:lineRule="exact"/>
              <w:ind w:firstLine="480" w:firstLineChars="200"/>
              <w:rPr>
                <w:bCs/>
                <w:sz w:val="24"/>
              </w:rPr>
            </w:pPr>
            <w:r>
              <w:rPr>
                <w:bCs/>
                <w:sz w:val="24"/>
              </w:rPr>
              <w:t>式中：L</w:t>
            </w:r>
            <w:r>
              <w:rPr>
                <w:bCs/>
                <w:sz w:val="24"/>
                <w:vertAlign w:val="subscript"/>
              </w:rPr>
              <w:t>A</w:t>
            </w:r>
            <w:r>
              <w:rPr>
                <w:bCs/>
                <w:sz w:val="24"/>
              </w:rPr>
              <w:t>（总）—叠加后的总声级值，dB（A）；</w:t>
            </w:r>
          </w:p>
          <w:p w14:paraId="0287A060">
            <w:pPr>
              <w:adjustRightInd w:val="0"/>
              <w:spacing w:line="460" w:lineRule="exact"/>
              <w:ind w:firstLine="1200" w:firstLineChars="500"/>
              <w:rPr>
                <w:bCs/>
                <w:sz w:val="24"/>
              </w:rPr>
            </w:pPr>
            <w:r>
              <w:rPr>
                <w:bCs/>
                <w:sz w:val="24"/>
              </w:rPr>
              <w:t>Li—第I个声源对某点的声级值，dB（A）；</w:t>
            </w:r>
          </w:p>
          <w:p w14:paraId="138E263E">
            <w:pPr>
              <w:adjustRightInd w:val="0"/>
              <w:spacing w:line="460" w:lineRule="exact"/>
              <w:ind w:firstLine="1200" w:firstLineChars="500"/>
              <w:rPr>
                <w:kern w:val="0"/>
                <w:sz w:val="24"/>
              </w:rPr>
            </w:pPr>
            <w:r>
              <w:rPr>
                <w:bCs/>
                <w:sz w:val="24"/>
              </w:rPr>
              <w:t>n—</w:t>
            </w:r>
            <w:r>
              <w:rPr>
                <w:kern w:val="0"/>
                <w:sz w:val="24"/>
              </w:rPr>
              <w:t>声源个数。</w:t>
            </w:r>
          </w:p>
          <w:p w14:paraId="746BE8DA">
            <w:pPr>
              <w:adjustRightInd w:val="0"/>
              <w:spacing w:line="460" w:lineRule="exact"/>
              <w:ind w:firstLine="482" w:firstLineChars="200"/>
              <w:rPr>
                <w:b/>
                <w:bCs/>
                <w:kern w:val="0"/>
                <w:sz w:val="24"/>
              </w:rPr>
            </w:pPr>
            <w:r>
              <w:rPr>
                <w:b/>
                <w:bCs/>
                <w:kern w:val="0"/>
                <w:sz w:val="24"/>
              </w:rPr>
              <w:t>（</w:t>
            </w:r>
            <w:r>
              <w:rPr>
                <w:rFonts w:hint="eastAsia"/>
                <w:b/>
                <w:bCs/>
                <w:kern w:val="0"/>
                <w:sz w:val="24"/>
              </w:rPr>
              <w:t>3</w:t>
            </w:r>
            <w:r>
              <w:rPr>
                <w:b/>
                <w:bCs/>
                <w:kern w:val="0"/>
                <w:sz w:val="24"/>
              </w:rPr>
              <w:t>）预测结果与评价</w:t>
            </w:r>
          </w:p>
          <w:p w14:paraId="1B5B042F">
            <w:pPr>
              <w:tabs>
                <w:tab w:val="left" w:pos="2520"/>
              </w:tabs>
              <w:adjustRightInd w:val="0"/>
              <w:spacing w:line="460" w:lineRule="exact"/>
              <w:ind w:firstLine="480" w:firstLineChars="200"/>
              <w:rPr>
                <w:sz w:val="24"/>
              </w:rPr>
            </w:pPr>
            <w:r>
              <w:rPr>
                <w:sz w:val="24"/>
              </w:rPr>
              <w:t>一般情况下，主要考虑加油机产生的噪声，固定声源加油机噪声源强为60dB（A），在仅考虑距离衰减情况下，预测结果见表</w:t>
            </w:r>
            <w:r>
              <w:rPr>
                <w:rFonts w:hint="eastAsia"/>
                <w:sz w:val="24"/>
              </w:rPr>
              <w:t>4-10</w:t>
            </w:r>
            <w:r>
              <w:rPr>
                <w:sz w:val="24"/>
              </w:rPr>
              <w:t>，预测其场界噪声值见表</w:t>
            </w:r>
            <w:r>
              <w:rPr>
                <w:rFonts w:hint="eastAsia"/>
                <w:sz w:val="24"/>
              </w:rPr>
              <w:t>4-11</w:t>
            </w:r>
            <w:r>
              <w:rPr>
                <w:sz w:val="24"/>
              </w:rPr>
              <w:t>。</w:t>
            </w:r>
          </w:p>
          <w:p w14:paraId="475A830A">
            <w:pPr>
              <w:pStyle w:val="68"/>
              <w:spacing w:line="240" w:lineRule="auto"/>
              <w:rPr>
                <w:rFonts w:hint="eastAsia" w:ascii="黑体" w:hAnsi="黑体" w:eastAsia="黑体" w:cs="黑体"/>
                <w:b w:val="0"/>
                <w:bCs w:val="0"/>
                <w:lang w:val="zh-CN"/>
              </w:rPr>
            </w:pPr>
            <w:r>
              <w:rPr>
                <w:rFonts w:hint="eastAsia" w:ascii="黑体" w:hAnsi="黑体" w:eastAsia="黑体" w:cs="黑体"/>
                <w:b w:val="0"/>
                <w:bCs w:val="0"/>
                <w:lang w:val="zh-CN"/>
              </w:rPr>
              <w:t>表4-</w:t>
            </w:r>
            <w:r>
              <w:rPr>
                <w:rFonts w:hint="eastAsia" w:ascii="黑体" w:hAnsi="黑体" w:eastAsia="黑体" w:cs="黑体"/>
                <w:b w:val="0"/>
                <w:bCs w:val="0"/>
              </w:rPr>
              <w:t>10</w:t>
            </w:r>
            <w:r>
              <w:rPr>
                <w:rFonts w:hint="eastAsia" w:ascii="黑体" w:hAnsi="黑体" w:eastAsia="黑体" w:cs="黑体"/>
                <w:b w:val="0"/>
                <w:bCs w:val="0"/>
                <w:lang w:val="zh-CN"/>
              </w:rPr>
              <w:t xml:space="preserve">  噪声设备与场界距离衰减值</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99"/>
              <w:gridCol w:w="1368"/>
              <w:gridCol w:w="1257"/>
              <w:gridCol w:w="1257"/>
              <w:gridCol w:w="1257"/>
              <w:gridCol w:w="1250"/>
            </w:tblGrid>
            <w:tr w14:paraId="363D69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49" w:type="pct"/>
                  <w:vAlign w:val="center"/>
                </w:tcPr>
                <w:p w14:paraId="07558C3D">
                  <w:pPr>
                    <w:pStyle w:val="9"/>
                    <w:adjustRightInd w:val="0"/>
                    <w:snapToGrid w:val="0"/>
                    <w:jc w:val="center"/>
                    <w:rPr>
                      <w:rFonts w:ascii="Times New Roman" w:hAnsi="Times New Roman"/>
                      <w:kern w:val="2"/>
                      <w:sz w:val="21"/>
                      <w:szCs w:val="21"/>
                    </w:rPr>
                  </w:pPr>
                  <w:r>
                    <w:rPr>
                      <w:rFonts w:ascii="Times New Roman" w:hAnsi="Times New Roman"/>
                      <w:kern w:val="2"/>
                      <w:sz w:val="21"/>
                      <w:szCs w:val="21"/>
                    </w:rPr>
                    <w:t>设备名称</w:t>
                  </w:r>
                </w:p>
              </w:tc>
              <w:tc>
                <w:tcPr>
                  <w:tcW w:w="844" w:type="pct"/>
                  <w:vAlign w:val="center"/>
                </w:tcPr>
                <w:p w14:paraId="2A7E9596">
                  <w:pPr>
                    <w:pStyle w:val="9"/>
                    <w:adjustRightInd w:val="0"/>
                    <w:snapToGrid w:val="0"/>
                    <w:jc w:val="center"/>
                    <w:rPr>
                      <w:rFonts w:ascii="Times New Roman" w:hAnsi="Times New Roman"/>
                      <w:kern w:val="2"/>
                      <w:sz w:val="21"/>
                      <w:szCs w:val="21"/>
                    </w:rPr>
                  </w:pPr>
                  <w:r>
                    <w:rPr>
                      <w:rFonts w:ascii="Times New Roman" w:hAnsi="Times New Roman"/>
                      <w:kern w:val="2"/>
                      <w:sz w:val="21"/>
                      <w:szCs w:val="21"/>
                    </w:rPr>
                    <w:t>设备源强</w:t>
                  </w:r>
                </w:p>
                <w:p w14:paraId="4FCFCB60">
                  <w:pPr>
                    <w:pStyle w:val="9"/>
                    <w:adjustRightInd w:val="0"/>
                    <w:snapToGrid w:val="0"/>
                    <w:jc w:val="center"/>
                    <w:rPr>
                      <w:rFonts w:ascii="Times New Roman" w:hAnsi="Times New Roman"/>
                      <w:kern w:val="2"/>
                      <w:sz w:val="21"/>
                      <w:szCs w:val="21"/>
                    </w:rPr>
                  </w:pPr>
                  <w:r>
                    <w:rPr>
                      <w:rFonts w:ascii="Times New Roman" w:hAnsi="Times New Roman"/>
                      <w:kern w:val="2"/>
                      <w:sz w:val="21"/>
                      <w:szCs w:val="21"/>
                    </w:rPr>
                    <w:t>（dB（A））</w:t>
                  </w:r>
                </w:p>
              </w:tc>
              <w:tc>
                <w:tcPr>
                  <w:tcW w:w="777" w:type="pct"/>
                  <w:vAlign w:val="center"/>
                </w:tcPr>
                <w:p w14:paraId="067CE339">
                  <w:pPr>
                    <w:pStyle w:val="9"/>
                    <w:adjustRightInd w:val="0"/>
                    <w:snapToGrid w:val="0"/>
                    <w:jc w:val="center"/>
                    <w:rPr>
                      <w:rFonts w:ascii="Times New Roman" w:hAnsi="Times New Roman"/>
                      <w:kern w:val="2"/>
                      <w:sz w:val="21"/>
                      <w:szCs w:val="21"/>
                    </w:rPr>
                  </w:pPr>
                  <w:r>
                    <w:rPr>
                      <w:rFonts w:ascii="Times New Roman" w:hAnsi="Times New Roman"/>
                      <w:kern w:val="2"/>
                      <w:sz w:val="21"/>
                      <w:szCs w:val="21"/>
                    </w:rPr>
                    <w:t>与东</w:t>
                  </w:r>
                  <w:r>
                    <w:rPr>
                      <w:rFonts w:hint="eastAsia" w:ascii="Times New Roman" w:hAnsi="Times New Roman"/>
                      <w:kern w:val="2"/>
                      <w:sz w:val="21"/>
                      <w:szCs w:val="21"/>
                    </w:rPr>
                    <w:t>厂界</w:t>
                  </w:r>
                </w:p>
                <w:p w14:paraId="1C06185F">
                  <w:pPr>
                    <w:pStyle w:val="9"/>
                    <w:adjustRightInd w:val="0"/>
                    <w:snapToGrid w:val="0"/>
                    <w:jc w:val="center"/>
                    <w:rPr>
                      <w:rFonts w:ascii="Times New Roman" w:hAnsi="Times New Roman"/>
                      <w:kern w:val="2"/>
                      <w:sz w:val="21"/>
                      <w:szCs w:val="21"/>
                    </w:rPr>
                  </w:pPr>
                  <w:r>
                    <w:rPr>
                      <w:rFonts w:ascii="Times New Roman" w:hAnsi="Times New Roman"/>
                      <w:kern w:val="2"/>
                      <w:sz w:val="21"/>
                      <w:szCs w:val="21"/>
                    </w:rPr>
                    <w:t>距离（m）</w:t>
                  </w:r>
                </w:p>
              </w:tc>
              <w:tc>
                <w:tcPr>
                  <w:tcW w:w="777" w:type="pct"/>
                  <w:vAlign w:val="center"/>
                </w:tcPr>
                <w:p w14:paraId="5D6C24F8">
                  <w:pPr>
                    <w:pStyle w:val="9"/>
                    <w:adjustRightInd w:val="0"/>
                    <w:snapToGrid w:val="0"/>
                    <w:jc w:val="center"/>
                    <w:rPr>
                      <w:rFonts w:ascii="Times New Roman" w:hAnsi="Times New Roman"/>
                      <w:kern w:val="2"/>
                      <w:sz w:val="21"/>
                      <w:szCs w:val="21"/>
                    </w:rPr>
                  </w:pPr>
                  <w:r>
                    <w:rPr>
                      <w:rFonts w:ascii="Times New Roman" w:hAnsi="Times New Roman"/>
                      <w:kern w:val="2"/>
                      <w:sz w:val="21"/>
                      <w:szCs w:val="21"/>
                    </w:rPr>
                    <w:t>与南</w:t>
                  </w:r>
                  <w:r>
                    <w:rPr>
                      <w:rFonts w:hint="eastAsia" w:ascii="Times New Roman" w:hAnsi="Times New Roman"/>
                      <w:kern w:val="2"/>
                      <w:sz w:val="21"/>
                      <w:szCs w:val="21"/>
                    </w:rPr>
                    <w:t>厂界</w:t>
                  </w:r>
                </w:p>
                <w:p w14:paraId="32764431">
                  <w:pPr>
                    <w:pStyle w:val="9"/>
                    <w:adjustRightInd w:val="0"/>
                    <w:snapToGrid w:val="0"/>
                    <w:jc w:val="center"/>
                    <w:rPr>
                      <w:rFonts w:ascii="Times New Roman" w:hAnsi="Times New Roman"/>
                      <w:kern w:val="2"/>
                      <w:sz w:val="21"/>
                      <w:szCs w:val="21"/>
                    </w:rPr>
                  </w:pPr>
                  <w:r>
                    <w:rPr>
                      <w:rFonts w:ascii="Times New Roman" w:hAnsi="Times New Roman"/>
                      <w:kern w:val="2"/>
                      <w:sz w:val="21"/>
                      <w:szCs w:val="21"/>
                    </w:rPr>
                    <w:t>距离（m）</w:t>
                  </w:r>
                </w:p>
              </w:tc>
              <w:tc>
                <w:tcPr>
                  <w:tcW w:w="777" w:type="pct"/>
                  <w:vAlign w:val="center"/>
                </w:tcPr>
                <w:p w14:paraId="02D30B7A">
                  <w:pPr>
                    <w:pStyle w:val="9"/>
                    <w:adjustRightInd w:val="0"/>
                    <w:snapToGrid w:val="0"/>
                    <w:jc w:val="center"/>
                    <w:rPr>
                      <w:rFonts w:ascii="Times New Roman" w:hAnsi="Times New Roman"/>
                      <w:kern w:val="2"/>
                      <w:sz w:val="21"/>
                      <w:szCs w:val="21"/>
                    </w:rPr>
                  </w:pPr>
                  <w:r>
                    <w:rPr>
                      <w:rFonts w:ascii="Times New Roman" w:hAnsi="Times New Roman"/>
                      <w:kern w:val="2"/>
                      <w:sz w:val="21"/>
                      <w:szCs w:val="21"/>
                    </w:rPr>
                    <w:t>与西</w:t>
                  </w:r>
                  <w:r>
                    <w:rPr>
                      <w:rFonts w:hint="eastAsia" w:ascii="Times New Roman" w:hAnsi="Times New Roman"/>
                      <w:kern w:val="2"/>
                      <w:sz w:val="21"/>
                      <w:szCs w:val="21"/>
                    </w:rPr>
                    <w:t>厂界</w:t>
                  </w:r>
                </w:p>
                <w:p w14:paraId="4598F206">
                  <w:pPr>
                    <w:pStyle w:val="9"/>
                    <w:adjustRightInd w:val="0"/>
                    <w:snapToGrid w:val="0"/>
                    <w:jc w:val="center"/>
                    <w:rPr>
                      <w:rFonts w:ascii="Times New Roman" w:hAnsi="Times New Roman"/>
                      <w:kern w:val="2"/>
                      <w:sz w:val="21"/>
                      <w:szCs w:val="21"/>
                    </w:rPr>
                  </w:pPr>
                  <w:r>
                    <w:rPr>
                      <w:rFonts w:ascii="Times New Roman" w:hAnsi="Times New Roman"/>
                      <w:kern w:val="2"/>
                      <w:sz w:val="21"/>
                      <w:szCs w:val="21"/>
                    </w:rPr>
                    <w:t>距离（m）</w:t>
                  </w:r>
                </w:p>
              </w:tc>
              <w:tc>
                <w:tcPr>
                  <w:tcW w:w="773" w:type="pct"/>
                  <w:vAlign w:val="center"/>
                </w:tcPr>
                <w:p w14:paraId="21168C24">
                  <w:pPr>
                    <w:pStyle w:val="9"/>
                    <w:adjustRightInd w:val="0"/>
                    <w:snapToGrid w:val="0"/>
                    <w:jc w:val="center"/>
                    <w:rPr>
                      <w:rFonts w:ascii="Times New Roman" w:hAnsi="Times New Roman"/>
                      <w:kern w:val="2"/>
                      <w:sz w:val="21"/>
                      <w:szCs w:val="21"/>
                    </w:rPr>
                  </w:pPr>
                  <w:r>
                    <w:rPr>
                      <w:rFonts w:ascii="Times New Roman" w:hAnsi="Times New Roman"/>
                      <w:kern w:val="2"/>
                      <w:sz w:val="21"/>
                      <w:szCs w:val="21"/>
                    </w:rPr>
                    <w:t>与北</w:t>
                  </w:r>
                  <w:r>
                    <w:rPr>
                      <w:rFonts w:hint="eastAsia" w:ascii="Times New Roman" w:hAnsi="Times New Roman"/>
                      <w:kern w:val="2"/>
                      <w:sz w:val="21"/>
                      <w:szCs w:val="21"/>
                    </w:rPr>
                    <w:t>厂界</w:t>
                  </w:r>
                </w:p>
                <w:p w14:paraId="6747D1D8">
                  <w:pPr>
                    <w:pStyle w:val="9"/>
                    <w:adjustRightInd w:val="0"/>
                    <w:snapToGrid w:val="0"/>
                    <w:jc w:val="center"/>
                    <w:rPr>
                      <w:rFonts w:ascii="Times New Roman" w:hAnsi="Times New Roman"/>
                      <w:kern w:val="2"/>
                      <w:sz w:val="21"/>
                      <w:szCs w:val="21"/>
                    </w:rPr>
                  </w:pPr>
                  <w:r>
                    <w:rPr>
                      <w:rFonts w:ascii="Times New Roman" w:hAnsi="Times New Roman"/>
                      <w:kern w:val="2"/>
                      <w:sz w:val="21"/>
                      <w:szCs w:val="21"/>
                    </w:rPr>
                    <w:t>距离（m）</w:t>
                  </w:r>
                </w:p>
              </w:tc>
            </w:tr>
            <w:tr w14:paraId="13B49F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49" w:type="pct"/>
                  <w:vAlign w:val="center"/>
                </w:tcPr>
                <w:p w14:paraId="794D7699">
                  <w:pPr>
                    <w:pStyle w:val="9"/>
                    <w:adjustRightInd w:val="0"/>
                    <w:snapToGrid w:val="0"/>
                    <w:jc w:val="center"/>
                    <w:rPr>
                      <w:rFonts w:ascii="Times New Roman" w:hAnsi="Times New Roman"/>
                      <w:kern w:val="2"/>
                      <w:sz w:val="21"/>
                      <w:szCs w:val="21"/>
                    </w:rPr>
                  </w:pPr>
                  <w:r>
                    <w:rPr>
                      <w:rFonts w:ascii="Times New Roman" w:hAnsi="Times New Roman"/>
                      <w:kern w:val="2"/>
                      <w:sz w:val="21"/>
                      <w:szCs w:val="21"/>
                    </w:rPr>
                    <w:t>加油机</w:t>
                  </w:r>
                  <w:r>
                    <w:rPr>
                      <w:rFonts w:hint="eastAsia" w:ascii="Times New Roman" w:hAnsi="Times New Roman"/>
                      <w:kern w:val="2"/>
                      <w:sz w:val="21"/>
                      <w:szCs w:val="21"/>
                    </w:rPr>
                    <w:t>1#</w:t>
                  </w:r>
                </w:p>
              </w:tc>
              <w:tc>
                <w:tcPr>
                  <w:tcW w:w="844" w:type="pct"/>
                  <w:vAlign w:val="center"/>
                </w:tcPr>
                <w:p w14:paraId="69F53CF7">
                  <w:pPr>
                    <w:pStyle w:val="9"/>
                    <w:adjustRightInd w:val="0"/>
                    <w:snapToGrid w:val="0"/>
                    <w:jc w:val="center"/>
                    <w:rPr>
                      <w:rFonts w:ascii="Times New Roman" w:hAnsi="Times New Roman"/>
                      <w:kern w:val="2"/>
                      <w:sz w:val="21"/>
                      <w:szCs w:val="21"/>
                    </w:rPr>
                  </w:pPr>
                  <w:r>
                    <w:rPr>
                      <w:rFonts w:hint="eastAsia" w:ascii="Times New Roman" w:hAnsi="Times New Roman"/>
                      <w:kern w:val="2"/>
                      <w:sz w:val="21"/>
                      <w:szCs w:val="21"/>
                    </w:rPr>
                    <w:t>60</w:t>
                  </w:r>
                </w:p>
              </w:tc>
              <w:tc>
                <w:tcPr>
                  <w:tcW w:w="777" w:type="pct"/>
                  <w:vAlign w:val="center"/>
                </w:tcPr>
                <w:p w14:paraId="1F3F3834">
                  <w:pPr>
                    <w:pStyle w:val="9"/>
                    <w:adjustRightInd w:val="0"/>
                    <w:snapToGrid w:val="0"/>
                    <w:jc w:val="center"/>
                    <w:rPr>
                      <w:rFonts w:ascii="Times New Roman" w:hAnsi="Times New Roman"/>
                      <w:kern w:val="2"/>
                      <w:sz w:val="21"/>
                      <w:szCs w:val="21"/>
                    </w:rPr>
                  </w:pPr>
                  <w:r>
                    <w:rPr>
                      <w:rFonts w:hint="eastAsia" w:ascii="Times New Roman" w:hAnsi="Times New Roman"/>
                      <w:kern w:val="2"/>
                      <w:sz w:val="21"/>
                      <w:szCs w:val="21"/>
                    </w:rPr>
                    <w:t>26</w:t>
                  </w:r>
                </w:p>
              </w:tc>
              <w:tc>
                <w:tcPr>
                  <w:tcW w:w="777" w:type="pct"/>
                  <w:vAlign w:val="center"/>
                </w:tcPr>
                <w:p w14:paraId="7F0F0BBC">
                  <w:pPr>
                    <w:pStyle w:val="9"/>
                    <w:adjustRightInd w:val="0"/>
                    <w:snapToGrid w:val="0"/>
                    <w:jc w:val="center"/>
                    <w:rPr>
                      <w:rFonts w:ascii="Times New Roman" w:hAnsi="Times New Roman"/>
                      <w:kern w:val="2"/>
                      <w:sz w:val="21"/>
                      <w:szCs w:val="21"/>
                    </w:rPr>
                  </w:pPr>
                  <w:r>
                    <w:rPr>
                      <w:rFonts w:hint="eastAsia" w:ascii="Times New Roman" w:hAnsi="Times New Roman"/>
                      <w:kern w:val="2"/>
                      <w:sz w:val="21"/>
                      <w:szCs w:val="21"/>
                    </w:rPr>
                    <w:t>12</w:t>
                  </w:r>
                </w:p>
              </w:tc>
              <w:tc>
                <w:tcPr>
                  <w:tcW w:w="777" w:type="pct"/>
                  <w:vAlign w:val="center"/>
                </w:tcPr>
                <w:p w14:paraId="27E3B995">
                  <w:pPr>
                    <w:pStyle w:val="9"/>
                    <w:adjustRightInd w:val="0"/>
                    <w:snapToGrid w:val="0"/>
                    <w:jc w:val="center"/>
                    <w:rPr>
                      <w:rFonts w:ascii="Times New Roman" w:hAnsi="Times New Roman"/>
                      <w:kern w:val="2"/>
                      <w:sz w:val="21"/>
                      <w:szCs w:val="21"/>
                    </w:rPr>
                  </w:pPr>
                  <w:r>
                    <w:rPr>
                      <w:rFonts w:hint="eastAsia" w:ascii="Times New Roman" w:hAnsi="Times New Roman"/>
                      <w:kern w:val="2"/>
                      <w:sz w:val="21"/>
                      <w:szCs w:val="21"/>
                    </w:rPr>
                    <w:t>32</w:t>
                  </w:r>
                </w:p>
              </w:tc>
              <w:tc>
                <w:tcPr>
                  <w:tcW w:w="773" w:type="pct"/>
                  <w:vAlign w:val="center"/>
                </w:tcPr>
                <w:p w14:paraId="5FA0C4C3">
                  <w:pPr>
                    <w:pStyle w:val="9"/>
                    <w:adjustRightInd w:val="0"/>
                    <w:snapToGrid w:val="0"/>
                    <w:jc w:val="center"/>
                    <w:rPr>
                      <w:rFonts w:hint="eastAsia" w:ascii="Times New Roman" w:hAnsi="Times New Roman"/>
                      <w:kern w:val="2"/>
                      <w:sz w:val="21"/>
                      <w:szCs w:val="21"/>
                    </w:rPr>
                  </w:pPr>
                  <w:r>
                    <w:rPr>
                      <w:rFonts w:hint="eastAsia" w:ascii="Times New Roman" w:hAnsi="Times New Roman"/>
                      <w:kern w:val="2"/>
                      <w:sz w:val="21"/>
                      <w:szCs w:val="21"/>
                    </w:rPr>
                    <w:t>22</w:t>
                  </w:r>
                </w:p>
              </w:tc>
            </w:tr>
            <w:tr w14:paraId="63FDDF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49" w:type="pct"/>
                  <w:vAlign w:val="center"/>
                </w:tcPr>
                <w:p w14:paraId="45D3A245">
                  <w:pPr>
                    <w:pStyle w:val="9"/>
                    <w:adjustRightInd w:val="0"/>
                    <w:snapToGrid w:val="0"/>
                    <w:jc w:val="center"/>
                    <w:rPr>
                      <w:rFonts w:ascii="Times New Roman" w:hAnsi="Times New Roman"/>
                      <w:kern w:val="2"/>
                      <w:sz w:val="21"/>
                      <w:szCs w:val="21"/>
                    </w:rPr>
                  </w:pPr>
                  <w:r>
                    <w:rPr>
                      <w:rFonts w:ascii="Times New Roman" w:hAnsi="Times New Roman"/>
                      <w:kern w:val="2"/>
                      <w:sz w:val="21"/>
                      <w:szCs w:val="21"/>
                    </w:rPr>
                    <w:t>加油机</w:t>
                  </w:r>
                  <w:r>
                    <w:rPr>
                      <w:rFonts w:hint="eastAsia" w:ascii="Times New Roman" w:hAnsi="Times New Roman"/>
                      <w:kern w:val="2"/>
                      <w:sz w:val="21"/>
                      <w:szCs w:val="21"/>
                    </w:rPr>
                    <w:t>2#</w:t>
                  </w:r>
                </w:p>
              </w:tc>
              <w:tc>
                <w:tcPr>
                  <w:tcW w:w="844" w:type="pct"/>
                  <w:vAlign w:val="center"/>
                </w:tcPr>
                <w:p w14:paraId="78E262B0">
                  <w:pPr>
                    <w:jc w:val="center"/>
                  </w:pPr>
                  <w:r>
                    <w:rPr>
                      <w:rFonts w:hint="eastAsia"/>
                      <w:szCs w:val="21"/>
                    </w:rPr>
                    <w:t>60</w:t>
                  </w:r>
                </w:p>
              </w:tc>
              <w:tc>
                <w:tcPr>
                  <w:tcW w:w="777" w:type="pct"/>
                  <w:vAlign w:val="center"/>
                </w:tcPr>
                <w:p w14:paraId="430725F0">
                  <w:pPr>
                    <w:pStyle w:val="9"/>
                    <w:adjustRightInd w:val="0"/>
                    <w:snapToGrid w:val="0"/>
                    <w:jc w:val="center"/>
                    <w:rPr>
                      <w:rFonts w:ascii="Times New Roman" w:hAnsi="Times New Roman"/>
                      <w:kern w:val="2"/>
                      <w:sz w:val="21"/>
                      <w:szCs w:val="21"/>
                    </w:rPr>
                  </w:pPr>
                  <w:r>
                    <w:rPr>
                      <w:rFonts w:hint="eastAsia" w:ascii="Times New Roman" w:hAnsi="Times New Roman"/>
                      <w:kern w:val="2"/>
                      <w:sz w:val="21"/>
                      <w:szCs w:val="21"/>
                    </w:rPr>
                    <w:t>38</w:t>
                  </w:r>
                </w:p>
              </w:tc>
              <w:tc>
                <w:tcPr>
                  <w:tcW w:w="777" w:type="pct"/>
                  <w:vAlign w:val="center"/>
                </w:tcPr>
                <w:p w14:paraId="7DCDDF67">
                  <w:pPr>
                    <w:pStyle w:val="9"/>
                    <w:adjustRightInd w:val="0"/>
                    <w:snapToGrid w:val="0"/>
                    <w:jc w:val="center"/>
                    <w:rPr>
                      <w:rFonts w:ascii="Times New Roman" w:hAnsi="Times New Roman"/>
                      <w:kern w:val="2"/>
                      <w:sz w:val="21"/>
                      <w:szCs w:val="21"/>
                    </w:rPr>
                  </w:pPr>
                  <w:r>
                    <w:rPr>
                      <w:rFonts w:hint="eastAsia" w:ascii="Times New Roman" w:hAnsi="Times New Roman"/>
                      <w:kern w:val="2"/>
                      <w:sz w:val="21"/>
                      <w:szCs w:val="21"/>
                    </w:rPr>
                    <w:t>12</w:t>
                  </w:r>
                </w:p>
              </w:tc>
              <w:tc>
                <w:tcPr>
                  <w:tcW w:w="777" w:type="pct"/>
                  <w:vAlign w:val="center"/>
                </w:tcPr>
                <w:p w14:paraId="334AFE38">
                  <w:pPr>
                    <w:pStyle w:val="9"/>
                    <w:adjustRightInd w:val="0"/>
                    <w:snapToGrid w:val="0"/>
                    <w:jc w:val="center"/>
                    <w:rPr>
                      <w:rFonts w:ascii="Times New Roman" w:hAnsi="Times New Roman"/>
                      <w:kern w:val="2"/>
                      <w:sz w:val="21"/>
                      <w:szCs w:val="21"/>
                    </w:rPr>
                  </w:pPr>
                  <w:r>
                    <w:rPr>
                      <w:rFonts w:hint="eastAsia" w:ascii="Times New Roman" w:hAnsi="Times New Roman"/>
                      <w:kern w:val="2"/>
                      <w:sz w:val="21"/>
                      <w:szCs w:val="21"/>
                    </w:rPr>
                    <w:t>20</w:t>
                  </w:r>
                </w:p>
              </w:tc>
              <w:tc>
                <w:tcPr>
                  <w:tcW w:w="773" w:type="pct"/>
                  <w:vAlign w:val="center"/>
                </w:tcPr>
                <w:p w14:paraId="271E8A41">
                  <w:pPr>
                    <w:pStyle w:val="9"/>
                    <w:adjustRightInd w:val="0"/>
                    <w:snapToGrid w:val="0"/>
                    <w:jc w:val="center"/>
                    <w:rPr>
                      <w:rFonts w:ascii="Times New Roman" w:hAnsi="Times New Roman"/>
                      <w:kern w:val="2"/>
                      <w:sz w:val="21"/>
                      <w:szCs w:val="21"/>
                    </w:rPr>
                  </w:pPr>
                  <w:r>
                    <w:rPr>
                      <w:rFonts w:hint="eastAsia" w:ascii="Times New Roman" w:hAnsi="Times New Roman"/>
                      <w:kern w:val="2"/>
                      <w:sz w:val="21"/>
                      <w:szCs w:val="21"/>
                    </w:rPr>
                    <w:t>22</w:t>
                  </w:r>
                </w:p>
              </w:tc>
            </w:tr>
            <w:tr w14:paraId="3A7215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49" w:type="pct"/>
                  <w:vAlign w:val="center"/>
                </w:tcPr>
                <w:p w14:paraId="26A99951">
                  <w:pPr>
                    <w:pStyle w:val="9"/>
                    <w:adjustRightInd w:val="0"/>
                    <w:snapToGrid w:val="0"/>
                    <w:jc w:val="center"/>
                    <w:rPr>
                      <w:rFonts w:ascii="Times New Roman" w:hAnsi="Times New Roman"/>
                      <w:kern w:val="2"/>
                      <w:sz w:val="21"/>
                      <w:szCs w:val="21"/>
                    </w:rPr>
                  </w:pPr>
                  <w:r>
                    <w:rPr>
                      <w:rFonts w:ascii="Times New Roman" w:hAnsi="Times New Roman"/>
                      <w:kern w:val="2"/>
                      <w:sz w:val="21"/>
                      <w:szCs w:val="21"/>
                    </w:rPr>
                    <w:t>加油机</w:t>
                  </w:r>
                  <w:r>
                    <w:rPr>
                      <w:rFonts w:hint="eastAsia" w:ascii="Times New Roman" w:hAnsi="Times New Roman"/>
                      <w:kern w:val="2"/>
                      <w:sz w:val="21"/>
                      <w:szCs w:val="21"/>
                    </w:rPr>
                    <w:t>3#</w:t>
                  </w:r>
                </w:p>
              </w:tc>
              <w:tc>
                <w:tcPr>
                  <w:tcW w:w="844" w:type="pct"/>
                  <w:vAlign w:val="center"/>
                </w:tcPr>
                <w:p w14:paraId="437B6D76">
                  <w:pPr>
                    <w:jc w:val="center"/>
                  </w:pPr>
                  <w:r>
                    <w:rPr>
                      <w:rFonts w:hint="eastAsia"/>
                      <w:szCs w:val="21"/>
                    </w:rPr>
                    <w:t>60</w:t>
                  </w:r>
                </w:p>
              </w:tc>
              <w:tc>
                <w:tcPr>
                  <w:tcW w:w="777" w:type="pct"/>
                  <w:vAlign w:val="center"/>
                </w:tcPr>
                <w:p w14:paraId="4CA145B1">
                  <w:pPr>
                    <w:pStyle w:val="9"/>
                    <w:adjustRightInd w:val="0"/>
                    <w:snapToGrid w:val="0"/>
                    <w:jc w:val="center"/>
                    <w:rPr>
                      <w:rFonts w:ascii="Times New Roman" w:hAnsi="Times New Roman"/>
                      <w:kern w:val="2"/>
                      <w:sz w:val="21"/>
                      <w:szCs w:val="21"/>
                    </w:rPr>
                  </w:pPr>
                  <w:r>
                    <w:rPr>
                      <w:rFonts w:hint="eastAsia" w:ascii="Times New Roman" w:hAnsi="Times New Roman"/>
                      <w:kern w:val="2"/>
                      <w:sz w:val="21"/>
                      <w:szCs w:val="21"/>
                    </w:rPr>
                    <w:t>38</w:t>
                  </w:r>
                </w:p>
              </w:tc>
              <w:tc>
                <w:tcPr>
                  <w:tcW w:w="777" w:type="pct"/>
                  <w:vAlign w:val="center"/>
                </w:tcPr>
                <w:p w14:paraId="5509FB4A">
                  <w:pPr>
                    <w:pStyle w:val="9"/>
                    <w:adjustRightInd w:val="0"/>
                    <w:snapToGrid w:val="0"/>
                    <w:jc w:val="center"/>
                    <w:rPr>
                      <w:rFonts w:hint="eastAsia" w:ascii="Times New Roman" w:hAnsi="Times New Roman"/>
                      <w:kern w:val="2"/>
                      <w:sz w:val="21"/>
                      <w:szCs w:val="21"/>
                    </w:rPr>
                  </w:pPr>
                  <w:r>
                    <w:rPr>
                      <w:rFonts w:hint="eastAsia" w:ascii="Times New Roman" w:hAnsi="Times New Roman"/>
                      <w:kern w:val="2"/>
                      <w:sz w:val="21"/>
                      <w:szCs w:val="21"/>
                    </w:rPr>
                    <w:t>5</w:t>
                  </w:r>
                </w:p>
              </w:tc>
              <w:tc>
                <w:tcPr>
                  <w:tcW w:w="777" w:type="pct"/>
                  <w:vAlign w:val="center"/>
                </w:tcPr>
                <w:p w14:paraId="6D4B3294">
                  <w:pPr>
                    <w:pStyle w:val="9"/>
                    <w:adjustRightInd w:val="0"/>
                    <w:snapToGrid w:val="0"/>
                    <w:jc w:val="center"/>
                    <w:rPr>
                      <w:rFonts w:ascii="Times New Roman" w:hAnsi="Times New Roman"/>
                      <w:kern w:val="2"/>
                      <w:sz w:val="21"/>
                      <w:szCs w:val="21"/>
                    </w:rPr>
                  </w:pPr>
                  <w:r>
                    <w:rPr>
                      <w:rFonts w:hint="eastAsia" w:ascii="Times New Roman" w:hAnsi="Times New Roman"/>
                      <w:kern w:val="2"/>
                      <w:sz w:val="21"/>
                      <w:szCs w:val="21"/>
                    </w:rPr>
                    <w:t>20</w:t>
                  </w:r>
                </w:p>
              </w:tc>
              <w:tc>
                <w:tcPr>
                  <w:tcW w:w="773" w:type="pct"/>
                  <w:vAlign w:val="center"/>
                </w:tcPr>
                <w:p w14:paraId="5C3B0D98">
                  <w:pPr>
                    <w:pStyle w:val="9"/>
                    <w:adjustRightInd w:val="0"/>
                    <w:snapToGrid w:val="0"/>
                    <w:jc w:val="center"/>
                    <w:rPr>
                      <w:rFonts w:ascii="Times New Roman" w:hAnsi="Times New Roman"/>
                      <w:kern w:val="2"/>
                      <w:sz w:val="21"/>
                      <w:szCs w:val="21"/>
                    </w:rPr>
                  </w:pPr>
                  <w:r>
                    <w:rPr>
                      <w:rFonts w:hint="eastAsia" w:ascii="Times New Roman" w:hAnsi="Times New Roman"/>
                      <w:kern w:val="2"/>
                      <w:sz w:val="21"/>
                      <w:szCs w:val="21"/>
                    </w:rPr>
                    <w:t>28</w:t>
                  </w:r>
                </w:p>
              </w:tc>
            </w:tr>
            <w:tr w14:paraId="2FEA4F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49" w:type="pct"/>
                  <w:vAlign w:val="center"/>
                </w:tcPr>
                <w:p w14:paraId="70368ED3">
                  <w:pPr>
                    <w:pStyle w:val="9"/>
                    <w:adjustRightInd w:val="0"/>
                    <w:snapToGrid w:val="0"/>
                    <w:jc w:val="center"/>
                    <w:rPr>
                      <w:rFonts w:ascii="Times New Roman" w:hAnsi="Times New Roman"/>
                      <w:kern w:val="2"/>
                      <w:sz w:val="21"/>
                      <w:szCs w:val="21"/>
                    </w:rPr>
                  </w:pPr>
                  <w:r>
                    <w:rPr>
                      <w:rFonts w:ascii="Times New Roman" w:hAnsi="Times New Roman"/>
                      <w:kern w:val="2"/>
                      <w:sz w:val="21"/>
                      <w:szCs w:val="21"/>
                    </w:rPr>
                    <w:t>加油机</w:t>
                  </w:r>
                  <w:r>
                    <w:rPr>
                      <w:rFonts w:hint="eastAsia" w:ascii="Times New Roman" w:hAnsi="Times New Roman"/>
                      <w:kern w:val="2"/>
                      <w:sz w:val="21"/>
                      <w:szCs w:val="21"/>
                    </w:rPr>
                    <w:t>4#</w:t>
                  </w:r>
                </w:p>
              </w:tc>
              <w:tc>
                <w:tcPr>
                  <w:tcW w:w="844" w:type="pct"/>
                  <w:vAlign w:val="center"/>
                </w:tcPr>
                <w:p w14:paraId="5152A6A0">
                  <w:pPr>
                    <w:jc w:val="center"/>
                  </w:pPr>
                  <w:r>
                    <w:rPr>
                      <w:rFonts w:hint="eastAsia"/>
                      <w:szCs w:val="21"/>
                    </w:rPr>
                    <w:t>60</w:t>
                  </w:r>
                </w:p>
              </w:tc>
              <w:tc>
                <w:tcPr>
                  <w:tcW w:w="777" w:type="pct"/>
                  <w:vAlign w:val="center"/>
                </w:tcPr>
                <w:p w14:paraId="279CE8C3">
                  <w:pPr>
                    <w:pStyle w:val="9"/>
                    <w:adjustRightInd w:val="0"/>
                    <w:snapToGrid w:val="0"/>
                    <w:jc w:val="center"/>
                    <w:rPr>
                      <w:rFonts w:ascii="Times New Roman" w:hAnsi="Times New Roman"/>
                      <w:kern w:val="2"/>
                      <w:sz w:val="21"/>
                      <w:szCs w:val="21"/>
                    </w:rPr>
                  </w:pPr>
                  <w:r>
                    <w:rPr>
                      <w:rFonts w:hint="eastAsia" w:ascii="Times New Roman" w:hAnsi="Times New Roman"/>
                      <w:kern w:val="2"/>
                      <w:sz w:val="21"/>
                      <w:szCs w:val="21"/>
                    </w:rPr>
                    <w:t>26</w:t>
                  </w:r>
                </w:p>
              </w:tc>
              <w:tc>
                <w:tcPr>
                  <w:tcW w:w="777" w:type="pct"/>
                  <w:vAlign w:val="center"/>
                </w:tcPr>
                <w:p w14:paraId="5154424A">
                  <w:pPr>
                    <w:pStyle w:val="9"/>
                    <w:adjustRightInd w:val="0"/>
                    <w:snapToGrid w:val="0"/>
                    <w:jc w:val="center"/>
                    <w:rPr>
                      <w:rFonts w:hint="eastAsia" w:ascii="Times New Roman" w:hAnsi="Times New Roman"/>
                      <w:kern w:val="2"/>
                      <w:sz w:val="21"/>
                      <w:szCs w:val="21"/>
                    </w:rPr>
                  </w:pPr>
                  <w:r>
                    <w:rPr>
                      <w:rFonts w:hint="eastAsia" w:ascii="Times New Roman" w:hAnsi="Times New Roman"/>
                      <w:kern w:val="2"/>
                      <w:sz w:val="21"/>
                      <w:szCs w:val="21"/>
                    </w:rPr>
                    <w:t>5</w:t>
                  </w:r>
                </w:p>
              </w:tc>
              <w:tc>
                <w:tcPr>
                  <w:tcW w:w="777" w:type="pct"/>
                  <w:vAlign w:val="center"/>
                </w:tcPr>
                <w:p w14:paraId="340E2675">
                  <w:pPr>
                    <w:pStyle w:val="9"/>
                    <w:adjustRightInd w:val="0"/>
                    <w:snapToGrid w:val="0"/>
                    <w:jc w:val="center"/>
                    <w:rPr>
                      <w:rFonts w:ascii="Times New Roman" w:hAnsi="Times New Roman"/>
                      <w:kern w:val="2"/>
                      <w:sz w:val="21"/>
                      <w:szCs w:val="21"/>
                    </w:rPr>
                  </w:pPr>
                  <w:r>
                    <w:rPr>
                      <w:rFonts w:hint="eastAsia" w:ascii="Times New Roman" w:hAnsi="Times New Roman"/>
                      <w:kern w:val="2"/>
                      <w:sz w:val="21"/>
                      <w:szCs w:val="21"/>
                    </w:rPr>
                    <w:t>32</w:t>
                  </w:r>
                </w:p>
              </w:tc>
              <w:tc>
                <w:tcPr>
                  <w:tcW w:w="773" w:type="pct"/>
                  <w:vAlign w:val="center"/>
                </w:tcPr>
                <w:p w14:paraId="5FB490DC">
                  <w:pPr>
                    <w:pStyle w:val="9"/>
                    <w:adjustRightInd w:val="0"/>
                    <w:snapToGrid w:val="0"/>
                    <w:jc w:val="center"/>
                    <w:rPr>
                      <w:rFonts w:ascii="Times New Roman" w:hAnsi="Times New Roman"/>
                      <w:kern w:val="2"/>
                      <w:sz w:val="21"/>
                      <w:szCs w:val="21"/>
                    </w:rPr>
                  </w:pPr>
                  <w:r>
                    <w:rPr>
                      <w:rFonts w:hint="eastAsia" w:ascii="Times New Roman" w:hAnsi="Times New Roman"/>
                      <w:kern w:val="2"/>
                      <w:sz w:val="21"/>
                      <w:szCs w:val="21"/>
                    </w:rPr>
                    <w:t>28</w:t>
                  </w:r>
                </w:p>
              </w:tc>
            </w:tr>
            <w:tr w14:paraId="197B68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49" w:type="pct"/>
                  <w:vAlign w:val="center"/>
                </w:tcPr>
                <w:p w14:paraId="4E9D9DBE">
                  <w:pPr>
                    <w:pStyle w:val="9"/>
                    <w:adjustRightInd w:val="0"/>
                    <w:snapToGrid w:val="0"/>
                    <w:jc w:val="center"/>
                    <w:rPr>
                      <w:rFonts w:ascii="Times New Roman" w:hAnsi="Times New Roman"/>
                      <w:kern w:val="2"/>
                      <w:sz w:val="21"/>
                      <w:szCs w:val="21"/>
                    </w:rPr>
                  </w:pPr>
                  <w:r>
                    <w:rPr>
                      <w:rFonts w:ascii="Times New Roman" w:hAnsi="Times New Roman"/>
                      <w:kern w:val="2"/>
                      <w:sz w:val="21"/>
                      <w:szCs w:val="21"/>
                    </w:rPr>
                    <w:t>柴油发电机</w:t>
                  </w:r>
                </w:p>
              </w:tc>
              <w:tc>
                <w:tcPr>
                  <w:tcW w:w="844" w:type="pct"/>
                  <w:vAlign w:val="center"/>
                </w:tcPr>
                <w:p w14:paraId="0285B2F9">
                  <w:pPr>
                    <w:pStyle w:val="9"/>
                    <w:adjustRightInd w:val="0"/>
                    <w:snapToGrid w:val="0"/>
                    <w:jc w:val="center"/>
                    <w:rPr>
                      <w:rFonts w:hint="eastAsia" w:ascii="Times New Roman" w:hAnsi="Times New Roman"/>
                      <w:kern w:val="2"/>
                      <w:sz w:val="21"/>
                      <w:szCs w:val="21"/>
                    </w:rPr>
                  </w:pPr>
                  <w:r>
                    <w:rPr>
                      <w:rFonts w:hint="eastAsia" w:ascii="Times New Roman" w:hAnsi="Times New Roman"/>
                      <w:kern w:val="2"/>
                      <w:sz w:val="21"/>
                      <w:szCs w:val="21"/>
                    </w:rPr>
                    <w:t>65</w:t>
                  </w:r>
                </w:p>
              </w:tc>
              <w:tc>
                <w:tcPr>
                  <w:tcW w:w="777" w:type="pct"/>
                  <w:vAlign w:val="center"/>
                </w:tcPr>
                <w:p w14:paraId="3D28BDC9">
                  <w:pPr>
                    <w:pStyle w:val="9"/>
                    <w:adjustRightInd w:val="0"/>
                    <w:snapToGrid w:val="0"/>
                    <w:jc w:val="center"/>
                    <w:rPr>
                      <w:rFonts w:ascii="Times New Roman" w:hAnsi="Times New Roman"/>
                      <w:kern w:val="2"/>
                      <w:sz w:val="21"/>
                      <w:szCs w:val="21"/>
                    </w:rPr>
                  </w:pPr>
                  <w:r>
                    <w:rPr>
                      <w:rFonts w:hint="eastAsia" w:ascii="Times New Roman" w:hAnsi="Times New Roman"/>
                      <w:kern w:val="2"/>
                      <w:sz w:val="21"/>
                      <w:szCs w:val="21"/>
                    </w:rPr>
                    <w:t>40</w:t>
                  </w:r>
                </w:p>
              </w:tc>
              <w:tc>
                <w:tcPr>
                  <w:tcW w:w="777" w:type="pct"/>
                  <w:vAlign w:val="center"/>
                </w:tcPr>
                <w:p w14:paraId="1E356A6F">
                  <w:pPr>
                    <w:pStyle w:val="9"/>
                    <w:adjustRightInd w:val="0"/>
                    <w:snapToGrid w:val="0"/>
                    <w:jc w:val="center"/>
                    <w:rPr>
                      <w:rFonts w:ascii="Times New Roman" w:hAnsi="Times New Roman"/>
                      <w:kern w:val="2"/>
                      <w:sz w:val="21"/>
                      <w:szCs w:val="21"/>
                    </w:rPr>
                  </w:pPr>
                  <w:r>
                    <w:rPr>
                      <w:rFonts w:hint="eastAsia" w:ascii="Times New Roman" w:hAnsi="Times New Roman"/>
                      <w:kern w:val="2"/>
                      <w:sz w:val="21"/>
                      <w:szCs w:val="21"/>
                    </w:rPr>
                    <w:t>24</w:t>
                  </w:r>
                </w:p>
              </w:tc>
              <w:tc>
                <w:tcPr>
                  <w:tcW w:w="777" w:type="pct"/>
                  <w:vAlign w:val="center"/>
                </w:tcPr>
                <w:p w14:paraId="64551E79">
                  <w:pPr>
                    <w:pStyle w:val="9"/>
                    <w:adjustRightInd w:val="0"/>
                    <w:snapToGrid w:val="0"/>
                    <w:jc w:val="center"/>
                    <w:rPr>
                      <w:rFonts w:ascii="Times New Roman" w:hAnsi="Times New Roman"/>
                      <w:kern w:val="2"/>
                      <w:sz w:val="21"/>
                      <w:szCs w:val="21"/>
                    </w:rPr>
                  </w:pPr>
                  <w:r>
                    <w:rPr>
                      <w:rFonts w:hint="eastAsia" w:ascii="Times New Roman" w:hAnsi="Times New Roman"/>
                      <w:kern w:val="2"/>
                      <w:sz w:val="21"/>
                      <w:szCs w:val="21"/>
                    </w:rPr>
                    <w:t>18</w:t>
                  </w:r>
                </w:p>
              </w:tc>
              <w:tc>
                <w:tcPr>
                  <w:tcW w:w="773" w:type="pct"/>
                  <w:vAlign w:val="center"/>
                </w:tcPr>
                <w:p w14:paraId="2F19ADB2">
                  <w:pPr>
                    <w:pStyle w:val="9"/>
                    <w:adjustRightInd w:val="0"/>
                    <w:snapToGrid w:val="0"/>
                    <w:jc w:val="center"/>
                    <w:rPr>
                      <w:rFonts w:hint="eastAsia" w:ascii="Times New Roman" w:hAnsi="Times New Roman"/>
                      <w:kern w:val="2"/>
                      <w:sz w:val="21"/>
                      <w:szCs w:val="21"/>
                    </w:rPr>
                  </w:pPr>
                  <w:r>
                    <w:rPr>
                      <w:rFonts w:hint="eastAsia" w:ascii="Times New Roman" w:hAnsi="Times New Roman"/>
                      <w:kern w:val="2"/>
                      <w:sz w:val="21"/>
                      <w:szCs w:val="21"/>
                    </w:rPr>
                    <w:t>9</w:t>
                  </w:r>
                </w:p>
              </w:tc>
            </w:tr>
          </w:tbl>
          <w:p w14:paraId="0AC6A457">
            <w:pPr>
              <w:pStyle w:val="68"/>
              <w:spacing w:line="240" w:lineRule="auto"/>
              <w:rPr>
                <w:rFonts w:hint="eastAsia" w:ascii="黑体" w:hAnsi="黑体" w:eastAsia="黑体" w:cs="黑体"/>
                <w:b w:val="0"/>
                <w:bCs w:val="0"/>
                <w:lang w:val="zh-CN"/>
              </w:rPr>
            </w:pPr>
            <w:r>
              <w:rPr>
                <w:rFonts w:hint="eastAsia" w:ascii="黑体" w:hAnsi="黑体" w:eastAsia="黑体" w:cs="黑体"/>
                <w:b w:val="0"/>
                <w:bCs w:val="0"/>
                <w:lang w:val="zh-CN"/>
              </w:rPr>
              <w:t>表4-1</w:t>
            </w:r>
            <w:r>
              <w:rPr>
                <w:rFonts w:hint="eastAsia" w:ascii="黑体" w:hAnsi="黑体" w:eastAsia="黑体" w:cs="黑体"/>
                <w:b w:val="0"/>
                <w:bCs w:val="0"/>
              </w:rPr>
              <w:t>1</w:t>
            </w:r>
            <w:r>
              <w:rPr>
                <w:rFonts w:hint="eastAsia" w:ascii="黑体" w:hAnsi="黑体" w:eastAsia="黑体" w:cs="黑体"/>
                <w:b w:val="0"/>
                <w:bCs w:val="0"/>
                <w:lang w:val="zh-CN"/>
              </w:rPr>
              <w:t xml:space="preserve">  场界噪声影响预测结果  单位：dB（A）</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11"/>
              <w:gridCol w:w="2328"/>
              <w:gridCol w:w="2208"/>
              <w:gridCol w:w="1741"/>
            </w:tblGrid>
            <w:tr w14:paraId="0AB5D1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exact"/>
                <w:jc w:val="center"/>
              </w:trPr>
              <w:tc>
                <w:tcPr>
                  <w:tcW w:w="1120" w:type="pct"/>
                  <w:vAlign w:val="center"/>
                </w:tcPr>
                <w:p w14:paraId="1A12B520">
                  <w:pPr>
                    <w:jc w:val="center"/>
                    <w:rPr>
                      <w:szCs w:val="21"/>
                    </w:rPr>
                  </w:pPr>
                  <w:r>
                    <w:rPr>
                      <w:szCs w:val="21"/>
                    </w:rPr>
                    <w:t>预测点位</w:t>
                  </w:r>
                </w:p>
              </w:tc>
              <w:tc>
                <w:tcPr>
                  <w:tcW w:w="1438" w:type="pct"/>
                  <w:vAlign w:val="center"/>
                </w:tcPr>
                <w:p w14:paraId="2EDE6AC8">
                  <w:pPr>
                    <w:jc w:val="center"/>
                    <w:rPr>
                      <w:szCs w:val="21"/>
                    </w:rPr>
                  </w:pPr>
                  <w:r>
                    <w:rPr>
                      <w:szCs w:val="21"/>
                    </w:rPr>
                    <w:t>预测值</w:t>
                  </w:r>
                </w:p>
              </w:tc>
              <w:tc>
                <w:tcPr>
                  <w:tcW w:w="1364" w:type="pct"/>
                  <w:vAlign w:val="center"/>
                </w:tcPr>
                <w:p w14:paraId="62FEC22F">
                  <w:pPr>
                    <w:jc w:val="center"/>
                    <w:rPr>
                      <w:szCs w:val="21"/>
                    </w:rPr>
                  </w:pPr>
                  <w:r>
                    <w:rPr>
                      <w:szCs w:val="21"/>
                    </w:rPr>
                    <w:t>评价标准</w:t>
                  </w:r>
                </w:p>
              </w:tc>
              <w:tc>
                <w:tcPr>
                  <w:tcW w:w="1076" w:type="pct"/>
                  <w:vAlign w:val="center"/>
                </w:tcPr>
                <w:p w14:paraId="28DD04AF">
                  <w:pPr>
                    <w:jc w:val="center"/>
                    <w:rPr>
                      <w:szCs w:val="21"/>
                    </w:rPr>
                  </w:pPr>
                  <w:r>
                    <w:rPr>
                      <w:szCs w:val="21"/>
                    </w:rPr>
                    <w:t>是否达标</w:t>
                  </w:r>
                </w:p>
              </w:tc>
            </w:tr>
            <w:tr w14:paraId="684206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exact"/>
                <w:jc w:val="center"/>
              </w:trPr>
              <w:tc>
                <w:tcPr>
                  <w:tcW w:w="1120" w:type="pct"/>
                  <w:vAlign w:val="center"/>
                </w:tcPr>
                <w:p w14:paraId="225CAE8B">
                  <w:pPr>
                    <w:jc w:val="center"/>
                    <w:rPr>
                      <w:szCs w:val="21"/>
                    </w:rPr>
                  </w:pPr>
                  <w:r>
                    <w:rPr>
                      <w:szCs w:val="21"/>
                    </w:rPr>
                    <w:t>东面</w:t>
                  </w:r>
                  <w:r>
                    <w:rPr>
                      <w:rFonts w:hint="eastAsia"/>
                      <w:szCs w:val="21"/>
                    </w:rPr>
                    <w:t>厂界</w:t>
                  </w:r>
                </w:p>
              </w:tc>
              <w:tc>
                <w:tcPr>
                  <w:tcW w:w="1438" w:type="pct"/>
                  <w:vAlign w:val="center"/>
                </w:tcPr>
                <w:p w14:paraId="4CFA2BBB">
                  <w:pPr>
                    <w:jc w:val="center"/>
                    <w:rPr>
                      <w:szCs w:val="21"/>
                    </w:rPr>
                  </w:pPr>
                  <w:r>
                    <w:rPr>
                      <w:rFonts w:hint="eastAsia"/>
                      <w:szCs w:val="21"/>
                    </w:rPr>
                    <w:t>38</w:t>
                  </w:r>
                </w:p>
              </w:tc>
              <w:tc>
                <w:tcPr>
                  <w:tcW w:w="1364" w:type="pct"/>
                  <w:vAlign w:val="center"/>
                </w:tcPr>
                <w:p w14:paraId="4F3BD423">
                  <w:pPr>
                    <w:jc w:val="center"/>
                    <w:rPr>
                      <w:szCs w:val="21"/>
                    </w:rPr>
                  </w:pPr>
                  <w:r>
                    <w:rPr>
                      <w:szCs w:val="21"/>
                    </w:rPr>
                    <w:t>昼间≤</w:t>
                  </w:r>
                  <w:r>
                    <w:rPr>
                      <w:rFonts w:hint="eastAsia"/>
                      <w:szCs w:val="21"/>
                    </w:rPr>
                    <w:t>65</w:t>
                  </w:r>
                  <w:r>
                    <w:rPr>
                      <w:szCs w:val="21"/>
                    </w:rPr>
                    <w:t>，夜间≤5</w:t>
                  </w:r>
                  <w:r>
                    <w:rPr>
                      <w:rFonts w:hint="eastAsia"/>
                      <w:szCs w:val="21"/>
                    </w:rPr>
                    <w:t>5</w:t>
                  </w:r>
                </w:p>
              </w:tc>
              <w:tc>
                <w:tcPr>
                  <w:tcW w:w="1076" w:type="pct"/>
                  <w:vAlign w:val="center"/>
                </w:tcPr>
                <w:p w14:paraId="286258E6">
                  <w:pPr>
                    <w:jc w:val="center"/>
                    <w:rPr>
                      <w:szCs w:val="21"/>
                    </w:rPr>
                  </w:pPr>
                  <w:r>
                    <w:rPr>
                      <w:szCs w:val="21"/>
                    </w:rPr>
                    <w:t>达标</w:t>
                  </w:r>
                </w:p>
              </w:tc>
            </w:tr>
            <w:tr w14:paraId="7C94AF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exact"/>
                <w:jc w:val="center"/>
              </w:trPr>
              <w:tc>
                <w:tcPr>
                  <w:tcW w:w="1120" w:type="pct"/>
                  <w:vAlign w:val="center"/>
                </w:tcPr>
                <w:p w14:paraId="5E4762BA">
                  <w:pPr>
                    <w:jc w:val="center"/>
                    <w:rPr>
                      <w:szCs w:val="21"/>
                    </w:rPr>
                  </w:pPr>
                  <w:r>
                    <w:rPr>
                      <w:rFonts w:hint="eastAsia"/>
                      <w:szCs w:val="21"/>
                    </w:rPr>
                    <w:t>南</w:t>
                  </w:r>
                  <w:r>
                    <w:rPr>
                      <w:szCs w:val="21"/>
                    </w:rPr>
                    <w:t>面</w:t>
                  </w:r>
                  <w:r>
                    <w:rPr>
                      <w:rFonts w:hint="eastAsia"/>
                      <w:szCs w:val="21"/>
                    </w:rPr>
                    <w:t>厂界</w:t>
                  </w:r>
                </w:p>
              </w:tc>
              <w:tc>
                <w:tcPr>
                  <w:tcW w:w="1438" w:type="pct"/>
                  <w:vAlign w:val="center"/>
                </w:tcPr>
                <w:p w14:paraId="5194E024">
                  <w:pPr>
                    <w:jc w:val="center"/>
                    <w:rPr>
                      <w:szCs w:val="21"/>
                    </w:rPr>
                  </w:pPr>
                  <w:r>
                    <w:rPr>
                      <w:rFonts w:hint="eastAsia"/>
                      <w:szCs w:val="21"/>
                    </w:rPr>
                    <w:t>49.97</w:t>
                  </w:r>
                </w:p>
              </w:tc>
              <w:tc>
                <w:tcPr>
                  <w:tcW w:w="1364" w:type="pct"/>
                  <w:vAlign w:val="center"/>
                </w:tcPr>
                <w:p w14:paraId="31A78E0E">
                  <w:pPr>
                    <w:jc w:val="center"/>
                    <w:rPr>
                      <w:szCs w:val="21"/>
                    </w:rPr>
                  </w:pPr>
                  <w:r>
                    <w:rPr>
                      <w:szCs w:val="21"/>
                    </w:rPr>
                    <w:t>昼间≤</w:t>
                  </w:r>
                  <w:r>
                    <w:rPr>
                      <w:rFonts w:hint="eastAsia"/>
                      <w:szCs w:val="21"/>
                    </w:rPr>
                    <w:t>70</w:t>
                  </w:r>
                  <w:r>
                    <w:rPr>
                      <w:szCs w:val="21"/>
                    </w:rPr>
                    <w:t>，夜间≤5</w:t>
                  </w:r>
                  <w:r>
                    <w:rPr>
                      <w:rFonts w:hint="eastAsia"/>
                      <w:szCs w:val="21"/>
                    </w:rPr>
                    <w:t>5</w:t>
                  </w:r>
                </w:p>
              </w:tc>
              <w:tc>
                <w:tcPr>
                  <w:tcW w:w="1076" w:type="pct"/>
                  <w:vAlign w:val="center"/>
                </w:tcPr>
                <w:p w14:paraId="363677FA">
                  <w:pPr>
                    <w:jc w:val="center"/>
                    <w:rPr>
                      <w:szCs w:val="21"/>
                    </w:rPr>
                  </w:pPr>
                  <w:r>
                    <w:rPr>
                      <w:szCs w:val="21"/>
                    </w:rPr>
                    <w:t>达标</w:t>
                  </w:r>
                </w:p>
              </w:tc>
            </w:tr>
            <w:tr w14:paraId="27D3D0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exact"/>
                <w:jc w:val="center"/>
              </w:trPr>
              <w:tc>
                <w:tcPr>
                  <w:tcW w:w="1120" w:type="pct"/>
                  <w:vAlign w:val="center"/>
                </w:tcPr>
                <w:p w14:paraId="16842D2E">
                  <w:pPr>
                    <w:jc w:val="center"/>
                    <w:rPr>
                      <w:szCs w:val="21"/>
                    </w:rPr>
                  </w:pPr>
                  <w:r>
                    <w:rPr>
                      <w:rFonts w:hint="eastAsia"/>
                      <w:szCs w:val="21"/>
                    </w:rPr>
                    <w:t>西</w:t>
                  </w:r>
                  <w:r>
                    <w:rPr>
                      <w:szCs w:val="21"/>
                    </w:rPr>
                    <w:t>面</w:t>
                  </w:r>
                  <w:r>
                    <w:rPr>
                      <w:rFonts w:hint="eastAsia"/>
                      <w:szCs w:val="21"/>
                    </w:rPr>
                    <w:t>厂界</w:t>
                  </w:r>
                </w:p>
              </w:tc>
              <w:tc>
                <w:tcPr>
                  <w:tcW w:w="1438" w:type="pct"/>
                  <w:vAlign w:val="center"/>
                </w:tcPr>
                <w:p w14:paraId="58A1156F">
                  <w:pPr>
                    <w:jc w:val="center"/>
                    <w:rPr>
                      <w:szCs w:val="21"/>
                    </w:rPr>
                  </w:pPr>
                  <w:r>
                    <w:rPr>
                      <w:rFonts w:hint="eastAsia"/>
                      <w:szCs w:val="21"/>
                    </w:rPr>
                    <w:t>42.22</w:t>
                  </w:r>
                </w:p>
              </w:tc>
              <w:tc>
                <w:tcPr>
                  <w:tcW w:w="1364" w:type="pct"/>
                  <w:vAlign w:val="center"/>
                </w:tcPr>
                <w:p w14:paraId="2DA39FB5">
                  <w:pPr>
                    <w:jc w:val="center"/>
                    <w:rPr>
                      <w:szCs w:val="21"/>
                    </w:rPr>
                  </w:pPr>
                  <w:r>
                    <w:rPr>
                      <w:szCs w:val="21"/>
                    </w:rPr>
                    <w:t>昼间≤</w:t>
                  </w:r>
                  <w:r>
                    <w:rPr>
                      <w:rFonts w:hint="eastAsia"/>
                      <w:szCs w:val="21"/>
                    </w:rPr>
                    <w:t>65</w:t>
                  </w:r>
                  <w:r>
                    <w:rPr>
                      <w:szCs w:val="21"/>
                    </w:rPr>
                    <w:t>，夜间≤5</w:t>
                  </w:r>
                  <w:r>
                    <w:rPr>
                      <w:rFonts w:hint="eastAsia"/>
                      <w:szCs w:val="21"/>
                    </w:rPr>
                    <w:t>5</w:t>
                  </w:r>
                </w:p>
              </w:tc>
              <w:tc>
                <w:tcPr>
                  <w:tcW w:w="1076" w:type="pct"/>
                  <w:vAlign w:val="center"/>
                </w:tcPr>
                <w:p w14:paraId="59A77914">
                  <w:pPr>
                    <w:jc w:val="center"/>
                    <w:rPr>
                      <w:szCs w:val="21"/>
                    </w:rPr>
                  </w:pPr>
                  <w:r>
                    <w:rPr>
                      <w:szCs w:val="21"/>
                    </w:rPr>
                    <w:t>达标</w:t>
                  </w:r>
                </w:p>
              </w:tc>
            </w:tr>
            <w:tr w14:paraId="49F732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exact"/>
                <w:jc w:val="center"/>
              </w:trPr>
              <w:tc>
                <w:tcPr>
                  <w:tcW w:w="1120" w:type="pct"/>
                  <w:vAlign w:val="center"/>
                </w:tcPr>
                <w:p w14:paraId="71FF37C3">
                  <w:pPr>
                    <w:jc w:val="center"/>
                    <w:rPr>
                      <w:szCs w:val="21"/>
                    </w:rPr>
                  </w:pPr>
                  <w:r>
                    <w:rPr>
                      <w:szCs w:val="21"/>
                    </w:rPr>
                    <w:t>北面</w:t>
                  </w:r>
                  <w:r>
                    <w:rPr>
                      <w:rFonts w:hint="eastAsia"/>
                      <w:szCs w:val="21"/>
                    </w:rPr>
                    <w:t>厂界</w:t>
                  </w:r>
                </w:p>
              </w:tc>
              <w:tc>
                <w:tcPr>
                  <w:tcW w:w="1438" w:type="pct"/>
                  <w:vAlign w:val="center"/>
                </w:tcPr>
                <w:p w14:paraId="1636810D">
                  <w:pPr>
                    <w:jc w:val="center"/>
                    <w:rPr>
                      <w:szCs w:val="21"/>
                    </w:rPr>
                  </w:pPr>
                  <w:r>
                    <w:rPr>
                      <w:rFonts w:hint="eastAsia"/>
                      <w:szCs w:val="21"/>
                    </w:rPr>
                    <w:t>46.6</w:t>
                  </w:r>
                </w:p>
              </w:tc>
              <w:tc>
                <w:tcPr>
                  <w:tcW w:w="1364" w:type="pct"/>
                  <w:vAlign w:val="center"/>
                </w:tcPr>
                <w:p w14:paraId="27901DB9">
                  <w:pPr>
                    <w:jc w:val="center"/>
                    <w:rPr>
                      <w:szCs w:val="21"/>
                    </w:rPr>
                  </w:pPr>
                  <w:r>
                    <w:rPr>
                      <w:szCs w:val="21"/>
                    </w:rPr>
                    <w:t>昼间≤</w:t>
                  </w:r>
                  <w:r>
                    <w:rPr>
                      <w:rFonts w:hint="eastAsia"/>
                      <w:szCs w:val="21"/>
                    </w:rPr>
                    <w:t>65</w:t>
                  </w:r>
                  <w:r>
                    <w:rPr>
                      <w:szCs w:val="21"/>
                    </w:rPr>
                    <w:t>，夜间≤5</w:t>
                  </w:r>
                  <w:r>
                    <w:rPr>
                      <w:rFonts w:hint="eastAsia"/>
                      <w:szCs w:val="21"/>
                    </w:rPr>
                    <w:t>5</w:t>
                  </w:r>
                </w:p>
              </w:tc>
              <w:tc>
                <w:tcPr>
                  <w:tcW w:w="1076" w:type="pct"/>
                  <w:vAlign w:val="center"/>
                </w:tcPr>
                <w:p w14:paraId="49DFD890">
                  <w:pPr>
                    <w:jc w:val="center"/>
                    <w:rPr>
                      <w:szCs w:val="21"/>
                    </w:rPr>
                  </w:pPr>
                  <w:r>
                    <w:rPr>
                      <w:szCs w:val="21"/>
                    </w:rPr>
                    <w:t>达标</w:t>
                  </w:r>
                </w:p>
              </w:tc>
            </w:tr>
          </w:tbl>
          <w:p w14:paraId="7B66F0FC">
            <w:pPr>
              <w:adjustRightInd w:val="0"/>
              <w:snapToGrid w:val="0"/>
              <w:spacing w:line="360" w:lineRule="auto"/>
              <w:ind w:firstLine="454"/>
              <w:rPr>
                <w:bCs/>
                <w:color w:val="000000"/>
                <w:sz w:val="24"/>
              </w:rPr>
            </w:pPr>
            <w:r>
              <w:rPr>
                <w:sz w:val="24"/>
              </w:rPr>
              <w:t>根据表</w:t>
            </w:r>
            <w:r>
              <w:rPr>
                <w:rFonts w:hint="eastAsia"/>
                <w:sz w:val="24"/>
              </w:rPr>
              <w:t>4-10</w:t>
            </w:r>
            <w:r>
              <w:rPr>
                <w:sz w:val="24"/>
              </w:rPr>
              <w:t>预测结果，拟建项目</w:t>
            </w:r>
            <w:r>
              <w:rPr>
                <w:rFonts w:hint="eastAsia"/>
                <w:sz w:val="24"/>
              </w:rPr>
              <w:t>东、西</w:t>
            </w:r>
            <w:r>
              <w:rPr>
                <w:rFonts w:hint="eastAsia"/>
                <w:color w:val="000000"/>
                <w:sz w:val="24"/>
              </w:rPr>
              <w:t>、北侧厂</w:t>
            </w:r>
            <w:r>
              <w:rPr>
                <w:color w:val="000000"/>
                <w:sz w:val="24"/>
              </w:rPr>
              <w:t>界</w:t>
            </w:r>
            <w:r>
              <w:rPr>
                <w:rFonts w:hint="eastAsia"/>
                <w:color w:val="000000"/>
                <w:sz w:val="24"/>
              </w:rPr>
              <w:t>昼夜间</w:t>
            </w:r>
            <w:r>
              <w:rPr>
                <w:color w:val="000000"/>
                <w:sz w:val="24"/>
              </w:rPr>
              <w:t>噪声均能满足《工业企业厂界环境噪声排放标准》（GB12348-2008）</w:t>
            </w:r>
            <w:r>
              <w:rPr>
                <w:rFonts w:hint="eastAsia"/>
                <w:color w:val="000000"/>
                <w:sz w:val="24"/>
              </w:rPr>
              <w:t>3</w:t>
            </w:r>
            <w:r>
              <w:rPr>
                <w:color w:val="000000"/>
                <w:sz w:val="24"/>
              </w:rPr>
              <w:t>类标准</w:t>
            </w:r>
            <w:r>
              <w:rPr>
                <w:rFonts w:hint="eastAsia"/>
                <w:color w:val="000000"/>
                <w:sz w:val="24"/>
              </w:rPr>
              <w:t>，南侧厂界昼夜间噪声可以满足</w:t>
            </w:r>
            <w:r>
              <w:rPr>
                <w:color w:val="000000"/>
                <w:sz w:val="24"/>
              </w:rPr>
              <w:t>《工业企业厂界环境噪声排放标准》（GB12348-2008）</w:t>
            </w:r>
            <w:r>
              <w:rPr>
                <w:rFonts w:hint="eastAsia"/>
                <w:color w:val="000000"/>
                <w:sz w:val="24"/>
              </w:rPr>
              <w:t>4类标准的</w:t>
            </w:r>
            <w:r>
              <w:rPr>
                <w:color w:val="000000"/>
                <w:sz w:val="24"/>
              </w:rPr>
              <w:t>要求。</w:t>
            </w:r>
          </w:p>
          <w:p w14:paraId="35ADD273">
            <w:pPr>
              <w:numPr>
                <w:ilvl w:val="0"/>
                <w:numId w:val="5"/>
              </w:numPr>
              <w:adjustRightInd w:val="0"/>
              <w:snapToGrid w:val="0"/>
              <w:spacing w:line="360" w:lineRule="auto"/>
              <w:ind w:firstLine="454"/>
              <w:rPr>
                <w:rFonts w:hint="eastAsia"/>
                <w:sz w:val="24"/>
              </w:rPr>
            </w:pPr>
            <w:r>
              <w:rPr>
                <w:rFonts w:hint="eastAsia"/>
                <w:sz w:val="24"/>
              </w:rPr>
              <w:t>防治措施</w:t>
            </w:r>
          </w:p>
          <w:p w14:paraId="70BF1ED8">
            <w:pPr>
              <w:adjustRightInd w:val="0"/>
              <w:snapToGrid w:val="0"/>
              <w:spacing w:line="360" w:lineRule="auto"/>
              <w:ind w:firstLine="454"/>
              <w:rPr>
                <w:rFonts w:hint="eastAsia"/>
                <w:sz w:val="24"/>
              </w:rPr>
            </w:pPr>
            <w:r>
              <w:rPr>
                <w:rFonts w:hint="eastAsia"/>
                <w:sz w:val="24"/>
              </w:rPr>
              <w:t>①在站区进站口设置减速标志和禁鸣标志，加强进站车辆的管理。采取加油时车辆熄火和平稳启动等措施，使区域内的交通噪声降到最低值。</w:t>
            </w:r>
          </w:p>
          <w:p w14:paraId="1C4E8CC6">
            <w:pPr>
              <w:adjustRightInd w:val="0"/>
              <w:snapToGrid w:val="0"/>
              <w:spacing w:line="360" w:lineRule="auto"/>
              <w:ind w:firstLine="454"/>
              <w:rPr>
                <w:rFonts w:hint="eastAsia"/>
                <w:sz w:val="24"/>
              </w:rPr>
            </w:pPr>
            <w:r>
              <w:rPr>
                <w:rFonts w:hint="eastAsia"/>
                <w:sz w:val="24"/>
              </w:rPr>
              <w:t>②对设备噪声基座安装减震垫，并加强对潜油泵、加油机的维护和保养，避免因设备问题而引发突发性高噪声造成对环境影响。</w:t>
            </w:r>
          </w:p>
          <w:p w14:paraId="1EDF5C9C">
            <w:pPr>
              <w:adjustRightInd w:val="0"/>
              <w:snapToGrid w:val="0"/>
              <w:spacing w:line="360" w:lineRule="auto"/>
              <w:ind w:firstLine="454"/>
              <w:rPr>
                <w:rFonts w:hint="eastAsia"/>
                <w:sz w:val="24"/>
              </w:rPr>
            </w:pPr>
            <w:r>
              <w:rPr>
                <w:rFonts w:hint="eastAsia"/>
                <w:sz w:val="24"/>
              </w:rPr>
              <w:t>③柴油发电机仅为停电时使用，使用频次少，噪声通过建筑隔声。</w:t>
            </w:r>
          </w:p>
          <w:p w14:paraId="73B9A1D6">
            <w:pPr>
              <w:adjustRightInd w:val="0"/>
              <w:snapToGrid w:val="0"/>
              <w:spacing w:line="360" w:lineRule="auto"/>
              <w:ind w:firstLine="454"/>
              <w:rPr>
                <w:rFonts w:hint="eastAsia"/>
                <w:sz w:val="24"/>
              </w:rPr>
            </w:pPr>
            <w:r>
              <w:rPr>
                <w:rFonts w:hint="eastAsia"/>
                <w:sz w:val="24"/>
              </w:rPr>
              <w:t>④加油站周边设置绿化带，进一步降低噪声影响。</w:t>
            </w:r>
          </w:p>
          <w:p w14:paraId="018D439F">
            <w:pPr>
              <w:adjustRightInd w:val="0"/>
              <w:snapToGrid w:val="0"/>
              <w:spacing w:line="360" w:lineRule="auto"/>
              <w:ind w:firstLine="454"/>
              <w:rPr>
                <w:rFonts w:hint="eastAsia"/>
                <w:sz w:val="24"/>
              </w:rPr>
            </w:pPr>
            <w:r>
              <w:rPr>
                <w:rFonts w:hint="eastAsia"/>
                <w:sz w:val="24"/>
              </w:rPr>
              <w:t>采取上述措施后，项目营运期对声环境影响小，对周边环境影响可接受。</w:t>
            </w:r>
          </w:p>
          <w:p w14:paraId="77544078">
            <w:pPr>
              <w:adjustRightInd w:val="0"/>
              <w:snapToGrid w:val="0"/>
              <w:spacing w:line="360" w:lineRule="auto"/>
              <w:ind w:firstLine="480" w:firstLineChars="200"/>
              <w:rPr>
                <w:rFonts w:hint="eastAsia"/>
                <w:sz w:val="24"/>
              </w:rPr>
            </w:pPr>
            <w:r>
              <w:rPr>
                <w:rFonts w:hint="eastAsia"/>
                <w:sz w:val="24"/>
              </w:rPr>
              <w:t>（4）监测计划</w:t>
            </w:r>
          </w:p>
          <w:p w14:paraId="324ED125">
            <w:pPr>
              <w:adjustRightInd w:val="0"/>
              <w:snapToGrid w:val="0"/>
              <w:spacing w:line="360" w:lineRule="auto"/>
              <w:ind w:firstLine="454"/>
              <w:rPr>
                <w:rFonts w:hint="eastAsia"/>
                <w:sz w:val="24"/>
              </w:rPr>
            </w:pPr>
            <w:r>
              <w:rPr>
                <w:rFonts w:hint="eastAsia"/>
                <w:sz w:val="24"/>
              </w:rPr>
              <w:t>本项目营运期噪声监测要求见表4-12.</w:t>
            </w:r>
          </w:p>
          <w:p w14:paraId="0E23DA0A">
            <w:pPr>
              <w:pStyle w:val="68"/>
              <w:spacing w:line="240" w:lineRule="auto"/>
              <w:rPr>
                <w:rFonts w:hint="eastAsia" w:ascii="黑体" w:hAnsi="黑体" w:eastAsia="黑体" w:cs="黑体"/>
                <w:b w:val="0"/>
                <w:bCs w:val="0"/>
                <w:lang w:val="zh-CN"/>
              </w:rPr>
            </w:pPr>
            <w:r>
              <w:rPr>
                <w:rFonts w:hint="eastAsia" w:ascii="黑体" w:hAnsi="黑体" w:eastAsia="黑体" w:cs="黑体"/>
                <w:b w:val="0"/>
                <w:bCs w:val="0"/>
                <w:lang w:val="zh-CN"/>
              </w:rPr>
              <w:t xml:space="preserve">表4-12 </w:t>
            </w:r>
            <w:r>
              <w:rPr>
                <w:rFonts w:hint="eastAsia" w:ascii="黑体" w:hAnsi="黑体" w:eastAsia="黑体" w:cs="黑体"/>
                <w:b w:val="0"/>
                <w:bCs w:val="0"/>
              </w:rPr>
              <w:t xml:space="preserve"> </w:t>
            </w:r>
            <w:r>
              <w:rPr>
                <w:rFonts w:hint="eastAsia" w:ascii="黑体" w:hAnsi="黑体" w:eastAsia="黑体" w:cs="黑体"/>
                <w:b w:val="0"/>
                <w:bCs w:val="0"/>
                <w:lang w:val="zh-CN"/>
              </w:rPr>
              <w:t>营运期噪声监测要求</w:t>
            </w:r>
          </w:p>
          <w:tbl>
            <w:tblPr>
              <w:tblStyle w:val="23"/>
              <w:tblW w:w="4998"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27"/>
              <w:gridCol w:w="1176"/>
              <w:gridCol w:w="1061"/>
              <w:gridCol w:w="1060"/>
              <w:gridCol w:w="3764"/>
            </w:tblGrid>
            <w:tr w14:paraId="453299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4" w:type="pct"/>
                  <w:vAlign w:val="center"/>
                </w:tcPr>
                <w:p w14:paraId="7C42B698">
                  <w:pPr>
                    <w:adjustRightInd w:val="0"/>
                    <w:snapToGrid w:val="0"/>
                    <w:jc w:val="center"/>
                    <w:rPr>
                      <w:szCs w:val="21"/>
                    </w:rPr>
                  </w:pPr>
                  <w:r>
                    <w:rPr>
                      <w:rFonts w:hint="eastAsia"/>
                      <w:szCs w:val="21"/>
                    </w:rPr>
                    <w:t>监测对象</w:t>
                  </w:r>
                </w:p>
              </w:tc>
              <w:tc>
                <w:tcPr>
                  <w:tcW w:w="727" w:type="pct"/>
                  <w:vAlign w:val="center"/>
                </w:tcPr>
                <w:p w14:paraId="6B73F0EE">
                  <w:pPr>
                    <w:adjustRightInd w:val="0"/>
                    <w:snapToGrid w:val="0"/>
                    <w:jc w:val="center"/>
                    <w:rPr>
                      <w:szCs w:val="21"/>
                    </w:rPr>
                  </w:pPr>
                  <w:r>
                    <w:rPr>
                      <w:rFonts w:hint="eastAsia"/>
                      <w:szCs w:val="21"/>
                    </w:rPr>
                    <w:t>监测点位</w:t>
                  </w:r>
                </w:p>
              </w:tc>
              <w:tc>
                <w:tcPr>
                  <w:tcW w:w="656" w:type="pct"/>
                  <w:vAlign w:val="center"/>
                </w:tcPr>
                <w:p w14:paraId="3AA8B6DC">
                  <w:pPr>
                    <w:adjustRightInd w:val="0"/>
                    <w:snapToGrid w:val="0"/>
                    <w:jc w:val="center"/>
                    <w:rPr>
                      <w:szCs w:val="21"/>
                    </w:rPr>
                  </w:pPr>
                  <w:r>
                    <w:rPr>
                      <w:rFonts w:hint="eastAsia"/>
                      <w:szCs w:val="21"/>
                    </w:rPr>
                    <w:t>监测因子</w:t>
                  </w:r>
                </w:p>
              </w:tc>
              <w:tc>
                <w:tcPr>
                  <w:tcW w:w="655" w:type="pct"/>
                  <w:vAlign w:val="center"/>
                </w:tcPr>
                <w:p w14:paraId="6DA6CFCF">
                  <w:pPr>
                    <w:adjustRightInd w:val="0"/>
                    <w:snapToGrid w:val="0"/>
                    <w:jc w:val="center"/>
                    <w:rPr>
                      <w:rFonts w:hint="eastAsia"/>
                      <w:szCs w:val="21"/>
                    </w:rPr>
                  </w:pPr>
                  <w:r>
                    <w:rPr>
                      <w:rFonts w:hint="eastAsia"/>
                      <w:szCs w:val="21"/>
                    </w:rPr>
                    <w:t>监测</w:t>
                  </w:r>
                </w:p>
                <w:p w14:paraId="5CCF81D7">
                  <w:pPr>
                    <w:adjustRightInd w:val="0"/>
                    <w:snapToGrid w:val="0"/>
                    <w:jc w:val="center"/>
                    <w:rPr>
                      <w:szCs w:val="21"/>
                    </w:rPr>
                  </w:pPr>
                  <w:r>
                    <w:rPr>
                      <w:rFonts w:hint="eastAsia"/>
                      <w:szCs w:val="21"/>
                    </w:rPr>
                    <w:t>频次</w:t>
                  </w:r>
                </w:p>
              </w:tc>
              <w:tc>
                <w:tcPr>
                  <w:tcW w:w="2326" w:type="pct"/>
                  <w:vAlign w:val="center"/>
                </w:tcPr>
                <w:p w14:paraId="765A8040">
                  <w:pPr>
                    <w:adjustRightInd w:val="0"/>
                    <w:snapToGrid w:val="0"/>
                    <w:jc w:val="center"/>
                    <w:rPr>
                      <w:szCs w:val="21"/>
                    </w:rPr>
                  </w:pPr>
                  <w:r>
                    <w:rPr>
                      <w:rFonts w:hint="eastAsia"/>
                      <w:szCs w:val="21"/>
                    </w:rPr>
                    <w:t>执行标准</w:t>
                  </w:r>
                </w:p>
              </w:tc>
            </w:tr>
            <w:tr w14:paraId="087C8A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4" w:type="pct"/>
                  <w:vAlign w:val="center"/>
                </w:tcPr>
                <w:p w14:paraId="24DFDADA">
                  <w:pPr>
                    <w:adjustRightInd w:val="0"/>
                    <w:snapToGrid w:val="0"/>
                    <w:jc w:val="center"/>
                    <w:rPr>
                      <w:szCs w:val="21"/>
                    </w:rPr>
                  </w:pPr>
                  <w:r>
                    <w:rPr>
                      <w:rFonts w:hint="eastAsia"/>
                      <w:szCs w:val="21"/>
                    </w:rPr>
                    <w:t>噪声</w:t>
                  </w:r>
                </w:p>
              </w:tc>
              <w:tc>
                <w:tcPr>
                  <w:tcW w:w="727" w:type="pct"/>
                  <w:vAlign w:val="center"/>
                </w:tcPr>
                <w:p w14:paraId="65F4A9A6">
                  <w:pPr>
                    <w:adjustRightInd w:val="0"/>
                    <w:snapToGrid w:val="0"/>
                    <w:jc w:val="center"/>
                    <w:rPr>
                      <w:szCs w:val="21"/>
                    </w:rPr>
                  </w:pPr>
                  <w:r>
                    <w:rPr>
                      <w:rFonts w:hint="eastAsia"/>
                      <w:szCs w:val="21"/>
                    </w:rPr>
                    <w:t>四周厂界</w:t>
                  </w:r>
                </w:p>
              </w:tc>
              <w:tc>
                <w:tcPr>
                  <w:tcW w:w="656" w:type="pct"/>
                  <w:vAlign w:val="center"/>
                </w:tcPr>
                <w:p w14:paraId="53EDED8F">
                  <w:pPr>
                    <w:adjustRightInd w:val="0"/>
                    <w:snapToGrid w:val="0"/>
                    <w:jc w:val="center"/>
                    <w:rPr>
                      <w:szCs w:val="21"/>
                    </w:rPr>
                  </w:pPr>
                  <w:r>
                    <w:rPr>
                      <w:rFonts w:hint="eastAsia"/>
                      <w:szCs w:val="21"/>
                    </w:rPr>
                    <w:t>等效声级</w:t>
                  </w:r>
                </w:p>
              </w:tc>
              <w:tc>
                <w:tcPr>
                  <w:tcW w:w="655" w:type="pct"/>
                  <w:vAlign w:val="center"/>
                </w:tcPr>
                <w:p w14:paraId="4129ACFA">
                  <w:pPr>
                    <w:adjustRightInd w:val="0"/>
                    <w:snapToGrid w:val="0"/>
                    <w:jc w:val="center"/>
                    <w:rPr>
                      <w:szCs w:val="21"/>
                    </w:rPr>
                  </w:pPr>
                  <w:r>
                    <w:rPr>
                      <w:rFonts w:hint="eastAsia"/>
                      <w:szCs w:val="21"/>
                    </w:rPr>
                    <w:t>1次/季</w:t>
                  </w:r>
                </w:p>
              </w:tc>
              <w:tc>
                <w:tcPr>
                  <w:tcW w:w="2326" w:type="pct"/>
                  <w:vAlign w:val="center"/>
                </w:tcPr>
                <w:p w14:paraId="22565B20">
                  <w:pPr>
                    <w:adjustRightInd w:val="0"/>
                    <w:snapToGrid w:val="0"/>
                    <w:jc w:val="center"/>
                    <w:rPr>
                      <w:szCs w:val="21"/>
                    </w:rPr>
                  </w:pPr>
                  <w:r>
                    <w:rPr>
                      <w:rFonts w:hint="eastAsia"/>
                      <w:color w:val="000000"/>
                      <w:szCs w:val="21"/>
                    </w:rPr>
                    <w:t>东、西、北侧厂界执行</w:t>
                  </w:r>
                  <w:r>
                    <w:rPr>
                      <w:color w:val="000000"/>
                      <w:szCs w:val="21"/>
                    </w:rPr>
                    <w:t>《工业企业厂界环境噪声排放标准》（GB12348-2008）</w:t>
                  </w:r>
                  <w:r>
                    <w:rPr>
                      <w:rFonts w:hint="eastAsia"/>
                      <w:color w:val="000000"/>
                      <w:szCs w:val="21"/>
                    </w:rPr>
                    <w:t>3</w:t>
                  </w:r>
                  <w:r>
                    <w:rPr>
                      <w:color w:val="000000"/>
                      <w:szCs w:val="21"/>
                    </w:rPr>
                    <w:t>类标准</w:t>
                  </w:r>
                  <w:r>
                    <w:rPr>
                      <w:rFonts w:hint="eastAsia"/>
                      <w:color w:val="000000"/>
                      <w:szCs w:val="21"/>
                    </w:rPr>
                    <w:t>；南侧厂界执行</w:t>
                  </w:r>
                  <w:r>
                    <w:rPr>
                      <w:color w:val="000000"/>
                      <w:szCs w:val="21"/>
                    </w:rPr>
                    <w:t>《工业企业厂界环境噪声排放标准》（GB12348-2008）</w:t>
                  </w:r>
                  <w:r>
                    <w:rPr>
                      <w:rFonts w:hint="eastAsia"/>
                      <w:color w:val="000000"/>
                      <w:szCs w:val="21"/>
                    </w:rPr>
                    <w:t>4类标准的</w:t>
                  </w:r>
                  <w:r>
                    <w:rPr>
                      <w:color w:val="000000"/>
                      <w:szCs w:val="21"/>
                    </w:rPr>
                    <w:t>要求。</w:t>
                  </w:r>
                </w:p>
              </w:tc>
            </w:tr>
          </w:tbl>
          <w:p w14:paraId="58783A84">
            <w:pPr>
              <w:adjustRightInd w:val="0"/>
              <w:snapToGrid w:val="0"/>
              <w:spacing w:line="360" w:lineRule="auto"/>
              <w:rPr>
                <w:rFonts w:hint="eastAsia" w:ascii="宋体" w:hAnsi="宋体" w:cs="宋体"/>
                <w:b/>
                <w:spacing w:val="-10"/>
                <w:sz w:val="24"/>
              </w:rPr>
            </w:pPr>
            <w:r>
              <w:rPr>
                <w:rFonts w:hint="eastAsia" w:ascii="宋体" w:hAnsi="宋体" w:cs="宋体"/>
                <w:b/>
                <w:spacing w:val="-10"/>
                <w:sz w:val="24"/>
              </w:rPr>
              <w:t>4.5固体废物环境影响分析及其防治措施</w:t>
            </w:r>
          </w:p>
          <w:p w14:paraId="60A94F11">
            <w:pPr>
              <w:adjustRightInd w:val="0"/>
              <w:snapToGrid w:val="0"/>
              <w:spacing w:line="360" w:lineRule="auto"/>
              <w:ind w:firstLine="454"/>
              <w:rPr>
                <w:rFonts w:hint="eastAsia"/>
                <w:sz w:val="24"/>
              </w:rPr>
            </w:pPr>
            <w:r>
              <w:rPr>
                <w:rFonts w:hint="eastAsia"/>
                <w:sz w:val="24"/>
              </w:rPr>
              <w:t>（1）固废影响分析</w:t>
            </w:r>
          </w:p>
          <w:p w14:paraId="0F62ED35">
            <w:pPr>
              <w:adjustRightInd w:val="0"/>
              <w:snapToGrid w:val="0"/>
              <w:spacing w:line="360" w:lineRule="auto"/>
              <w:ind w:firstLine="454"/>
              <w:rPr>
                <w:rFonts w:hint="eastAsia"/>
                <w:sz w:val="24"/>
              </w:rPr>
            </w:pPr>
            <w:r>
              <w:rPr>
                <w:rFonts w:hint="eastAsia"/>
                <w:sz w:val="24"/>
              </w:rPr>
              <w:t>根据《固体废物鉴别标准 通则》（GB34300-2017）和《国家危险废物名录》（2021版），本项目产生的固体废物包括一般固废、危险废物及生活垃圾。</w:t>
            </w:r>
          </w:p>
          <w:p w14:paraId="1EB395AB">
            <w:pPr>
              <w:tabs>
                <w:tab w:val="left" w:pos="2520"/>
              </w:tabs>
              <w:adjustRightInd w:val="0"/>
              <w:spacing w:line="360" w:lineRule="auto"/>
              <w:ind w:firstLine="482" w:firstLineChars="200"/>
              <w:rPr>
                <w:b/>
                <w:bCs/>
                <w:sz w:val="24"/>
              </w:rPr>
            </w:pPr>
            <w:r>
              <w:rPr>
                <w:b/>
                <w:bCs/>
                <w:sz w:val="24"/>
              </w:rPr>
              <w:t>危险废物</w:t>
            </w:r>
          </w:p>
          <w:p w14:paraId="26A34361">
            <w:pPr>
              <w:adjustRightInd w:val="0"/>
              <w:spacing w:line="360" w:lineRule="auto"/>
              <w:ind w:firstLine="480" w:firstLineChars="200"/>
              <w:rPr>
                <w:bCs/>
                <w:sz w:val="24"/>
              </w:rPr>
            </w:pPr>
            <w:r>
              <w:rPr>
                <w:rFonts w:hint="eastAsia"/>
                <w:bCs/>
                <w:sz w:val="24"/>
              </w:rPr>
              <w:t>①</w:t>
            </w:r>
            <w:r>
              <w:rPr>
                <w:bCs/>
                <w:sz w:val="24"/>
              </w:rPr>
              <w:t>设备检修废物（废物类别及代码：</w:t>
            </w:r>
            <w:r>
              <w:rPr>
                <w:rFonts w:hint="eastAsia"/>
                <w:bCs/>
                <w:sz w:val="24"/>
              </w:rPr>
              <w:t>HW08</w:t>
            </w:r>
            <w:r>
              <w:rPr>
                <w:bCs/>
                <w:sz w:val="24"/>
              </w:rPr>
              <w:t>废矿物油与含矿物油废物</w:t>
            </w:r>
            <w:r>
              <w:rPr>
                <w:rFonts w:hint="eastAsia"/>
                <w:bCs/>
                <w:sz w:val="24"/>
              </w:rPr>
              <w:t xml:space="preserve">  900-214-0</w:t>
            </w:r>
            <w:r>
              <w:rPr>
                <w:bCs/>
                <w:sz w:val="24"/>
              </w:rPr>
              <w:t>8）</w:t>
            </w:r>
          </w:p>
          <w:p w14:paraId="1F7AB440">
            <w:pPr>
              <w:adjustRightInd w:val="0"/>
              <w:spacing w:line="360" w:lineRule="auto"/>
              <w:ind w:firstLine="480" w:firstLineChars="200"/>
              <w:rPr>
                <w:bCs/>
                <w:sz w:val="24"/>
              </w:rPr>
            </w:pPr>
            <w:r>
              <w:rPr>
                <w:sz w:val="24"/>
              </w:rPr>
              <w:t>加油机、管道等设备平均每3个月检修一次，检修废物由</w:t>
            </w:r>
            <w:r>
              <w:rPr>
                <w:bCs/>
                <w:sz w:val="24"/>
              </w:rPr>
              <w:t>含油废水、含油废渣、伴生污染物、清洗废液等</w:t>
            </w:r>
            <w:r>
              <w:rPr>
                <w:sz w:val="24"/>
              </w:rPr>
              <w:t>构成。清洗废液由于含油类物质浓度较高，现场无法进行处理或回用，应与其余检修废物一并作为危险废物进行处理。</w:t>
            </w:r>
          </w:p>
          <w:p w14:paraId="2F7F91EC">
            <w:pPr>
              <w:tabs>
                <w:tab w:val="left" w:pos="2520"/>
              </w:tabs>
              <w:adjustRightInd w:val="0"/>
              <w:spacing w:line="360" w:lineRule="auto"/>
              <w:ind w:firstLine="480" w:firstLineChars="200"/>
              <w:rPr>
                <w:sz w:val="24"/>
              </w:rPr>
            </w:pPr>
            <w:r>
              <w:rPr>
                <w:sz w:val="24"/>
              </w:rPr>
              <w:t>根据类比计算，拟建项目加油机等设备检修废物产生量约0.1t/次，则一年检修4次产生的检修废物合计约0.4t/a。</w:t>
            </w:r>
          </w:p>
          <w:p w14:paraId="5D908621">
            <w:pPr>
              <w:tabs>
                <w:tab w:val="left" w:pos="2520"/>
              </w:tabs>
              <w:adjustRightInd w:val="0"/>
              <w:spacing w:line="360" w:lineRule="auto"/>
              <w:ind w:firstLine="480" w:firstLineChars="200"/>
              <w:rPr>
                <w:sz w:val="24"/>
              </w:rPr>
            </w:pPr>
            <w:r>
              <w:rPr>
                <w:rFonts w:hint="eastAsia"/>
                <w:sz w:val="24"/>
              </w:rPr>
              <w:t>②</w:t>
            </w:r>
            <w:r>
              <w:rPr>
                <w:sz w:val="24"/>
              </w:rPr>
              <w:t>清罐废物（废物类别及代码：</w:t>
            </w:r>
            <w:r>
              <w:rPr>
                <w:rFonts w:hint="eastAsia"/>
                <w:bCs/>
                <w:sz w:val="24"/>
              </w:rPr>
              <w:t>HW08</w:t>
            </w:r>
            <w:r>
              <w:rPr>
                <w:bCs/>
                <w:sz w:val="24"/>
              </w:rPr>
              <w:t>废矿物油与含矿物油废物</w:t>
            </w:r>
            <w:r>
              <w:rPr>
                <w:rFonts w:hint="eastAsia"/>
                <w:sz w:val="24"/>
              </w:rPr>
              <w:t xml:space="preserve">  </w:t>
            </w:r>
            <w:r>
              <w:rPr>
                <w:sz w:val="24"/>
              </w:rPr>
              <w:t>900-</w:t>
            </w:r>
            <w:r>
              <w:rPr>
                <w:rFonts w:hint="eastAsia"/>
                <w:sz w:val="24"/>
              </w:rPr>
              <w:t>221</w:t>
            </w:r>
            <w:r>
              <w:rPr>
                <w:sz w:val="24"/>
              </w:rPr>
              <w:t>-08）</w:t>
            </w:r>
          </w:p>
          <w:p w14:paraId="64A74B7B">
            <w:pPr>
              <w:tabs>
                <w:tab w:val="left" w:pos="2520"/>
              </w:tabs>
              <w:adjustRightInd w:val="0"/>
              <w:spacing w:line="360" w:lineRule="auto"/>
              <w:ind w:firstLine="480" w:firstLineChars="200"/>
              <w:rPr>
                <w:sz w:val="24"/>
              </w:rPr>
            </w:pPr>
            <w:r>
              <w:rPr>
                <w:sz w:val="24"/>
              </w:rPr>
              <w:t>清罐废物主要由</w:t>
            </w:r>
            <w:r>
              <w:rPr>
                <w:bCs/>
                <w:sz w:val="24"/>
              </w:rPr>
              <w:t>含油废水、含油废渣、伴生污染物、清洗废液</w:t>
            </w:r>
            <w:r>
              <w:rPr>
                <w:sz w:val="24"/>
              </w:rPr>
              <w:t>构成。清洗废物由于含油类物质浓度较高，现场无法进行处理或回用，应与其余清罐废物一并作为危险废物进行处理。</w:t>
            </w:r>
          </w:p>
          <w:p w14:paraId="3029B11F">
            <w:pPr>
              <w:tabs>
                <w:tab w:val="left" w:pos="2520"/>
              </w:tabs>
              <w:adjustRightInd w:val="0"/>
              <w:spacing w:line="360" w:lineRule="auto"/>
              <w:ind w:firstLine="480" w:firstLineChars="200"/>
              <w:rPr>
                <w:sz w:val="24"/>
              </w:rPr>
            </w:pPr>
            <w:r>
              <w:rPr>
                <w:sz w:val="24"/>
              </w:rPr>
              <w:t>根据类比计算，拟建项目清罐废物产生量估计约0.5t/次·罐，项目共设4个储油罐，清罐废物合计2.0t/次·5年，平均为0.4t/a。</w:t>
            </w:r>
          </w:p>
          <w:p w14:paraId="241A54C2">
            <w:pPr>
              <w:adjustRightInd w:val="0"/>
              <w:spacing w:line="360" w:lineRule="auto"/>
              <w:ind w:firstLine="480" w:firstLineChars="200"/>
              <w:rPr>
                <w:sz w:val="24"/>
              </w:rPr>
            </w:pPr>
            <w:r>
              <w:rPr>
                <w:rFonts w:hint="eastAsia"/>
                <w:sz w:val="24"/>
              </w:rPr>
              <w:t>③隔油池浮油及</w:t>
            </w:r>
            <w:r>
              <w:rPr>
                <w:sz w:val="24"/>
              </w:rPr>
              <w:t>含油污泥（废物类别代码：</w:t>
            </w:r>
            <w:r>
              <w:rPr>
                <w:rFonts w:hint="eastAsia"/>
                <w:bCs/>
                <w:sz w:val="24"/>
              </w:rPr>
              <w:t>HW08</w:t>
            </w:r>
            <w:r>
              <w:rPr>
                <w:bCs/>
                <w:sz w:val="24"/>
              </w:rPr>
              <w:t>废矿物油与含矿物油废物</w:t>
            </w:r>
            <w:r>
              <w:rPr>
                <w:rFonts w:hint="eastAsia"/>
                <w:sz w:val="24"/>
              </w:rPr>
              <w:t xml:space="preserve">  </w:t>
            </w:r>
            <w:r>
              <w:rPr>
                <w:sz w:val="24"/>
              </w:rPr>
              <w:t>900-210-08）</w:t>
            </w:r>
          </w:p>
          <w:p w14:paraId="521D55C8">
            <w:pPr>
              <w:adjustRightInd w:val="0"/>
              <w:spacing w:line="360" w:lineRule="auto"/>
              <w:ind w:firstLine="480" w:firstLineChars="200"/>
              <w:rPr>
                <w:sz w:val="24"/>
              </w:rPr>
            </w:pPr>
            <w:r>
              <w:rPr>
                <w:sz w:val="24"/>
              </w:rPr>
              <w:t>隔油池每半年清掏一次，清掏产生的含油污泥量约为0.05t/a，</w:t>
            </w:r>
            <w:r>
              <w:rPr>
                <w:rFonts w:hint="eastAsia"/>
                <w:sz w:val="24"/>
              </w:rPr>
              <w:t>产生的浮油约0.001t/a，产生的浮油主要为石油类，浮油及</w:t>
            </w:r>
            <w:r>
              <w:rPr>
                <w:sz w:val="24"/>
              </w:rPr>
              <w:t>含油污泥均属于危险废物。</w:t>
            </w:r>
          </w:p>
          <w:p w14:paraId="651C054A">
            <w:pPr>
              <w:adjustRightInd w:val="0"/>
              <w:spacing w:line="360" w:lineRule="auto"/>
              <w:ind w:firstLine="480" w:firstLineChars="200"/>
              <w:rPr>
                <w:sz w:val="24"/>
              </w:rPr>
            </w:pPr>
            <w:r>
              <w:rPr>
                <w:rFonts w:hint="eastAsia"/>
                <w:sz w:val="24"/>
              </w:rPr>
              <w:t>④</w:t>
            </w:r>
            <w:r>
              <w:rPr>
                <w:sz w:val="24"/>
              </w:rPr>
              <w:t>含油</w:t>
            </w:r>
            <w:r>
              <w:rPr>
                <w:rFonts w:hint="eastAsia"/>
                <w:sz w:val="24"/>
              </w:rPr>
              <w:t>棉纱及</w:t>
            </w:r>
            <w:r>
              <w:rPr>
                <w:sz w:val="24"/>
              </w:rPr>
              <w:t>手套（废物类别代码：</w:t>
            </w:r>
            <w:r>
              <w:rPr>
                <w:rFonts w:hint="eastAsia"/>
                <w:sz w:val="24"/>
              </w:rPr>
              <w:t>HW49</w:t>
            </w:r>
            <w:r>
              <w:rPr>
                <w:rFonts w:hint="eastAsia"/>
                <w:szCs w:val="21"/>
              </w:rPr>
              <w:t>其他废物</w:t>
            </w:r>
            <w:r>
              <w:rPr>
                <w:rFonts w:hint="eastAsia"/>
                <w:sz w:val="24"/>
              </w:rPr>
              <w:t xml:space="preserve">  </w:t>
            </w:r>
            <w:r>
              <w:rPr>
                <w:sz w:val="24"/>
              </w:rPr>
              <w:t>900-041-49）</w:t>
            </w:r>
          </w:p>
          <w:p w14:paraId="4939CBCA">
            <w:pPr>
              <w:adjustRightInd w:val="0"/>
              <w:spacing w:line="360" w:lineRule="auto"/>
              <w:ind w:firstLine="480" w:firstLineChars="200"/>
              <w:rPr>
                <w:rFonts w:hint="eastAsia"/>
                <w:sz w:val="24"/>
              </w:rPr>
            </w:pPr>
            <w:r>
              <w:rPr>
                <w:rFonts w:hint="eastAsia"/>
                <w:sz w:val="24"/>
              </w:rPr>
              <w:t>本项目</w:t>
            </w:r>
            <w:r>
              <w:rPr>
                <w:sz w:val="24"/>
              </w:rPr>
              <w:t>在加油机设备检修过程</w:t>
            </w:r>
            <w:r>
              <w:rPr>
                <w:rFonts w:hint="eastAsia"/>
                <w:sz w:val="24"/>
              </w:rPr>
              <w:t>及劳保工程</w:t>
            </w:r>
            <w:r>
              <w:rPr>
                <w:sz w:val="24"/>
              </w:rPr>
              <w:t>中会产生一定废含油手套，其产生量约为0.0</w:t>
            </w:r>
            <w:r>
              <w:rPr>
                <w:rFonts w:hint="eastAsia"/>
                <w:sz w:val="24"/>
              </w:rPr>
              <w:t>1</w:t>
            </w:r>
            <w:r>
              <w:rPr>
                <w:sz w:val="24"/>
              </w:rPr>
              <w:t>t/a，</w:t>
            </w:r>
            <w:r>
              <w:rPr>
                <w:rFonts w:hint="eastAsia"/>
                <w:sz w:val="24"/>
              </w:rPr>
              <w:t>集中收集后定期交有资质单位处理。</w:t>
            </w:r>
          </w:p>
          <w:p w14:paraId="0F74A657">
            <w:pPr>
              <w:adjustRightInd w:val="0"/>
              <w:spacing w:line="360" w:lineRule="auto"/>
              <w:ind w:firstLine="480" w:firstLineChars="200"/>
              <w:rPr>
                <w:sz w:val="24"/>
              </w:rPr>
            </w:pPr>
            <w:r>
              <w:rPr>
                <w:rFonts w:hint="eastAsia"/>
                <w:sz w:val="24"/>
              </w:rPr>
              <w:t>本项目</w:t>
            </w:r>
            <w:r>
              <w:rPr>
                <w:sz w:val="24"/>
              </w:rPr>
              <w:t>危险废物经</w:t>
            </w:r>
            <w:r>
              <w:rPr>
                <w:rFonts w:hint="eastAsia"/>
                <w:sz w:val="24"/>
              </w:rPr>
              <w:t>分类</w:t>
            </w:r>
            <w:r>
              <w:rPr>
                <w:sz w:val="24"/>
              </w:rPr>
              <w:t>收集后</w:t>
            </w:r>
            <w:r>
              <w:rPr>
                <w:rFonts w:hint="eastAsia"/>
                <w:sz w:val="24"/>
              </w:rPr>
              <w:t>暂存于危废暂存间，定期</w:t>
            </w:r>
            <w:r>
              <w:rPr>
                <w:sz w:val="24"/>
              </w:rPr>
              <w:t>按照危险废物转移联单制交有资质单位处理。</w:t>
            </w:r>
            <w:r>
              <w:rPr>
                <w:rFonts w:hint="eastAsia"/>
                <w:sz w:val="24"/>
              </w:rPr>
              <w:t>本项目危险废物汇总表见表4-13。</w:t>
            </w:r>
          </w:p>
          <w:p w14:paraId="0D54B16D">
            <w:pPr>
              <w:pStyle w:val="68"/>
              <w:spacing w:line="240" w:lineRule="auto"/>
              <w:rPr>
                <w:rFonts w:hint="eastAsia" w:ascii="黑体" w:hAnsi="黑体" w:eastAsia="黑体" w:cs="黑体"/>
                <w:b w:val="0"/>
                <w:bCs w:val="0"/>
                <w:lang w:val="zh-CN"/>
              </w:rPr>
            </w:pPr>
            <w:r>
              <w:rPr>
                <w:rFonts w:hint="eastAsia" w:ascii="黑体" w:hAnsi="黑体" w:eastAsia="黑体" w:cs="黑体"/>
                <w:b w:val="0"/>
                <w:bCs w:val="0"/>
                <w:lang w:val="zh-CN"/>
              </w:rPr>
              <w:t xml:space="preserve">表4-13 </w:t>
            </w:r>
            <w:r>
              <w:rPr>
                <w:rFonts w:hint="eastAsia" w:ascii="黑体" w:hAnsi="黑体" w:eastAsia="黑体" w:cs="黑体"/>
                <w:b w:val="0"/>
                <w:bCs w:val="0"/>
              </w:rPr>
              <w:t xml:space="preserve"> </w:t>
            </w:r>
            <w:r>
              <w:rPr>
                <w:rFonts w:hint="eastAsia" w:ascii="黑体" w:hAnsi="黑体" w:eastAsia="黑体" w:cs="黑体"/>
                <w:b w:val="0"/>
                <w:bCs w:val="0"/>
                <w:lang w:val="zh-CN"/>
              </w:rPr>
              <w:t>危险废物汇总表</w:t>
            </w:r>
          </w:p>
          <w:tbl>
            <w:tblPr>
              <w:tblStyle w:val="23"/>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76"/>
              <w:gridCol w:w="607"/>
              <w:gridCol w:w="607"/>
              <w:gridCol w:w="833"/>
              <w:gridCol w:w="1070"/>
              <w:gridCol w:w="627"/>
              <w:gridCol w:w="686"/>
              <w:gridCol w:w="686"/>
              <w:gridCol w:w="875"/>
              <w:gridCol w:w="1218"/>
            </w:tblGrid>
            <w:tr w14:paraId="7B29D9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1" w:type="pct"/>
                  <w:vAlign w:val="center"/>
                </w:tcPr>
                <w:p w14:paraId="5C19C943">
                  <w:pPr>
                    <w:topLinePunct/>
                    <w:adjustRightInd w:val="0"/>
                    <w:snapToGrid w:val="0"/>
                    <w:jc w:val="center"/>
                    <w:rPr>
                      <w:kern w:val="0"/>
                      <w:szCs w:val="21"/>
                    </w:rPr>
                  </w:pPr>
                  <w:r>
                    <w:rPr>
                      <w:kern w:val="0"/>
                      <w:szCs w:val="21"/>
                    </w:rPr>
                    <w:t>危险废物名称</w:t>
                  </w:r>
                </w:p>
              </w:tc>
              <w:tc>
                <w:tcPr>
                  <w:tcW w:w="375" w:type="pct"/>
                  <w:vAlign w:val="center"/>
                </w:tcPr>
                <w:p w14:paraId="4AE7F83A">
                  <w:pPr>
                    <w:topLinePunct/>
                    <w:adjustRightInd w:val="0"/>
                    <w:snapToGrid w:val="0"/>
                    <w:jc w:val="center"/>
                    <w:rPr>
                      <w:kern w:val="0"/>
                      <w:szCs w:val="21"/>
                    </w:rPr>
                  </w:pPr>
                  <w:r>
                    <w:rPr>
                      <w:kern w:val="0"/>
                      <w:szCs w:val="21"/>
                    </w:rPr>
                    <w:t>危废类别及代码</w:t>
                  </w:r>
                </w:p>
              </w:tc>
              <w:tc>
                <w:tcPr>
                  <w:tcW w:w="375" w:type="pct"/>
                  <w:vAlign w:val="center"/>
                </w:tcPr>
                <w:p w14:paraId="35B60601">
                  <w:pPr>
                    <w:topLinePunct/>
                    <w:adjustRightInd w:val="0"/>
                    <w:snapToGrid w:val="0"/>
                    <w:jc w:val="center"/>
                    <w:rPr>
                      <w:kern w:val="0"/>
                      <w:szCs w:val="21"/>
                    </w:rPr>
                  </w:pPr>
                  <w:r>
                    <w:rPr>
                      <w:rFonts w:hint="eastAsia"/>
                      <w:kern w:val="0"/>
                      <w:szCs w:val="21"/>
                    </w:rPr>
                    <w:t>危废代码</w:t>
                  </w:r>
                </w:p>
              </w:tc>
              <w:tc>
                <w:tcPr>
                  <w:tcW w:w="515" w:type="pct"/>
                  <w:vAlign w:val="center"/>
                </w:tcPr>
                <w:p w14:paraId="18878E4F">
                  <w:pPr>
                    <w:topLinePunct/>
                    <w:adjustRightInd w:val="0"/>
                    <w:snapToGrid w:val="0"/>
                    <w:jc w:val="center"/>
                    <w:rPr>
                      <w:kern w:val="0"/>
                      <w:szCs w:val="21"/>
                    </w:rPr>
                  </w:pPr>
                  <w:r>
                    <w:rPr>
                      <w:kern w:val="0"/>
                      <w:szCs w:val="21"/>
                    </w:rPr>
                    <w:t>产生量（t/a）</w:t>
                  </w:r>
                </w:p>
              </w:tc>
              <w:tc>
                <w:tcPr>
                  <w:tcW w:w="661" w:type="pct"/>
                  <w:vAlign w:val="center"/>
                </w:tcPr>
                <w:p w14:paraId="16AE3CC2">
                  <w:pPr>
                    <w:topLinePunct/>
                    <w:adjustRightInd w:val="0"/>
                    <w:snapToGrid w:val="0"/>
                    <w:jc w:val="center"/>
                    <w:rPr>
                      <w:kern w:val="0"/>
                      <w:szCs w:val="21"/>
                    </w:rPr>
                  </w:pPr>
                  <w:r>
                    <w:rPr>
                      <w:kern w:val="0"/>
                      <w:szCs w:val="21"/>
                    </w:rPr>
                    <w:t>产生工段及装置</w:t>
                  </w:r>
                </w:p>
              </w:tc>
              <w:tc>
                <w:tcPr>
                  <w:tcW w:w="388" w:type="pct"/>
                  <w:vAlign w:val="center"/>
                </w:tcPr>
                <w:p w14:paraId="1C483FC7">
                  <w:pPr>
                    <w:topLinePunct/>
                    <w:adjustRightInd w:val="0"/>
                    <w:snapToGrid w:val="0"/>
                    <w:jc w:val="center"/>
                    <w:rPr>
                      <w:kern w:val="0"/>
                      <w:szCs w:val="21"/>
                    </w:rPr>
                  </w:pPr>
                  <w:r>
                    <w:rPr>
                      <w:kern w:val="0"/>
                      <w:szCs w:val="21"/>
                    </w:rPr>
                    <w:t>形态</w:t>
                  </w:r>
                </w:p>
              </w:tc>
              <w:tc>
                <w:tcPr>
                  <w:tcW w:w="424" w:type="pct"/>
                  <w:vAlign w:val="center"/>
                </w:tcPr>
                <w:p w14:paraId="44816A3C">
                  <w:pPr>
                    <w:topLinePunct/>
                    <w:adjustRightInd w:val="0"/>
                    <w:snapToGrid w:val="0"/>
                    <w:jc w:val="center"/>
                    <w:rPr>
                      <w:kern w:val="0"/>
                      <w:szCs w:val="21"/>
                    </w:rPr>
                  </w:pPr>
                  <w:r>
                    <w:rPr>
                      <w:kern w:val="0"/>
                      <w:szCs w:val="21"/>
                    </w:rPr>
                    <w:t>有害</w:t>
                  </w:r>
                </w:p>
                <w:p w14:paraId="69524122">
                  <w:pPr>
                    <w:topLinePunct/>
                    <w:adjustRightInd w:val="0"/>
                    <w:snapToGrid w:val="0"/>
                    <w:jc w:val="center"/>
                    <w:rPr>
                      <w:kern w:val="0"/>
                      <w:szCs w:val="21"/>
                    </w:rPr>
                  </w:pPr>
                  <w:r>
                    <w:rPr>
                      <w:kern w:val="0"/>
                      <w:szCs w:val="21"/>
                    </w:rPr>
                    <w:t>成分</w:t>
                  </w:r>
                </w:p>
              </w:tc>
              <w:tc>
                <w:tcPr>
                  <w:tcW w:w="424" w:type="pct"/>
                  <w:vAlign w:val="center"/>
                </w:tcPr>
                <w:p w14:paraId="2D978381">
                  <w:pPr>
                    <w:topLinePunct/>
                    <w:adjustRightInd w:val="0"/>
                    <w:snapToGrid w:val="0"/>
                    <w:jc w:val="center"/>
                    <w:rPr>
                      <w:kern w:val="0"/>
                      <w:szCs w:val="21"/>
                    </w:rPr>
                  </w:pPr>
                  <w:r>
                    <w:rPr>
                      <w:kern w:val="0"/>
                      <w:szCs w:val="21"/>
                    </w:rPr>
                    <w:t>产废</w:t>
                  </w:r>
                </w:p>
                <w:p w14:paraId="0F483322">
                  <w:pPr>
                    <w:topLinePunct/>
                    <w:adjustRightInd w:val="0"/>
                    <w:snapToGrid w:val="0"/>
                    <w:jc w:val="center"/>
                    <w:rPr>
                      <w:kern w:val="0"/>
                      <w:szCs w:val="21"/>
                    </w:rPr>
                  </w:pPr>
                  <w:r>
                    <w:rPr>
                      <w:kern w:val="0"/>
                      <w:szCs w:val="21"/>
                    </w:rPr>
                    <w:t>周期</w:t>
                  </w:r>
                </w:p>
              </w:tc>
              <w:tc>
                <w:tcPr>
                  <w:tcW w:w="541" w:type="pct"/>
                  <w:vAlign w:val="center"/>
                </w:tcPr>
                <w:p w14:paraId="64F6738D">
                  <w:pPr>
                    <w:topLinePunct/>
                    <w:adjustRightInd w:val="0"/>
                    <w:snapToGrid w:val="0"/>
                    <w:jc w:val="center"/>
                    <w:rPr>
                      <w:kern w:val="0"/>
                      <w:szCs w:val="21"/>
                    </w:rPr>
                  </w:pPr>
                  <w:r>
                    <w:rPr>
                      <w:kern w:val="0"/>
                      <w:szCs w:val="21"/>
                    </w:rPr>
                    <w:t>危险</w:t>
                  </w:r>
                </w:p>
                <w:p w14:paraId="42F0A044">
                  <w:pPr>
                    <w:topLinePunct/>
                    <w:adjustRightInd w:val="0"/>
                    <w:snapToGrid w:val="0"/>
                    <w:jc w:val="center"/>
                    <w:rPr>
                      <w:kern w:val="0"/>
                      <w:szCs w:val="21"/>
                    </w:rPr>
                  </w:pPr>
                  <w:r>
                    <w:rPr>
                      <w:kern w:val="0"/>
                      <w:szCs w:val="21"/>
                    </w:rPr>
                    <w:t>特性</w:t>
                  </w:r>
                </w:p>
              </w:tc>
              <w:tc>
                <w:tcPr>
                  <w:tcW w:w="752" w:type="pct"/>
                  <w:vAlign w:val="center"/>
                </w:tcPr>
                <w:p w14:paraId="473F7589">
                  <w:pPr>
                    <w:topLinePunct/>
                    <w:adjustRightInd w:val="0"/>
                    <w:snapToGrid w:val="0"/>
                    <w:jc w:val="center"/>
                    <w:rPr>
                      <w:kern w:val="0"/>
                      <w:szCs w:val="21"/>
                    </w:rPr>
                  </w:pPr>
                  <w:r>
                    <w:rPr>
                      <w:kern w:val="0"/>
                      <w:szCs w:val="21"/>
                    </w:rPr>
                    <w:t>污染防治措施</w:t>
                  </w:r>
                </w:p>
              </w:tc>
            </w:tr>
            <w:tr w14:paraId="7A1800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1" w:type="pct"/>
                  <w:vAlign w:val="center"/>
                </w:tcPr>
                <w:p w14:paraId="31B90011">
                  <w:pPr>
                    <w:topLinePunct/>
                    <w:adjustRightInd w:val="0"/>
                    <w:snapToGrid w:val="0"/>
                    <w:jc w:val="center"/>
                    <w:rPr>
                      <w:kern w:val="0"/>
                      <w:szCs w:val="21"/>
                    </w:rPr>
                  </w:pPr>
                  <w:r>
                    <w:rPr>
                      <w:kern w:val="0"/>
                      <w:szCs w:val="21"/>
                    </w:rPr>
                    <w:t>设备检修废物</w:t>
                  </w:r>
                </w:p>
              </w:tc>
              <w:tc>
                <w:tcPr>
                  <w:tcW w:w="375" w:type="pct"/>
                  <w:vMerge w:val="restart"/>
                  <w:vAlign w:val="center"/>
                </w:tcPr>
                <w:p w14:paraId="50CFBB45">
                  <w:pPr>
                    <w:topLinePunct/>
                    <w:adjustRightInd w:val="0"/>
                    <w:snapToGrid w:val="0"/>
                    <w:jc w:val="center"/>
                    <w:rPr>
                      <w:kern w:val="0"/>
                      <w:szCs w:val="21"/>
                    </w:rPr>
                  </w:pPr>
                  <w:r>
                    <w:rPr>
                      <w:kern w:val="0"/>
                      <w:szCs w:val="21"/>
                    </w:rPr>
                    <w:t>HW</w:t>
                  </w:r>
                  <w:r>
                    <w:rPr>
                      <w:rFonts w:hint="eastAsia"/>
                      <w:kern w:val="0"/>
                      <w:szCs w:val="21"/>
                    </w:rPr>
                    <w:t>08</w:t>
                  </w:r>
                </w:p>
                <w:p w14:paraId="7899F9D8">
                  <w:pPr>
                    <w:jc w:val="center"/>
                    <w:rPr>
                      <w:szCs w:val="21"/>
                    </w:rPr>
                  </w:pPr>
                  <w:r>
                    <w:rPr>
                      <w:szCs w:val="21"/>
                    </w:rPr>
                    <w:t>废矿物</w:t>
                  </w:r>
                </w:p>
                <w:p w14:paraId="4A6C4A96">
                  <w:pPr>
                    <w:jc w:val="center"/>
                    <w:rPr>
                      <w:szCs w:val="21"/>
                    </w:rPr>
                  </w:pPr>
                  <w:r>
                    <w:rPr>
                      <w:szCs w:val="21"/>
                    </w:rPr>
                    <w:t>油与含</w:t>
                  </w:r>
                </w:p>
                <w:p w14:paraId="0C7850E5">
                  <w:pPr>
                    <w:jc w:val="center"/>
                    <w:rPr>
                      <w:szCs w:val="21"/>
                    </w:rPr>
                  </w:pPr>
                  <w:r>
                    <w:rPr>
                      <w:szCs w:val="21"/>
                    </w:rPr>
                    <w:t>矿物油</w:t>
                  </w:r>
                </w:p>
                <w:p w14:paraId="05BA6E00">
                  <w:pPr>
                    <w:jc w:val="center"/>
                    <w:rPr>
                      <w:szCs w:val="21"/>
                    </w:rPr>
                  </w:pPr>
                  <w:r>
                    <w:rPr>
                      <w:szCs w:val="21"/>
                    </w:rPr>
                    <w:t>废物</w:t>
                  </w:r>
                </w:p>
              </w:tc>
              <w:tc>
                <w:tcPr>
                  <w:tcW w:w="375" w:type="pct"/>
                  <w:vAlign w:val="center"/>
                </w:tcPr>
                <w:p w14:paraId="4DF1323A">
                  <w:pPr>
                    <w:jc w:val="center"/>
                    <w:rPr>
                      <w:color w:val="000000"/>
                      <w:szCs w:val="21"/>
                    </w:rPr>
                  </w:pPr>
                  <w:r>
                    <w:rPr>
                      <w:color w:val="000000"/>
                      <w:szCs w:val="21"/>
                    </w:rPr>
                    <w:t>900-214-08</w:t>
                  </w:r>
                </w:p>
              </w:tc>
              <w:tc>
                <w:tcPr>
                  <w:tcW w:w="515" w:type="pct"/>
                  <w:vAlign w:val="center"/>
                </w:tcPr>
                <w:p w14:paraId="21DD4685">
                  <w:pPr>
                    <w:topLinePunct/>
                    <w:adjustRightInd w:val="0"/>
                    <w:snapToGrid w:val="0"/>
                    <w:jc w:val="center"/>
                    <w:rPr>
                      <w:color w:val="000000"/>
                      <w:kern w:val="0"/>
                      <w:szCs w:val="21"/>
                    </w:rPr>
                  </w:pPr>
                  <w:r>
                    <w:rPr>
                      <w:color w:val="000000"/>
                      <w:kern w:val="0"/>
                      <w:szCs w:val="21"/>
                    </w:rPr>
                    <w:t>0.4</w:t>
                  </w:r>
                </w:p>
              </w:tc>
              <w:tc>
                <w:tcPr>
                  <w:tcW w:w="661" w:type="pct"/>
                  <w:vAlign w:val="center"/>
                </w:tcPr>
                <w:p w14:paraId="40BA623F">
                  <w:pPr>
                    <w:topLinePunct/>
                    <w:adjustRightInd w:val="0"/>
                    <w:snapToGrid w:val="0"/>
                    <w:jc w:val="center"/>
                    <w:rPr>
                      <w:kern w:val="0"/>
                      <w:szCs w:val="21"/>
                    </w:rPr>
                  </w:pPr>
                  <w:r>
                    <w:rPr>
                      <w:kern w:val="0"/>
                      <w:szCs w:val="21"/>
                    </w:rPr>
                    <w:t>加油机及管道设备检修</w:t>
                  </w:r>
                </w:p>
              </w:tc>
              <w:tc>
                <w:tcPr>
                  <w:tcW w:w="388" w:type="pct"/>
                  <w:vAlign w:val="center"/>
                </w:tcPr>
                <w:p w14:paraId="6CE18762">
                  <w:pPr>
                    <w:topLinePunct/>
                    <w:adjustRightInd w:val="0"/>
                    <w:snapToGrid w:val="0"/>
                    <w:jc w:val="center"/>
                    <w:rPr>
                      <w:kern w:val="0"/>
                      <w:szCs w:val="21"/>
                    </w:rPr>
                  </w:pPr>
                  <w:r>
                    <w:rPr>
                      <w:kern w:val="0"/>
                      <w:szCs w:val="21"/>
                    </w:rPr>
                    <w:t>液、固态</w:t>
                  </w:r>
                </w:p>
              </w:tc>
              <w:tc>
                <w:tcPr>
                  <w:tcW w:w="424" w:type="pct"/>
                  <w:vAlign w:val="center"/>
                </w:tcPr>
                <w:p w14:paraId="4C18FCE5">
                  <w:pPr>
                    <w:topLinePunct/>
                    <w:adjustRightInd w:val="0"/>
                    <w:snapToGrid w:val="0"/>
                    <w:jc w:val="center"/>
                    <w:rPr>
                      <w:kern w:val="0"/>
                      <w:szCs w:val="21"/>
                    </w:rPr>
                  </w:pPr>
                  <w:r>
                    <w:rPr>
                      <w:kern w:val="0"/>
                      <w:szCs w:val="21"/>
                    </w:rPr>
                    <w:t>矿物油</w:t>
                  </w:r>
                </w:p>
              </w:tc>
              <w:tc>
                <w:tcPr>
                  <w:tcW w:w="424" w:type="pct"/>
                  <w:vAlign w:val="center"/>
                </w:tcPr>
                <w:p w14:paraId="4E488BDB">
                  <w:pPr>
                    <w:topLinePunct/>
                    <w:adjustRightInd w:val="0"/>
                    <w:snapToGrid w:val="0"/>
                    <w:jc w:val="center"/>
                    <w:rPr>
                      <w:kern w:val="0"/>
                      <w:szCs w:val="21"/>
                    </w:rPr>
                  </w:pPr>
                  <w:r>
                    <w:rPr>
                      <w:kern w:val="0"/>
                      <w:szCs w:val="21"/>
                    </w:rPr>
                    <w:t>三个月</w:t>
                  </w:r>
                </w:p>
              </w:tc>
              <w:tc>
                <w:tcPr>
                  <w:tcW w:w="541" w:type="pct"/>
                  <w:vAlign w:val="center"/>
                </w:tcPr>
                <w:p w14:paraId="3C3E54D5">
                  <w:pPr>
                    <w:topLinePunct/>
                    <w:adjustRightInd w:val="0"/>
                    <w:snapToGrid w:val="0"/>
                    <w:jc w:val="center"/>
                    <w:rPr>
                      <w:kern w:val="0"/>
                      <w:szCs w:val="21"/>
                    </w:rPr>
                  </w:pPr>
                  <w:r>
                    <w:rPr>
                      <w:kern w:val="0"/>
                      <w:szCs w:val="21"/>
                    </w:rPr>
                    <w:t>毒性、易燃性</w:t>
                  </w:r>
                </w:p>
              </w:tc>
              <w:tc>
                <w:tcPr>
                  <w:tcW w:w="752" w:type="pct"/>
                  <w:vMerge w:val="restart"/>
                  <w:vAlign w:val="center"/>
                </w:tcPr>
                <w:p w14:paraId="6CB2E25D">
                  <w:pPr>
                    <w:topLinePunct/>
                    <w:adjustRightInd w:val="0"/>
                    <w:jc w:val="center"/>
                    <w:rPr>
                      <w:kern w:val="0"/>
                      <w:szCs w:val="21"/>
                    </w:rPr>
                  </w:pPr>
                  <w:r>
                    <w:rPr>
                      <w:rFonts w:hint="eastAsia"/>
                      <w:spacing w:val="-6"/>
                      <w:kern w:val="0"/>
                      <w:szCs w:val="21"/>
                    </w:rPr>
                    <w:t>分类收集后暂存于危废暂存间，定期</w:t>
                  </w:r>
                  <w:r>
                    <w:rPr>
                      <w:spacing w:val="-6"/>
                      <w:kern w:val="0"/>
                      <w:szCs w:val="21"/>
                    </w:rPr>
                    <w:t>委托有相关处置资质的单位处理</w:t>
                  </w:r>
                </w:p>
              </w:tc>
            </w:tr>
            <w:tr w14:paraId="00C839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1" w:type="pct"/>
                  <w:vAlign w:val="center"/>
                </w:tcPr>
                <w:p w14:paraId="38926651">
                  <w:pPr>
                    <w:topLinePunct/>
                    <w:adjustRightInd w:val="0"/>
                    <w:snapToGrid w:val="0"/>
                    <w:jc w:val="center"/>
                    <w:rPr>
                      <w:kern w:val="0"/>
                      <w:szCs w:val="21"/>
                    </w:rPr>
                  </w:pPr>
                  <w:r>
                    <w:rPr>
                      <w:kern w:val="0"/>
                      <w:szCs w:val="21"/>
                    </w:rPr>
                    <w:t>清罐废物</w:t>
                  </w:r>
                </w:p>
              </w:tc>
              <w:tc>
                <w:tcPr>
                  <w:tcW w:w="375" w:type="pct"/>
                  <w:vMerge w:val="continue"/>
                  <w:vAlign w:val="center"/>
                </w:tcPr>
                <w:p w14:paraId="0E4BF0CD">
                  <w:pPr>
                    <w:topLinePunct/>
                    <w:adjustRightInd w:val="0"/>
                    <w:snapToGrid w:val="0"/>
                    <w:jc w:val="center"/>
                    <w:rPr>
                      <w:kern w:val="0"/>
                      <w:szCs w:val="21"/>
                    </w:rPr>
                  </w:pPr>
                </w:p>
              </w:tc>
              <w:tc>
                <w:tcPr>
                  <w:tcW w:w="375" w:type="pct"/>
                  <w:vAlign w:val="center"/>
                </w:tcPr>
                <w:p w14:paraId="19718DD4">
                  <w:pPr>
                    <w:jc w:val="center"/>
                    <w:rPr>
                      <w:szCs w:val="21"/>
                    </w:rPr>
                  </w:pPr>
                  <w:r>
                    <w:rPr>
                      <w:szCs w:val="21"/>
                    </w:rPr>
                    <w:t>900-</w:t>
                  </w:r>
                  <w:r>
                    <w:rPr>
                      <w:rFonts w:hint="eastAsia"/>
                      <w:szCs w:val="21"/>
                    </w:rPr>
                    <w:t>221</w:t>
                  </w:r>
                  <w:r>
                    <w:rPr>
                      <w:szCs w:val="21"/>
                    </w:rPr>
                    <w:t>-08</w:t>
                  </w:r>
                </w:p>
              </w:tc>
              <w:tc>
                <w:tcPr>
                  <w:tcW w:w="515" w:type="pct"/>
                  <w:vAlign w:val="center"/>
                </w:tcPr>
                <w:p w14:paraId="38CB04D1">
                  <w:pPr>
                    <w:topLinePunct/>
                    <w:adjustRightInd w:val="0"/>
                    <w:snapToGrid w:val="0"/>
                    <w:jc w:val="center"/>
                    <w:rPr>
                      <w:kern w:val="0"/>
                      <w:szCs w:val="21"/>
                    </w:rPr>
                  </w:pPr>
                  <w:r>
                    <w:rPr>
                      <w:kern w:val="0"/>
                      <w:szCs w:val="21"/>
                    </w:rPr>
                    <w:t>0.4（取均值）</w:t>
                  </w:r>
                </w:p>
              </w:tc>
              <w:tc>
                <w:tcPr>
                  <w:tcW w:w="661" w:type="pct"/>
                  <w:vAlign w:val="center"/>
                </w:tcPr>
                <w:p w14:paraId="0474436F">
                  <w:pPr>
                    <w:topLinePunct/>
                    <w:adjustRightInd w:val="0"/>
                    <w:snapToGrid w:val="0"/>
                    <w:jc w:val="center"/>
                    <w:rPr>
                      <w:kern w:val="0"/>
                      <w:szCs w:val="21"/>
                    </w:rPr>
                  </w:pPr>
                  <w:r>
                    <w:rPr>
                      <w:kern w:val="0"/>
                      <w:szCs w:val="21"/>
                    </w:rPr>
                    <w:t>油罐清洗</w:t>
                  </w:r>
                </w:p>
              </w:tc>
              <w:tc>
                <w:tcPr>
                  <w:tcW w:w="388" w:type="pct"/>
                  <w:vAlign w:val="center"/>
                </w:tcPr>
                <w:p w14:paraId="2A2AD50D">
                  <w:pPr>
                    <w:topLinePunct/>
                    <w:adjustRightInd w:val="0"/>
                    <w:snapToGrid w:val="0"/>
                    <w:jc w:val="center"/>
                    <w:rPr>
                      <w:kern w:val="0"/>
                      <w:szCs w:val="21"/>
                    </w:rPr>
                  </w:pPr>
                  <w:r>
                    <w:rPr>
                      <w:kern w:val="0"/>
                      <w:szCs w:val="21"/>
                    </w:rPr>
                    <w:t>液、固态</w:t>
                  </w:r>
                </w:p>
              </w:tc>
              <w:tc>
                <w:tcPr>
                  <w:tcW w:w="424" w:type="pct"/>
                  <w:vAlign w:val="center"/>
                </w:tcPr>
                <w:p w14:paraId="16F1EEFD">
                  <w:pPr>
                    <w:topLinePunct/>
                    <w:adjustRightInd w:val="0"/>
                    <w:snapToGrid w:val="0"/>
                    <w:jc w:val="center"/>
                    <w:rPr>
                      <w:kern w:val="0"/>
                      <w:szCs w:val="21"/>
                    </w:rPr>
                  </w:pPr>
                  <w:r>
                    <w:rPr>
                      <w:kern w:val="0"/>
                      <w:szCs w:val="21"/>
                    </w:rPr>
                    <w:t>矿物油</w:t>
                  </w:r>
                </w:p>
              </w:tc>
              <w:tc>
                <w:tcPr>
                  <w:tcW w:w="424" w:type="pct"/>
                  <w:vAlign w:val="center"/>
                </w:tcPr>
                <w:p w14:paraId="5C5DB09D">
                  <w:pPr>
                    <w:topLinePunct/>
                    <w:adjustRightInd w:val="0"/>
                    <w:snapToGrid w:val="0"/>
                    <w:jc w:val="center"/>
                    <w:rPr>
                      <w:kern w:val="0"/>
                      <w:szCs w:val="21"/>
                    </w:rPr>
                  </w:pPr>
                  <w:r>
                    <w:rPr>
                      <w:kern w:val="0"/>
                      <w:szCs w:val="21"/>
                    </w:rPr>
                    <w:t>五年</w:t>
                  </w:r>
                </w:p>
              </w:tc>
              <w:tc>
                <w:tcPr>
                  <w:tcW w:w="541" w:type="pct"/>
                  <w:vAlign w:val="center"/>
                </w:tcPr>
                <w:p w14:paraId="239A3937">
                  <w:pPr>
                    <w:topLinePunct/>
                    <w:adjustRightInd w:val="0"/>
                    <w:snapToGrid w:val="0"/>
                    <w:jc w:val="center"/>
                    <w:rPr>
                      <w:kern w:val="0"/>
                      <w:szCs w:val="21"/>
                    </w:rPr>
                  </w:pPr>
                  <w:r>
                    <w:rPr>
                      <w:kern w:val="0"/>
                      <w:szCs w:val="21"/>
                    </w:rPr>
                    <w:t>毒性、易燃性</w:t>
                  </w:r>
                </w:p>
              </w:tc>
              <w:tc>
                <w:tcPr>
                  <w:tcW w:w="752" w:type="pct"/>
                  <w:vMerge w:val="continue"/>
                  <w:vAlign w:val="center"/>
                </w:tcPr>
                <w:p w14:paraId="2D6055F9">
                  <w:pPr>
                    <w:topLinePunct/>
                    <w:adjustRightInd w:val="0"/>
                    <w:snapToGrid w:val="0"/>
                    <w:jc w:val="center"/>
                    <w:rPr>
                      <w:kern w:val="0"/>
                      <w:szCs w:val="21"/>
                    </w:rPr>
                  </w:pPr>
                </w:p>
              </w:tc>
            </w:tr>
            <w:tr w14:paraId="3D8FF1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1" w:type="pct"/>
                  <w:vAlign w:val="center"/>
                </w:tcPr>
                <w:p w14:paraId="32F496ED">
                  <w:pPr>
                    <w:topLinePunct/>
                    <w:adjustRightInd w:val="0"/>
                    <w:snapToGrid w:val="0"/>
                    <w:jc w:val="center"/>
                    <w:rPr>
                      <w:kern w:val="0"/>
                      <w:szCs w:val="21"/>
                    </w:rPr>
                  </w:pPr>
                  <w:r>
                    <w:rPr>
                      <w:rFonts w:hint="eastAsia"/>
                      <w:kern w:val="0"/>
                      <w:szCs w:val="21"/>
                    </w:rPr>
                    <w:t>隔油池浮油</w:t>
                  </w:r>
                </w:p>
              </w:tc>
              <w:tc>
                <w:tcPr>
                  <w:tcW w:w="375" w:type="pct"/>
                  <w:vMerge w:val="continue"/>
                  <w:vAlign w:val="center"/>
                </w:tcPr>
                <w:p w14:paraId="00E549E3">
                  <w:pPr>
                    <w:topLinePunct/>
                    <w:adjustRightInd w:val="0"/>
                    <w:snapToGrid w:val="0"/>
                    <w:jc w:val="center"/>
                    <w:rPr>
                      <w:szCs w:val="21"/>
                    </w:rPr>
                  </w:pPr>
                </w:p>
              </w:tc>
              <w:tc>
                <w:tcPr>
                  <w:tcW w:w="375" w:type="pct"/>
                  <w:vMerge w:val="restart"/>
                  <w:vAlign w:val="center"/>
                </w:tcPr>
                <w:p w14:paraId="260B47F3">
                  <w:pPr>
                    <w:jc w:val="center"/>
                    <w:rPr>
                      <w:szCs w:val="21"/>
                    </w:rPr>
                  </w:pPr>
                  <w:r>
                    <w:rPr>
                      <w:szCs w:val="21"/>
                    </w:rPr>
                    <w:t>900-210-08</w:t>
                  </w:r>
                </w:p>
              </w:tc>
              <w:tc>
                <w:tcPr>
                  <w:tcW w:w="515" w:type="pct"/>
                  <w:vAlign w:val="center"/>
                </w:tcPr>
                <w:p w14:paraId="449E5C22">
                  <w:pPr>
                    <w:topLinePunct/>
                    <w:adjustRightInd w:val="0"/>
                    <w:snapToGrid w:val="0"/>
                    <w:jc w:val="center"/>
                    <w:rPr>
                      <w:kern w:val="0"/>
                      <w:szCs w:val="21"/>
                    </w:rPr>
                  </w:pPr>
                  <w:r>
                    <w:rPr>
                      <w:rFonts w:hint="eastAsia"/>
                      <w:kern w:val="0"/>
                      <w:szCs w:val="21"/>
                    </w:rPr>
                    <w:t>0.001</w:t>
                  </w:r>
                </w:p>
              </w:tc>
              <w:tc>
                <w:tcPr>
                  <w:tcW w:w="661" w:type="pct"/>
                  <w:vAlign w:val="center"/>
                </w:tcPr>
                <w:p w14:paraId="2B22C198">
                  <w:pPr>
                    <w:topLinePunct/>
                    <w:adjustRightInd w:val="0"/>
                    <w:snapToGrid w:val="0"/>
                    <w:jc w:val="center"/>
                    <w:rPr>
                      <w:kern w:val="0"/>
                      <w:szCs w:val="21"/>
                    </w:rPr>
                  </w:pPr>
                  <w:r>
                    <w:rPr>
                      <w:rFonts w:hint="eastAsia"/>
                      <w:kern w:val="0"/>
                      <w:szCs w:val="21"/>
                    </w:rPr>
                    <w:t>隔油池隔油</w:t>
                  </w:r>
                </w:p>
              </w:tc>
              <w:tc>
                <w:tcPr>
                  <w:tcW w:w="388" w:type="pct"/>
                  <w:vAlign w:val="center"/>
                </w:tcPr>
                <w:p w14:paraId="65FC6633">
                  <w:pPr>
                    <w:topLinePunct/>
                    <w:adjustRightInd w:val="0"/>
                    <w:snapToGrid w:val="0"/>
                    <w:jc w:val="center"/>
                    <w:rPr>
                      <w:kern w:val="0"/>
                      <w:szCs w:val="21"/>
                    </w:rPr>
                  </w:pPr>
                  <w:r>
                    <w:rPr>
                      <w:rFonts w:hint="eastAsia"/>
                      <w:kern w:val="0"/>
                      <w:szCs w:val="21"/>
                    </w:rPr>
                    <w:t>液态</w:t>
                  </w:r>
                </w:p>
              </w:tc>
              <w:tc>
                <w:tcPr>
                  <w:tcW w:w="424" w:type="pct"/>
                  <w:vAlign w:val="center"/>
                </w:tcPr>
                <w:p w14:paraId="06D26C36">
                  <w:pPr>
                    <w:topLinePunct/>
                    <w:adjustRightInd w:val="0"/>
                    <w:snapToGrid w:val="0"/>
                    <w:jc w:val="center"/>
                    <w:rPr>
                      <w:kern w:val="0"/>
                      <w:szCs w:val="21"/>
                    </w:rPr>
                  </w:pPr>
                  <w:r>
                    <w:rPr>
                      <w:kern w:val="0"/>
                      <w:szCs w:val="21"/>
                    </w:rPr>
                    <w:t>矿物油</w:t>
                  </w:r>
                </w:p>
              </w:tc>
              <w:tc>
                <w:tcPr>
                  <w:tcW w:w="424" w:type="pct"/>
                  <w:vAlign w:val="center"/>
                </w:tcPr>
                <w:p w14:paraId="4E57078C">
                  <w:pPr>
                    <w:topLinePunct/>
                    <w:adjustRightInd w:val="0"/>
                    <w:snapToGrid w:val="0"/>
                    <w:jc w:val="center"/>
                    <w:rPr>
                      <w:kern w:val="0"/>
                      <w:szCs w:val="21"/>
                    </w:rPr>
                  </w:pPr>
                  <w:r>
                    <w:rPr>
                      <w:kern w:val="0"/>
                      <w:szCs w:val="21"/>
                    </w:rPr>
                    <w:t>半年</w:t>
                  </w:r>
                </w:p>
              </w:tc>
              <w:tc>
                <w:tcPr>
                  <w:tcW w:w="541" w:type="pct"/>
                  <w:vAlign w:val="center"/>
                </w:tcPr>
                <w:p w14:paraId="22FBDFAA">
                  <w:pPr>
                    <w:topLinePunct/>
                    <w:adjustRightInd w:val="0"/>
                    <w:snapToGrid w:val="0"/>
                    <w:jc w:val="center"/>
                    <w:rPr>
                      <w:kern w:val="0"/>
                      <w:szCs w:val="21"/>
                    </w:rPr>
                  </w:pPr>
                  <w:r>
                    <w:rPr>
                      <w:kern w:val="0"/>
                      <w:szCs w:val="21"/>
                    </w:rPr>
                    <w:t>毒性、易燃性</w:t>
                  </w:r>
                </w:p>
              </w:tc>
              <w:tc>
                <w:tcPr>
                  <w:tcW w:w="752" w:type="pct"/>
                  <w:vMerge w:val="continue"/>
                  <w:vAlign w:val="center"/>
                </w:tcPr>
                <w:p w14:paraId="128FD38A">
                  <w:pPr>
                    <w:topLinePunct/>
                    <w:adjustRightInd w:val="0"/>
                    <w:snapToGrid w:val="0"/>
                    <w:jc w:val="center"/>
                    <w:rPr>
                      <w:kern w:val="0"/>
                      <w:szCs w:val="21"/>
                    </w:rPr>
                  </w:pPr>
                </w:p>
              </w:tc>
            </w:tr>
            <w:tr w14:paraId="5B3B62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1" w:type="pct"/>
                  <w:vAlign w:val="center"/>
                </w:tcPr>
                <w:p w14:paraId="0BE61501">
                  <w:pPr>
                    <w:topLinePunct/>
                    <w:adjustRightInd w:val="0"/>
                    <w:snapToGrid w:val="0"/>
                    <w:jc w:val="center"/>
                    <w:rPr>
                      <w:kern w:val="0"/>
                      <w:szCs w:val="21"/>
                    </w:rPr>
                  </w:pPr>
                  <w:r>
                    <w:rPr>
                      <w:kern w:val="0"/>
                      <w:szCs w:val="21"/>
                    </w:rPr>
                    <w:t>含油污泥</w:t>
                  </w:r>
                </w:p>
              </w:tc>
              <w:tc>
                <w:tcPr>
                  <w:tcW w:w="375" w:type="pct"/>
                  <w:vMerge w:val="continue"/>
                  <w:vAlign w:val="center"/>
                </w:tcPr>
                <w:p w14:paraId="1ADAA248">
                  <w:pPr>
                    <w:topLinePunct/>
                    <w:adjustRightInd w:val="0"/>
                    <w:snapToGrid w:val="0"/>
                    <w:jc w:val="center"/>
                    <w:rPr>
                      <w:szCs w:val="21"/>
                    </w:rPr>
                  </w:pPr>
                </w:p>
              </w:tc>
              <w:tc>
                <w:tcPr>
                  <w:tcW w:w="375" w:type="pct"/>
                  <w:vMerge w:val="continue"/>
                  <w:vAlign w:val="center"/>
                </w:tcPr>
                <w:p w14:paraId="088C4774">
                  <w:pPr>
                    <w:jc w:val="center"/>
                    <w:rPr>
                      <w:szCs w:val="21"/>
                    </w:rPr>
                  </w:pPr>
                </w:p>
              </w:tc>
              <w:tc>
                <w:tcPr>
                  <w:tcW w:w="515" w:type="pct"/>
                  <w:vAlign w:val="center"/>
                </w:tcPr>
                <w:p w14:paraId="0F7E4B6A">
                  <w:pPr>
                    <w:topLinePunct/>
                    <w:adjustRightInd w:val="0"/>
                    <w:snapToGrid w:val="0"/>
                    <w:jc w:val="center"/>
                    <w:rPr>
                      <w:rFonts w:hint="eastAsia"/>
                      <w:kern w:val="0"/>
                      <w:szCs w:val="21"/>
                    </w:rPr>
                  </w:pPr>
                  <w:r>
                    <w:rPr>
                      <w:kern w:val="0"/>
                      <w:szCs w:val="21"/>
                    </w:rPr>
                    <w:t>0.0</w:t>
                  </w:r>
                  <w:r>
                    <w:rPr>
                      <w:rFonts w:hint="eastAsia"/>
                      <w:kern w:val="0"/>
                      <w:szCs w:val="21"/>
                    </w:rPr>
                    <w:t>5</w:t>
                  </w:r>
                </w:p>
              </w:tc>
              <w:tc>
                <w:tcPr>
                  <w:tcW w:w="661" w:type="pct"/>
                  <w:vAlign w:val="center"/>
                </w:tcPr>
                <w:p w14:paraId="6808E060">
                  <w:pPr>
                    <w:topLinePunct/>
                    <w:adjustRightInd w:val="0"/>
                    <w:snapToGrid w:val="0"/>
                    <w:jc w:val="center"/>
                    <w:rPr>
                      <w:kern w:val="0"/>
                      <w:szCs w:val="21"/>
                    </w:rPr>
                  </w:pPr>
                  <w:r>
                    <w:rPr>
                      <w:kern w:val="0"/>
                      <w:szCs w:val="21"/>
                    </w:rPr>
                    <w:t>隔油池清掏</w:t>
                  </w:r>
                </w:p>
              </w:tc>
              <w:tc>
                <w:tcPr>
                  <w:tcW w:w="388" w:type="pct"/>
                  <w:vAlign w:val="center"/>
                </w:tcPr>
                <w:p w14:paraId="2FFAC79E">
                  <w:pPr>
                    <w:topLinePunct/>
                    <w:adjustRightInd w:val="0"/>
                    <w:snapToGrid w:val="0"/>
                    <w:jc w:val="center"/>
                    <w:rPr>
                      <w:rFonts w:hint="eastAsia"/>
                      <w:kern w:val="0"/>
                      <w:szCs w:val="21"/>
                    </w:rPr>
                  </w:pPr>
                  <w:r>
                    <w:rPr>
                      <w:rFonts w:hint="eastAsia"/>
                      <w:kern w:val="0"/>
                      <w:szCs w:val="21"/>
                    </w:rPr>
                    <w:t>半固态</w:t>
                  </w:r>
                </w:p>
              </w:tc>
              <w:tc>
                <w:tcPr>
                  <w:tcW w:w="424" w:type="pct"/>
                  <w:vAlign w:val="center"/>
                </w:tcPr>
                <w:p w14:paraId="44750178">
                  <w:pPr>
                    <w:topLinePunct/>
                    <w:adjustRightInd w:val="0"/>
                    <w:snapToGrid w:val="0"/>
                    <w:jc w:val="center"/>
                    <w:rPr>
                      <w:kern w:val="0"/>
                      <w:szCs w:val="21"/>
                    </w:rPr>
                  </w:pPr>
                  <w:r>
                    <w:rPr>
                      <w:kern w:val="0"/>
                      <w:szCs w:val="21"/>
                    </w:rPr>
                    <w:t>矿物油</w:t>
                  </w:r>
                </w:p>
              </w:tc>
              <w:tc>
                <w:tcPr>
                  <w:tcW w:w="424" w:type="pct"/>
                  <w:vAlign w:val="center"/>
                </w:tcPr>
                <w:p w14:paraId="39C9EFDF">
                  <w:pPr>
                    <w:topLinePunct/>
                    <w:adjustRightInd w:val="0"/>
                    <w:snapToGrid w:val="0"/>
                    <w:jc w:val="center"/>
                    <w:rPr>
                      <w:kern w:val="0"/>
                      <w:szCs w:val="21"/>
                    </w:rPr>
                  </w:pPr>
                  <w:r>
                    <w:rPr>
                      <w:kern w:val="0"/>
                      <w:szCs w:val="21"/>
                    </w:rPr>
                    <w:t>半年</w:t>
                  </w:r>
                </w:p>
              </w:tc>
              <w:tc>
                <w:tcPr>
                  <w:tcW w:w="541" w:type="pct"/>
                  <w:vAlign w:val="center"/>
                </w:tcPr>
                <w:p w14:paraId="27C5CE4F">
                  <w:pPr>
                    <w:topLinePunct/>
                    <w:adjustRightInd w:val="0"/>
                    <w:snapToGrid w:val="0"/>
                    <w:jc w:val="center"/>
                    <w:rPr>
                      <w:kern w:val="0"/>
                      <w:szCs w:val="21"/>
                    </w:rPr>
                  </w:pPr>
                  <w:r>
                    <w:rPr>
                      <w:kern w:val="0"/>
                      <w:szCs w:val="21"/>
                    </w:rPr>
                    <w:t>毒性、易燃性</w:t>
                  </w:r>
                </w:p>
              </w:tc>
              <w:tc>
                <w:tcPr>
                  <w:tcW w:w="752" w:type="pct"/>
                  <w:vMerge w:val="continue"/>
                  <w:vAlign w:val="center"/>
                </w:tcPr>
                <w:p w14:paraId="3D5850EA">
                  <w:pPr>
                    <w:topLinePunct/>
                    <w:adjustRightInd w:val="0"/>
                    <w:snapToGrid w:val="0"/>
                    <w:jc w:val="center"/>
                    <w:rPr>
                      <w:kern w:val="0"/>
                      <w:szCs w:val="21"/>
                    </w:rPr>
                  </w:pPr>
                </w:p>
              </w:tc>
            </w:tr>
            <w:tr w14:paraId="2CB0CB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1" w:type="pct"/>
                  <w:vAlign w:val="center"/>
                </w:tcPr>
                <w:p w14:paraId="6C3C30E7">
                  <w:pPr>
                    <w:topLinePunct/>
                    <w:adjustRightInd w:val="0"/>
                    <w:snapToGrid w:val="0"/>
                    <w:jc w:val="center"/>
                    <w:rPr>
                      <w:kern w:val="0"/>
                      <w:szCs w:val="21"/>
                    </w:rPr>
                  </w:pPr>
                  <w:r>
                    <w:rPr>
                      <w:szCs w:val="21"/>
                    </w:rPr>
                    <w:t>含油手套</w:t>
                  </w:r>
                </w:p>
              </w:tc>
              <w:tc>
                <w:tcPr>
                  <w:tcW w:w="375" w:type="pct"/>
                  <w:vAlign w:val="center"/>
                </w:tcPr>
                <w:p w14:paraId="0FA12B6B">
                  <w:pPr>
                    <w:topLinePunct/>
                    <w:adjustRightInd w:val="0"/>
                    <w:snapToGrid w:val="0"/>
                    <w:jc w:val="center"/>
                    <w:rPr>
                      <w:kern w:val="0"/>
                      <w:szCs w:val="21"/>
                    </w:rPr>
                  </w:pPr>
                  <w:r>
                    <w:rPr>
                      <w:rFonts w:hint="eastAsia"/>
                      <w:snapToGrid w:val="0"/>
                      <w:szCs w:val="21"/>
                    </w:rPr>
                    <w:t>HW49</w:t>
                  </w:r>
                  <w:r>
                    <w:rPr>
                      <w:rFonts w:hint="eastAsia"/>
                      <w:szCs w:val="21"/>
                    </w:rPr>
                    <w:t>其他废物</w:t>
                  </w:r>
                </w:p>
              </w:tc>
              <w:tc>
                <w:tcPr>
                  <w:tcW w:w="375" w:type="pct"/>
                  <w:vAlign w:val="center"/>
                </w:tcPr>
                <w:p w14:paraId="3A6895C0">
                  <w:pPr>
                    <w:jc w:val="center"/>
                    <w:rPr>
                      <w:rFonts w:hint="eastAsia"/>
                      <w:szCs w:val="21"/>
                    </w:rPr>
                  </w:pPr>
                  <w:r>
                    <w:rPr>
                      <w:szCs w:val="21"/>
                    </w:rPr>
                    <w:t>900-041-49</w:t>
                  </w:r>
                </w:p>
              </w:tc>
              <w:tc>
                <w:tcPr>
                  <w:tcW w:w="515" w:type="pct"/>
                  <w:vAlign w:val="center"/>
                </w:tcPr>
                <w:p w14:paraId="6F3B31B4">
                  <w:pPr>
                    <w:topLinePunct/>
                    <w:adjustRightInd w:val="0"/>
                    <w:snapToGrid w:val="0"/>
                    <w:jc w:val="center"/>
                    <w:rPr>
                      <w:rFonts w:hint="eastAsia"/>
                      <w:kern w:val="0"/>
                      <w:szCs w:val="21"/>
                    </w:rPr>
                  </w:pPr>
                  <w:r>
                    <w:rPr>
                      <w:kern w:val="0"/>
                      <w:szCs w:val="21"/>
                    </w:rPr>
                    <w:t>0.0</w:t>
                  </w:r>
                  <w:r>
                    <w:rPr>
                      <w:rFonts w:hint="eastAsia"/>
                      <w:kern w:val="0"/>
                      <w:szCs w:val="21"/>
                    </w:rPr>
                    <w:t>1</w:t>
                  </w:r>
                </w:p>
              </w:tc>
              <w:tc>
                <w:tcPr>
                  <w:tcW w:w="661" w:type="pct"/>
                  <w:vAlign w:val="center"/>
                </w:tcPr>
                <w:p w14:paraId="794C245F">
                  <w:pPr>
                    <w:topLinePunct/>
                    <w:adjustRightInd w:val="0"/>
                    <w:snapToGrid w:val="0"/>
                    <w:jc w:val="center"/>
                    <w:rPr>
                      <w:kern w:val="0"/>
                      <w:szCs w:val="21"/>
                    </w:rPr>
                  </w:pPr>
                  <w:r>
                    <w:rPr>
                      <w:kern w:val="0"/>
                      <w:szCs w:val="21"/>
                    </w:rPr>
                    <w:t>检修</w:t>
                  </w:r>
                </w:p>
              </w:tc>
              <w:tc>
                <w:tcPr>
                  <w:tcW w:w="388" w:type="pct"/>
                  <w:vAlign w:val="center"/>
                </w:tcPr>
                <w:p w14:paraId="6CF18AD0">
                  <w:pPr>
                    <w:topLinePunct/>
                    <w:adjustRightInd w:val="0"/>
                    <w:snapToGrid w:val="0"/>
                    <w:jc w:val="center"/>
                    <w:rPr>
                      <w:kern w:val="0"/>
                      <w:szCs w:val="21"/>
                    </w:rPr>
                  </w:pPr>
                  <w:r>
                    <w:rPr>
                      <w:snapToGrid w:val="0"/>
                      <w:szCs w:val="21"/>
                    </w:rPr>
                    <w:t>固</w:t>
                  </w:r>
                  <w:r>
                    <w:rPr>
                      <w:rFonts w:hint="eastAsia"/>
                      <w:snapToGrid w:val="0"/>
                      <w:szCs w:val="21"/>
                    </w:rPr>
                    <w:t>态</w:t>
                  </w:r>
                </w:p>
              </w:tc>
              <w:tc>
                <w:tcPr>
                  <w:tcW w:w="424" w:type="pct"/>
                  <w:vAlign w:val="center"/>
                </w:tcPr>
                <w:p w14:paraId="2E9B851F">
                  <w:pPr>
                    <w:topLinePunct/>
                    <w:adjustRightInd w:val="0"/>
                    <w:snapToGrid w:val="0"/>
                    <w:jc w:val="center"/>
                    <w:rPr>
                      <w:kern w:val="0"/>
                      <w:szCs w:val="21"/>
                    </w:rPr>
                  </w:pPr>
                  <w:r>
                    <w:rPr>
                      <w:kern w:val="0"/>
                      <w:szCs w:val="21"/>
                    </w:rPr>
                    <w:t>矿物油</w:t>
                  </w:r>
                </w:p>
              </w:tc>
              <w:tc>
                <w:tcPr>
                  <w:tcW w:w="424" w:type="pct"/>
                  <w:vAlign w:val="center"/>
                </w:tcPr>
                <w:p w14:paraId="703688FD">
                  <w:pPr>
                    <w:topLinePunct/>
                    <w:adjustRightInd w:val="0"/>
                    <w:snapToGrid w:val="0"/>
                    <w:jc w:val="center"/>
                    <w:rPr>
                      <w:kern w:val="0"/>
                      <w:szCs w:val="21"/>
                    </w:rPr>
                  </w:pPr>
                  <w:r>
                    <w:rPr>
                      <w:kern w:val="0"/>
                      <w:szCs w:val="21"/>
                    </w:rPr>
                    <w:t>三个月</w:t>
                  </w:r>
                </w:p>
              </w:tc>
              <w:tc>
                <w:tcPr>
                  <w:tcW w:w="541" w:type="pct"/>
                  <w:vAlign w:val="center"/>
                </w:tcPr>
                <w:p w14:paraId="41C3A5AC">
                  <w:pPr>
                    <w:topLinePunct/>
                    <w:adjustRightInd w:val="0"/>
                    <w:snapToGrid w:val="0"/>
                    <w:jc w:val="center"/>
                    <w:rPr>
                      <w:kern w:val="0"/>
                      <w:szCs w:val="21"/>
                    </w:rPr>
                  </w:pPr>
                  <w:r>
                    <w:rPr>
                      <w:kern w:val="0"/>
                      <w:szCs w:val="21"/>
                    </w:rPr>
                    <w:t>易燃性</w:t>
                  </w:r>
                </w:p>
              </w:tc>
              <w:tc>
                <w:tcPr>
                  <w:tcW w:w="752" w:type="pct"/>
                  <w:vMerge w:val="continue"/>
                  <w:vAlign w:val="center"/>
                </w:tcPr>
                <w:p w14:paraId="4E58CAA3">
                  <w:pPr>
                    <w:topLinePunct/>
                    <w:adjustRightInd w:val="0"/>
                    <w:snapToGrid w:val="0"/>
                    <w:jc w:val="center"/>
                    <w:rPr>
                      <w:kern w:val="0"/>
                      <w:szCs w:val="21"/>
                    </w:rPr>
                  </w:pPr>
                </w:p>
              </w:tc>
            </w:tr>
          </w:tbl>
          <w:p w14:paraId="490B5210">
            <w:pPr>
              <w:pStyle w:val="68"/>
              <w:spacing w:line="240" w:lineRule="auto"/>
              <w:ind w:firstLine="480" w:firstLineChars="200"/>
              <w:jc w:val="both"/>
              <w:rPr>
                <w:rFonts w:hint="eastAsia" w:ascii="宋体" w:hAnsi="宋体"/>
                <w:b w:val="0"/>
                <w:bCs w:val="0"/>
                <w:szCs w:val="21"/>
              </w:rPr>
            </w:pPr>
            <w:r>
              <w:rPr>
                <w:rFonts w:hint="eastAsia" w:ascii="宋体" w:hAnsi="宋体"/>
                <w:b w:val="0"/>
                <w:bCs w:val="0"/>
                <w:szCs w:val="21"/>
              </w:rPr>
              <w:t>危废储存情况如下所示：</w:t>
            </w:r>
          </w:p>
          <w:p w14:paraId="66880BEB">
            <w:pPr>
              <w:pStyle w:val="68"/>
              <w:spacing w:line="240" w:lineRule="auto"/>
              <w:rPr>
                <w:rFonts w:ascii="黑体" w:hAnsi="黑体" w:eastAsia="黑体" w:cs="黑体"/>
                <w:b w:val="0"/>
                <w:bCs w:val="0"/>
                <w:szCs w:val="21"/>
              </w:rPr>
            </w:pPr>
            <w:r>
              <w:rPr>
                <w:rFonts w:ascii="黑体" w:hAnsi="黑体" w:eastAsia="黑体" w:cs="黑体"/>
                <w:b w:val="0"/>
                <w:bCs w:val="0"/>
                <w:szCs w:val="21"/>
              </w:rPr>
              <w:t>表4</w:t>
            </w:r>
            <w:r>
              <w:rPr>
                <w:rFonts w:hint="eastAsia" w:ascii="黑体" w:hAnsi="黑体" w:eastAsia="黑体" w:cs="黑体"/>
                <w:b w:val="0"/>
                <w:bCs w:val="0"/>
                <w:szCs w:val="21"/>
              </w:rPr>
              <w:t>-14</w:t>
            </w:r>
            <w:r>
              <w:rPr>
                <w:rFonts w:ascii="黑体" w:hAnsi="黑体" w:eastAsia="黑体" w:cs="黑体"/>
                <w:b w:val="0"/>
                <w:bCs w:val="0"/>
                <w:szCs w:val="21"/>
              </w:rPr>
              <w:t xml:space="preserve">  危险废物贮存场所（设施）基本情况表</w:t>
            </w:r>
          </w:p>
          <w:tbl>
            <w:tblPr>
              <w:tblStyle w:val="23"/>
              <w:tblW w:w="4996"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0"/>
              <w:gridCol w:w="1115"/>
              <w:gridCol w:w="1116"/>
              <w:gridCol w:w="1237"/>
              <w:gridCol w:w="1116"/>
              <w:gridCol w:w="828"/>
              <w:gridCol w:w="678"/>
              <w:gridCol w:w="678"/>
              <w:gridCol w:w="647"/>
            </w:tblGrid>
            <w:tr w14:paraId="58DA46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5" w:type="pct"/>
                  <w:vAlign w:val="center"/>
                </w:tcPr>
                <w:p w14:paraId="524A74D2">
                  <w:pPr>
                    <w:pStyle w:val="73"/>
                    <w:adjustRightInd/>
                    <w:snapToGrid/>
                    <w:spacing w:beforeLines="0" w:afterLines="0" w:line="240" w:lineRule="auto"/>
                    <w:rPr>
                      <w:rFonts w:ascii="Times New Roman"/>
                      <w:sz w:val="21"/>
                    </w:rPr>
                  </w:pPr>
                  <w:r>
                    <w:rPr>
                      <w:rFonts w:ascii="Times New Roman"/>
                      <w:sz w:val="21"/>
                    </w:rPr>
                    <w:t>贮存场所（设施）名称</w:t>
                  </w:r>
                </w:p>
              </w:tc>
              <w:tc>
                <w:tcPr>
                  <w:tcW w:w="690" w:type="pct"/>
                  <w:vAlign w:val="center"/>
                </w:tcPr>
                <w:p w14:paraId="23AEC060">
                  <w:pPr>
                    <w:pStyle w:val="73"/>
                    <w:adjustRightInd/>
                    <w:snapToGrid/>
                    <w:spacing w:beforeLines="0" w:afterLines="0" w:line="240" w:lineRule="auto"/>
                    <w:rPr>
                      <w:rFonts w:ascii="Times New Roman"/>
                      <w:sz w:val="21"/>
                    </w:rPr>
                  </w:pPr>
                  <w:r>
                    <w:rPr>
                      <w:rFonts w:ascii="Times New Roman"/>
                      <w:sz w:val="21"/>
                    </w:rPr>
                    <w:t>危险废物</w:t>
                  </w:r>
                </w:p>
                <w:p w14:paraId="415171F8">
                  <w:pPr>
                    <w:pStyle w:val="73"/>
                    <w:adjustRightInd/>
                    <w:snapToGrid/>
                    <w:spacing w:beforeLines="0" w:afterLines="0" w:line="240" w:lineRule="auto"/>
                    <w:rPr>
                      <w:rFonts w:ascii="Times New Roman"/>
                      <w:sz w:val="21"/>
                    </w:rPr>
                  </w:pPr>
                  <w:r>
                    <w:rPr>
                      <w:rFonts w:ascii="Times New Roman"/>
                      <w:sz w:val="21"/>
                    </w:rPr>
                    <w:t>名称</w:t>
                  </w:r>
                </w:p>
              </w:tc>
              <w:tc>
                <w:tcPr>
                  <w:tcW w:w="690" w:type="pct"/>
                  <w:vAlign w:val="center"/>
                </w:tcPr>
                <w:p w14:paraId="1A00FCCC">
                  <w:pPr>
                    <w:pStyle w:val="73"/>
                    <w:adjustRightInd/>
                    <w:snapToGrid/>
                    <w:spacing w:beforeLines="0" w:afterLines="0" w:line="240" w:lineRule="auto"/>
                    <w:rPr>
                      <w:rFonts w:ascii="Times New Roman"/>
                      <w:sz w:val="21"/>
                    </w:rPr>
                  </w:pPr>
                  <w:r>
                    <w:rPr>
                      <w:rFonts w:ascii="Times New Roman"/>
                      <w:sz w:val="21"/>
                    </w:rPr>
                    <w:t>危险废物类别</w:t>
                  </w:r>
                </w:p>
              </w:tc>
              <w:tc>
                <w:tcPr>
                  <w:tcW w:w="765" w:type="pct"/>
                  <w:vAlign w:val="center"/>
                </w:tcPr>
                <w:p w14:paraId="0E3B1F14">
                  <w:pPr>
                    <w:pStyle w:val="73"/>
                    <w:adjustRightInd/>
                    <w:snapToGrid/>
                    <w:spacing w:beforeLines="0" w:afterLines="0" w:line="240" w:lineRule="auto"/>
                    <w:rPr>
                      <w:rFonts w:ascii="Times New Roman"/>
                      <w:color w:val="000000"/>
                      <w:sz w:val="21"/>
                    </w:rPr>
                  </w:pPr>
                  <w:r>
                    <w:rPr>
                      <w:rFonts w:ascii="Times New Roman"/>
                      <w:color w:val="000000"/>
                      <w:sz w:val="21"/>
                    </w:rPr>
                    <w:t>危险废物</w:t>
                  </w:r>
                </w:p>
                <w:p w14:paraId="4841B009">
                  <w:pPr>
                    <w:pStyle w:val="73"/>
                    <w:adjustRightInd/>
                    <w:snapToGrid/>
                    <w:spacing w:beforeLines="0" w:afterLines="0" w:line="240" w:lineRule="auto"/>
                    <w:rPr>
                      <w:rFonts w:ascii="Times New Roman"/>
                      <w:color w:val="000000"/>
                      <w:sz w:val="21"/>
                    </w:rPr>
                  </w:pPr>
                  <w:r>
                    <w:rPr>
                      <w:rFonts w:ascii="Times New Roman"/>
                      <w:color w:val="000000"/>
                      <w:sz w:val="21"/>
                    </w:rPr>
                    <w:t>代码</w:t>
                  </w:r>
                </w:p>
              </w:tc>
              <w:tc>
                <w:tcPr>
                  <w:tcW w:w="690" w:type="pct"/>
                  <w:vAlign w:val="center"/>
                </w:tcPr>
                <w:p w14:paraId="6292F272">
                  <w:pPr>
                    <w:pStyle w:val="73"/>
                    <w:adjustRightInd/>
                    <w:snapToGrid/>
                    <w:spacing w:beforeLines="0" w:afterLines="0" w:line="240" w:lineRule="auto"/>
                    <w:rPr>
                      <w:rFonts w:ascii="Times New Roman"/>
                      <w:sz w:val="21"/>
                    </w:rPr>
                  </w:pPr>
                  <w:r>
                    <w:rPr>
                      <w:rFonts w:ascii="Times New Roman"/>
                      <w:sz w:val="21"/>
                    </w:rPr>
                    <w:t>贮存方式</w:t>
                  </w:r>
                </w:p>
              </w:tc>
              <w:tc>
                <w:tcPr>
                  <w:tcW w:w="512" w:type="pct"/>
                  <w:vAlign w:val="center"/>
                </w:tcPr>
                <w:p w14:paraId="32C0077D">
                  <w:pPr>
                    <w:pStyle w:val="73"/>
                    <w:adjustRightInd/>
                    <w:snapToGrid/>
                    <w:spacing w:beforeLines="0" w:afterLines="0" w:line="240" w:lineRule="auto"/>
                    <w:rPr>
                      <w:rFonts w:ascii="Times New Roman"/>
                      <w:sz w:val="21"/>
                    </w:rPr>
                  </w:pPr>
                  <w:r>
                    <w:rPr>
                      <w:rFonts w:ascii="Times New Roman"/>
                      <w:sz w:val="21"/>
                    </w:rPr>
                    <w:t>位置</w:t>
                  </w:r>
                </w:p>
              </w:tc>
              <w:tc>
                <w:tcPr>
                  <w:tcW w:w="419" w:type="pct"/>
                  <w:vAlign w:val="center"/>
                </w:tcPr>
                <w:p w14:paraId="76A7BA3B">
                  <w:pPr>
                    <w:pStyle w:val="73"/>
                    <w:adjustRightInd/>
                    <w:snapToGrid/>
                    <w:spacing w:beforeLines="0" w:afterLines="0" w:line="240" w:lineRule="auto"/>
                    <w:rPr>
                      <w:rFonts w:ascii="Times New Roman"/>
                      <w:sz w:val="21"/>
                    </w:rPr>
                  </w:pPr>
                  <w:r>
                    <w:rPr>
                      <w:rFonts w:ascii="Times New Roman"/>
                      <w:sz w:val="21"/>
                    </w:rPr>
                    <w:t>占地面积</w:t>
                  </w:r>
                  <w:r>
                    <w:rPr>
                      <w:rFonts w:hint="eastAsia" w:ascii="Times New Roman"/>
                      <w:sz w:val="21"/>
                    </w:rPr>
                    <w:t>（</w:t>
                  </w:r>
                  <w:r>
                    <w:rPr>
                      <w:rFonts w:ascii="Times New Roman"/>
                      <w:sz w:val="21"/>
                    </w:rPr>
                    <w:t>m</w:t>
                  </w:r>
                  <w:r>
                    <w:rPr>
                      <w:rFonts w:ascii="Times New Roman"/>
                      <w:sz w:val="21"/>
                      <w:vertAlign w:val="superscript"/>
                    </w:rPr>
                    <w:t>2</w:t>
                  </w:r>
                  <w:r>
                    <w:rPr>
                      <w:rFonts w:hint="eastAsia" w:ascii="Times New Roman"/>
                      <w:sz w:val="21"/>
                    </w:rPr>
                    <w:t>）</w:t>
                  </w:r>
                </w:p>
              </w:tc>
              <w:tc>
                <w:tcPr>
                  <w:tcW w:w="419" w:type="pct"/>
                  <w:vAlign w:val="center"/>
                </w:tcPr>
                <w:p w14:paraId="2510077E">
                  <w:pPr>
                    <w:pStyle w:val="73"/>
                    <w:adjustRightInd/>
                    <w:snapToGrid/>
                    <w:spacing w:beforeLines="0" w:afterLines="0" w:line="240" w:lineRule="auto"/>
                    <w:rPr>
                      <w:rFonts w:ascii="Times New Roman"/>
                      <w:sz w:val="21"/>
                    </w:rPr>
                  </w:pPr>
                  <w:r>
                    <w:rPr>
                      <w:rFonts w:hint="eastAsia" w:ascii="Times New Roman"/>
                      <w:sz w:val="21"/>
                    </w:rPr>
                    <w:t>贮存能力</w:t>
                  </w:r>
                </w:p>
              </w:tc>
              <w:tc>
                <w:tcPr>
                  <w:tcW w:w="400" w:type="pct"/>
                  <w:vAlign w:val="center"/>
                </w:tcPr>
                <w:p w14:paraId="396140D9">
                  <w:pPr>
                    <w:pStyle w:val="73"/>
                    <w:adjustRightInd/>
                    <w:snapToGrid/>
                    <w:spacing w:beforeLines="0" w:afterLines="0" w:line="240" w:lineRule="auto"/>
                    <w:rPr>
                      <w:rFonts w:ascii="Times New Roman"/>
                      <w:sz w:val="21"/>
                    </w:rPr>
                  </w:pPr>
                  <w:r>
                    <w:rPr>
                      <w:rFonts w:ascii="Times New Roman"/>
                      <w:sz w:val="21"/>
                    </w:rPr>
                    <w:t>贮存周期</w:t>
                  </w:r>
                </w:p>
              </w:tc>
            </w:tr>
            <w:tr w14:paraId="40DE29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5" w:type="pct"/>
                  <w:vMerge w:val="restart"/>
                  <w:vAlign w:val="center"/>
                </w:tcPr>
                <w:p w14:paraId="07B8833E">
                  <w:pPr>
                    <w:pStyle w:val="73"/>
                    <w:adjustRightInd/>
                    <w:snapToGrid/>
                    <w:spacing w:beforeLines="0" w:afterLines="0" w:line="240" w:lineRule="auto"/>
                    <w:rPr>
                      <w:rFonts w:ascii="Times New Roman"/>
                      <w:sz w:val="21"/>
                    </w:rPr>
                  </w:pPr>
                  <w:r>
                    <w:rPr>
                      <w:rFonts w:ascii="Times New Roman"/>
                      <w:sz w:val="21"/>
                    </w:rPr>
                    <w:t>危废暂</w:t>
                  </w:r>
                </w:p>
                <w:p w14:paraId="63AE7B60">
                  <w:pPr>
                    <w:pStyle w:val="73"/>
                    <w:adjustRightInd/>
                    <w:snapToGrid/>
                    <w:spacing w:beforeLines="0" w:afterLines="0" w:line="240" w:lineRule="auto"/>
                    <w:rPr>
                      <w:rFonts w:ascii="Times New Roman"/>
                      <w:sz w:val="21"/>
                    </w:rPr>
                  </w:pPr>
                  <w:r>
                    <w:rPr>
                      <w:rFonts w:ascii="Times New Roman"/>
                      <w:sz w:val="21"/>
                    </w:rPr>
                    <w:t>存间</w:t>
                  </w:r>
                </w:p>
              </w:tc>
              <w:tc>
                <w:tcPr>
                  <w:tcW w:w="690" w:type="pct"/>
                  <w:vAlign w:val="center"/>
                </w:tcPr>
                <w:p w14:paraId="460E189F">
                  <w:pPr>
                    <w:jc w:val="center"/>
                    <w:rPr>
                      <w:szCs w:val="21"/>
                    </w:rPr>
                  </w:pPr>
                  <w:r>
                    <w:rPr>
                      <w:szCs w:val="21"/>
                    </w:rPr>
                    <w:t>检修废物</w:t>
                  </w:r>
                </w:p>
              </w:tc>
              <w:tc>
                <w:tcPr>
                  <w:tcW w:w="690" w:type="pct"/>
                  <w:vMerge w:val="restart"/>
                  <w:vAlign w:val="center"/>
                </w:tcPr>
                <w:p w14:paraId="31BC4650">
                  <w:pPr>
                    <w:jc w:val="center"/>
                    <w:rPr>
                      <w:szCs w:val="21"/>
                    </w:rPr>
                  </w:pPr>
                  <w:r>
                    <w:rPr>
                      <w:szCs w:val="21"/>
                    </w:rPr>
                    <w:t>HW08废矿物油与含矿物油废物</w:t>
                  </w:r>
                </w:p>
              </w:tc>
              <w:tc>
                <w:tcPr>
                  <w:tcW w:w="765" w:type="pct"/>
                  <w:vAlign w:val="center"/>
                </w:tcPr>
                <w:p w14:paraId="7FC18561">
                  <w:pPr>
                    <w:jc w:val="center"/>
                    <w:rPr>
                      <w:color w:val="000000"/>
                      <w:szCs w:val="21"/>
                    </w:rPr>
                  </w:pPr>
                  <w:r>
                    <w:rPr>
                      <w:color w:val="000000"/>
                      <w:szCs w:val="21"/>
                    </w:rPr>
                    <w:t>900-214-08</w:t>
                  </w:r>
                </w:p>
              </w:tc>
              <w:tc>
                <w:tcPr>
                  <w:tcW w:w="690" w:type="pct"/>
                  <w:vAlign w:val="center"/>
                </w:tcPr>
                <w:p w14:paraId="26E00AB4">
                  <w:pPr>
                    <w:pStyle w:val="73"/>
                    <w:adjustRightInd/>
                    <w:snapToGrid/>
                    <w:spacing w:beforeLines="0" w:afterLines="0" w:line="240" w:lineRule="auto"/>
                    <w:rPr>
                      <w:rFonts w:ascii="Times New Roman"/>
                      <w:sz w:val="21"/>
                    </w:rPr>
                  </w:pPr>
                  <w:r>
                    <w:rPr>
                      <w:rFonts w:ascii="Times New Roman"/>
                      <w:sz w:val="21"/>
                    </w:rPr>
                    <w:t>桶装密封</w:t>
                  </w:r>
                </w:p>
              </w:tc>
              <w:tc>
                <w:tcPr>
                  <w:tcW w:w="512" w:type="pct"/>
                  <w:vMerge w:val="restart"/>
                  <w:vAlign w:val="center"/>
                </w:tcPr>
                <w:p w14:paraId="65373A8E">
                  <w:pPr>
                    <w:pStyle w:val="73"/>
                    <w:adjustRightInd/>
                    <w:snapToGrid/>
                    <w:spacing w:beforeLines="0" w:afterLines="0" w:line="240" w:lineRule="auto"/>
                    <w:rPr>
                      <w:rFonts w:ascii="Times New Roman"/>
                      <w:sz w:val="21"/>
                    </w:rPr>
                  </w:pPr>
                  <w:r>
                    <w:rPr>
                      <w:rFonts w:hint="eastAsia" w:ascii="Times New Roman"/>
                    </w:rPr>
                    <w:t>站房内西南侧</w:t>
                  </w:r>
                </w:p>
              </w:tc>
              <w:tc>
                <w:tcPr>
                  <w:tcW w:w="419" w:type="pct"/>
                  <w:vMerge w:val="restart"/>
                  <w:vAlign w:val="center"/>
                </w:tcPr>
                <w:p w14:paraId="5C55F8AC">
                  <w:pPr>
                    <w:pStyle w:val="73"/>
                    <w:adjustRightInd/>
                    <w:snapToGrid/>
                    <w:spacing w:beforeLines="0" w:afterLines="0" w:line="240" w:lineRule="auto"/>
                    <w:rPr>
                      <w:rFonts w:ascii="Times New Roman"/>
                      <w:sz w:val="21"/>
                    </w:rPr>
                  </w:pPr>
                  <w:r>
                    <w:rPr>
                      <w:rFonts w:hint="eastAsia" w:ascii="Times New Roman"/>
                      <w:sz w:val="21"/>
                    </w:rPr>
                    <w:t>5</w:t>
                  </w:r>
                </w:p>
              </w:tc>
              <w:tc>
                <w:tcPr>
                  <w:tcW w:w="419" w:type="pct"/>
                  <w:vMerge w:val="restart"/>
                  <w:vAlign w:val="center"/>
                </w:tcPr>
                <w:p w14:paraId="35E80215">
                  <w:pPr>
                    <w:pStyle w:val="73"/>
                    <w:adjustRightInd/>
                    <w:snapToGrid/>
                    <w:spacing w:beforeLines="0" w:afterLines="0" w:line="240" w:lineRule="auto"/>
                    <w:rPr>
                      <w:rFonts w:ascii="Times New Roman"/>
                      <w:sz w:val="21"/>
                    </w:rPr>
                  </w:pPr>
                  <w:r>
                    <w:rPr>
                      <w:rFonts w:hint="eastAsia" w:ascii="Times New Roman"/>
                      <w:sz w:val="21"/>
                    </w:rPr>
                    <w:t>200L</w:t>
                  </w:r>
                </w:p>
              </w:tc>
              <w:tc>
                <w:tcPr>
                  <w:tcW w:w="400" w:type="pct"/>
                  <w:vMerge w:val="restart"/>
                  <w:vAlign w:val="center"/>
                </w:tcPr>
                <w:p w14:paraId="75F5DBFD">
                  <w:pPr>
                    <w:pStyle w:val="73"/>
                    <w:adjustRightInd/>
                    <w:snapToGrid/>
                    <w:spacing w:beforeLines="0" w:afterLines="0" w:line="240" w:lineRule="auto"/>
                    <w:rPr>
                      <w:rFonts w:ascii="Times New Roman"/>
                      <w:sz w:val="21"/>
                    </w:rPr>
                  </w:pPr>
                  <w:r>
                    <w:rPr>
                      <w:rFonts w:ascii="Times New Roman"/>
                      <w:sz w:val="21"/>
                    </w:rPr>
                    <w:t>半年</w:t>
                  </w:r>
                </w:p>
              </w:tc>
            </w:tr>
            <w:tr w14:paraId="1392D8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415" w:type="pct"/>
                  <w:vMerge w:val="continue"/>
                  <w:vAlign w:val="center"/>
                </w:tcPr>
                <w:p w14:paraId="5E3B2CAA">
                  <w:pPr>
                    <w:pStyle w:val="73"/>
                    <w:adjustRightInd/>
                    <w:snapToGrid/>
                    <w:spacing w:beforeLines="0" w:afterLines="0" w:line="240" w:lineRule="auto"/>
                    <w:rPr>
                      <w:rFonts w:ascii="Times New Roman"/>
                      <w:sz w:val="21"/>
                    </w:rPr>
                  </w:pPr>
                </w:p>
              </w:tc>
              <w:tc>
                <w:tcPr>
                  <w:tcW w:w="690" w:type="pct"/>
                  <w:vAlign w:val="center"/>
                </w:tcPr>
                <w:p w14:paraId="0FBBC2BA">
                  <w:pPr>
                    <w:jc w:val="center"/>
                    <w:rPr>
                      <w:szCs w:val="21"/>
                    </w:rPr>
                  </w:pPr>
                  <w:r>
                    <w:rPr>
                      <w:szCs w:val="21"/>
                    </w:rPr>
                    <w:t>清罐废物</w:t>
                  </w:r>
                </w:p>
              </w:tc>
              <w:tc>
                <w:tcPr>
                  <w:tcW w:w="690" w:type="pct"/>
                  <w:vMerge w:val="continue"/>
                  <w:vAlign w:val="center"/>
                </w:tcPr>
                <w:p w14:paraId="3D623592">
                  <w:pPr>
                    <w:jc w:val="center"/>
                    <w:rPr>
                      <w:szCs w:val="21"/>
                    </w:rPr>
                  </w:pPr>
                </w:p>
              </w:tc>
              <w:tc>
                <w:tcPr>
                  <w:tcW w:w="765" w:type="pct"/>
                  <w:vAlign w:val="center"/>
                </w:tcPr>
                <w:p w14:paraId="6E24BCF9">
                  <w:pPr>
                    <w:jc w:val="center"/>
                    <w:rPr>
                      <w:color w:val="000000"/>
                      <w:szCs w:val="21"/>
                    </w:rPr>
                  </w:pPr>
                  <w:r>
                    <w:rPr>
                      <w:color w:val="000000"/>
                      <w:szCs w:val="21"/>
                    </w:rPr>
                    <w:t>900-</w:t>
                  </w:r>
                  <w:r>
                    <w:rPr>
                      <w:rFonts w:hint="eastAsia"/>
                      <w:color w:val="000000"/>
                      <w:szCs w:val="21"/>
                    </w:rPr>
                    <w:t>221</w:t>
                  </w:r>
                  <w:r>
                    <w:rPr>
                      <w:color w:val="000000"/>
                      <w:szCs w:val="21"/>
                    </w:rPr>
                    <w:t>-08</w:t>
                  </w:r>
                </w:p>
              </w:tc>
              <w:tc>
                <w:tcPr>
                  <w:tcW w:w="690" w:type="pct"/>
                  <w:vAlign w:val="center"/>
                </w:tcPr>
                <w:p w14:paraId="155F40C3">
                  <w:pPr>
                    <w:pStyle w:val="73"/>
                    <w:adjustRightInd/>
                    <w:snapToGrid/>
                    <w:spacing w:beforeLines="0" w:afterLines="0" w:line="240" w:lineRule="auto"/>
                    <w:rPr>
                      <w:rFonts w:ascii="Times New Roman"/>
                      <w:sz w:val="21"/>
                    </w:rPr>
                  </w:pPr>
                  <w:r>
                    <w:rPr>
                      <w:rFonts w:ascii="Times New Roman"/>
                      <w:sz w:val="21"/>
                    </w:rPr>
                    <w:t>桶装密封</w:t>
                  </w:r>
                </w:p>
              </w:tc>
              <w:tc>
                <w:tcPr>
                  <w:tcW w:w="512" w:type="pct"/>
                  <w:vMerge w:val="continue"/>
                  <w:vAlign w:val="center"/>
                </w:tcPr>
                <w:p w14:paraId="1DF6FE38">
                  <w:pPr>
                    <w:pStyle w:val="73"/>
                    <w:adjustRightInd/>
                    <w:snapToGrid/>
                    <w:spacing w:beforeLines="0" w:afterLines="0" w:line="240" w:lineRule="auto"/>
                    <w:rPr>
                      <w:rFonts w:ascii="Times New Roman"/>
                      <w:sz w:val="21"/>
                    </w:rPr>
                  </w:pPr>
                </w:p>
              </w:tc>
              <w:tc>
                <w:tcPr>
                  <w:tcW w:w="419" w:type="pct"/>
                  <w:vMerge w:val="continue"/>
                  <w:vAlign w:val="center"/>
                </w:tcPr>
                <w:p w14:paraId="20103C3F">
                  <w:pPr>
                    <w:pStyle w:val="73"/>
                    <w:adjustRightInd/>
                    <w:snapToGrid/>
                    <w:spacing w:beforeLines="0" w:afterLines="0" w:line="240" w:lineRule="auto"/>
                    <w:rPr>
                      <w:rFonts w:ascii="Times New Roman"/>
                      <w:sz w:val="21"/>
                    </w:rPr>
                  </w:pPr>
                </w:p>
              </w:tc>
              <w:tc>
                <w:tcPr>
                  <w:tcW w:w="419" w:type="pct"/>
                  <w:vMerge w:val="continue"/>
                  <w:vAlign w:val="center"/>
                </w:tcPr>
                <w:p w14:paraId="7D4003DD">
                  <w:pPr>
                    <w:pStyle w:val="73"/>
                    <w:adjustRightInd/>
                    <w:snapToGrid/>
                    <w:spacing w:beforeLines="0" w:afterLines="0" w:line="240" w:lineRule="auto"/>
                    <w:rPr>
                      <w:rFonts w:ascii="Times New Roman"/>
                      <w:sz w:val="21"/>
                    </w:rPr>
                  </w:pPr>
                </w:p>
              </w:tc>
              <w:tc>
                <w:tcPr>
                  <w:tcW w:w="400" w:type="pct"/>
                  <w:vMerge w:val="continue"/>
                  <w:vAlign w:val="center"/>
                </w:tcPr>
                <w:p w14:paraId="415C5E89">
                  <w:pPr>
                    <w:pStyle w:val="73"/>
                    <w:adjustRightInd/>
                    <w:snapToGrid/>
                    <w:spacing w:beforeLines="0" w:afterLines="0" w:line="240" w:lineRule="auto"/>
                    <w:rPr>
                      <w:rFonts w:ascii="Times New Roman"/>
                      <w:sz w:val="21"/>
                    </w:rPr>
                  </w:pPr>
                </w:p>
              </w:tc>
            </w:tr>
            <w:tr w14:paraId="5E70E0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415" w:type="pct"/>
                  <w:vMerge w:val="continue"/>
                  <w:vAlign w:val="center"/>
                </w:tcPr>
                <w:p w14:paraId="5619D836">
                  <w:pPr>
                    <w:pStyle w:val="73"/>
                    <w:adjustRightInd/>
                    <w:snapToGrid/>
                    <w:spacing w:beforeLines="0" w:afterLines="0" w:line="240" w:lineRule="auto"/>
                    <w:rPr>
                      <w:rFonts w:ascii="Times New Roman"/>
                      <w:sz w:val="21"/>
                    </w:rPr>
                  </w:pPr>
                </w:p>
              </w:tc>
              <w:tc>
                <w:tcPr>
                  <w:tcW w:w="690" w:type="pct"/>
                  <w:vAlign w:val="center"/>
                </w:tcPr>
                <w:p w14:paraId="28024C4D">
                  <w:pPr>
                    <w:jc w:val="center"/>
                    <w:rPr>
                      <w:szCs w:val="21"/>
                    </w:rPr>
                  </w:pPr>
                  <w:r>
                    <w:rPr>
                      <w:rFonts w:hint="eastAsia"/>
                      <w:szCs w:val="21"/>
                    </w:rPr>
                    <w:t>浮油</w:t>
                  </w:r>
                </w:p>
              </w:tc>
              <w:tc>
                <w:tcPr>
                  <w:tcW w:w="690" w:type="pct"/>
                  <w:vMerge w:val="continue"/>
                  <w:vAlign w:val="center"/>
                </w:tcPr>
                <w:p w14:paraId="1BE0772E">
                  <w:pPr>
                    <w:jc w:val="center"/>
                    <w:rPr>
                      <w:szCs w:val="21"/>
                    </w:rPr>
                  </w:pPr>
                </w:p>
              </w:tc>
              <w:tc>
                <w:tcPr>
                  <w:tcW w:w="765" w:type="pct"/>
                  <w:vMerge w:val="restart"/>
                  <w:vAlign w:val="center"/>
                </w:tcPr>
                <w:p w14:paraId="2738FE2C">
                  <w:pPr>
                    <w:jc w:val="center"/>
                    <w:rPr>
                      <w:szCs w:val="21"/>
                    </w:rPr>
                  </w:pPr>
                  <w:r>
                    <w:rPr>
                      <w:szCs w:val="21"/>
                    </w:rPr>
                    <w:t>900-210-08</w:t>
                  </w:r>
                </w:p>
              </w:tc>
              <w:tc>
                <w:tcPr>
                  <w:tcW w:w="690" w:type="pct"/>
                  <w:vAlign w:val="center"/>
                </w:tcPr>
                <w:p w14:paraId="243487F5">
                  <w:pPr>
                    <w:pStyle w:val="73"/>
                    <w:adjustRightInd/>
                    <w:snapToGrid/>
                    <w:spacing w:beforeLines="0" w:afterLines="0" w:line="240" w:lineRule="auto"/>
                    <w:rPr>
                      <w:rFonts w:ascii="Times New Roman"/>
                      <w:sz w:val="21"/>
                    </w:rPr>
                  </w:pPr>
                  <w:r>
                    <w:rPr>
                      <w:rFonts w:ascii="Times New Roman"/>
                      <w:sz w:val="21"/>
                    </w:rPr>
                    <w:t>桶装密封</w:t>
                  </w:r>
                </w:p>
              </w:tc>
              <w:tc>
                <w:tcPr>
                  <w:tcW w:w="512" w:type="pct"/>
                  <w:vMerge w:val="continue"/>
                  <w:vAlign w:val="center"/>
                </w:tcPr>
                <w:p w14:paraId="526D2939">
                  <w:pPr>
                    <w:pStyle w:val="73"/>
                    <w:adjustRightInd/>
                    <w:snapToGrid/>
                    <w:spacing w:beforeLines="0" w:afterLines="0" w:line="240" w:lineRule="auto"/>
                    <w:rPr>
                      <w:rFonts w:ascii="Times New Roman"/>
                      <w:sz w:val="21"/>
                    </w:rPr>
                  </w:pPr>
                </w:p>
              </w:tc>
              <w:tc>
                <w:tcPr>
                  <w:tcW w:w="419" w:type="pct"/>
                  <w:vMerge w:val="continue"/>
                  <w:vAlign w:val="center"/>
                </w:tcPr>
                <w:p w14:paraId="1329F408">
                  <w:pPr>
                    <w:pStyle w:val="73"/>
                    <w:adjustRightInd/>
                    <w:snapToGrid/>
                    <w:spacing w:beforeLines="0" w:afterLines="0" w:line="240" w:lineRule="auto"/>
                    <w:rPr>
                      <w:rFonts w:ascii="Times New Roman"/>
                      <w:sz w:val="21"/>
                    </w:rPr>
                  </w:pPr>
                </w:p>
              </w:tc>
              <w:tc>
                <w:tcPr>
                  <w:tcW w:w="419" w:type="pct"/>
                  <w:vMerge w:val="continue"/>
                  <w:vAlign w:val="center"/>
                </w:tcPr>
                <w:p w14:paraId="2CC2790B">
                  <w:pPr>
                    <w:pStyle w:val="73"/>
                    <w:adjustRightInd/>
                    <w:snapToGrid/>
                    <w:spacing w:beforeLines="0" w:afterLines="0" w:line="240" w:lineRule="auto"/>
                    <w:rPr>
                      <w:rFonts w:ascii="Times New Roman"/>
                      <w:sz w:val="21"/>
                    </w:rPr>
                  </w:pPr>
                </w:p>
              </w:tc>
              <w:tc>
                <w:tcPr>
                  <w:tcW w:w="400" w:type="pct"/>
                  <w:vMerge w:val="continue"/>
                  <w:vAlign w:val="center"/>
                </w:tcPr>
                <w:p w14:paraId="075A4E81">
                  <w:pPr>
                    <w:pStyle w:val="73"/>
                    <w:adjustRightInd/>
                    <w:snapToGrid/>
                    <w:spacing w:beforeLines="0" w:afterLines="0" w:line="240" w:lineRule="auto"/>
                    <w:rPr>
                      <w:rFonts w:ascii="Times New Roman"/>
                      <w:sz w:val="21"/>
                    </w:rPr>
                  </w:pPr>
                </w:p>
              </w:tc>
            </w:tr>
            <w:tr w14:paraId="299B5B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415" w:type="pct"/>
                  <w:vMerge w:val="continue"/>
                  <w:vAlign w:val="center"/>
                </w:tcPr>
                <w:p w14:paraId="556A5AD0">
                  <w:pPr>
                    <w:pStyle w:val="73"/>
                    <w:adjustRightInd/>
                    <w:snapToGrid/>
                    <w:spacing w:beforeLines="0" w:afterLines="0" w:line="240" w:lineRule="auto"/>
                    <w:rPr>
                      <w:rFonts w:ascii="Times New Roman"/>
                      <w:sz w:val="21"/>
                    </w:rPr>
                  </w:pPr>
                </w:p>
              </w:tc>
              <w:tc>
                <w:tcPr>
                  <w:tcW w:w="690" w:type="pct"/>
                  <w:vAlign w:val="center"/>
                </w:tcPr>
                <w:p w14:paraId="78A5E931">
                  <w:pPr>
                    <w:jc w:val="center"/>
                    <w:rPr>
                      <w:szCs w:val="21"/>
                    </w:rPr>
                  </w:pPr>
                  <w:r>
                    <w:rPr>
                      <w:szCs w:val="21"/>
                    </w:rPr>
                    <w:t>含油污泥</w:t>
                  </w:r>
                </w:p>
              </w:tc>
              <w:tc>
                <w:tcPr>
                  <w:tcW w:w="690" w:type="pct"/>
                  <w:vMerge w:val="continue"/>
                  <w:vAlign w:val="center"/>
                </w:tcPr>
                <w:p w14:paraId="2CE284AF">
                  <w:pPr>
                    <w:jc w:val="center"/>
                    <w:rPr>
                      <w:szCs w:val="21"/>
                    </w:rPr>
                  </w:pPr>
                </w:p>
              </w:tc>
              <w:tc>
                <w:tcPr>
                  <w:tcW w:w="765" w:type="pct"/>
                  <w:vMerge w:val="continue"/>
                  <w:vAlign w:val="center"/>
                </w:tcPr>
                <w:p w14:paraId="16267830">
                  <w:pPr>
                    <w:jc w:val="center"/>
                    <w:rPr>
                      <w:szCs w:val="21"/>
                    </w:rPr>
                  </w:pPr>
                </w:p>
              </w:tc>
              <w:tc>
                <w:tcPr>
                  <w:tcW w:w="690" w:type="pct"/>
                  <w:vAlign w:val="center"/>
                </w:tcPr>
                <w:p w14:paraId="5184A5B4">
                  <w:pPr>
                    <w:pStyle w:val="73"/>
                    <w:adjustRightInd/>
                    <w:snapToGrid/>
                    <w:spacing w:beforeLines="0" w:afterLines="0" w:line="240" w:lineRule="auto"/>
                    <w:rPr>
                      <w:rFonts w:ascii="Times New Roman"/>
                      <w:sz w:val="21"/>
                    </w:rPr>
                  </w:pPr>
                  <w:r>
                    <w:rPr>
                      <w:rFonts w:ascii="Times New Roman"/>
                      <w:sz w:val="21"/>
                    </w:rPr>
                    <w:t>桶装密封</w:t>
                  </w:r>
                </w:p>
              </w:tc>
              <w:tc>
                <w:tcPr>
                  <w:tcW w:w="512" w:type="pct"/>
                  <w:vMerge w:val="continue"/>
                  <w:vAlign w:val="center"/>
                </w:tcPr>
                <w:p w14:paraId="5EEAB219">
                  <w:pPr>
                    <w:pStyle w:val="73"/>
                    <w:adjustRightInd/>
                    <w:snapToGrid/>
                    <w:spacing w:beforeLines="0" w:afterLines="0" w:line="240" w:lineRule="auto"/>
                    <w:rPr>
                      <w:rFonts w:ascii="Times New Roman"/>
                      <w:sz w:val="21"/>
                    </w:rPr>
                  </w:pPr>
                </w:p>
              </w:tc>
              <w:tc>
                <w:tcPr>
                  <w:tcW w:w="419" w:type="pct"/>
                  <w:vMerge w:val="continue"/>
                  <w:vAlign w:val="center"/>
                </w:tcPr>
                <w:p w14:paraId="6B7487DA">
                  <w:pPr>
                    <w:pStyle w:val="73"/>
                    <w:adjustRightInd/>
                    <w:snapToGrid/>
                    <w:spacing w:beforeLines="0" w:afterLines="0" w:line="240" w:lineRule="auto"/>
                    <w:rPr>
                      <w:rFonts w:ascii="Times New Roman"/>
                      <w:sz w:val="21"/>
                    </w:rPr>
                  </w:pPr>
                </w:p>
              </w:tc>
              <w:tc>
                <w:tcPr>
                  <w:tcW w:w="419" w:type="pct"/>
                  <w:vMerge w:val="continue"/>
                  <w:vAlign w:val="center"/>
                </w:tcPr>
                <w:p w14:paraId="042CC6D6">
                  <w:pPr>
                    <w:pStyle w:val="73"/>
                    <w:adjustRightInd/>
                    <w:snapToGrid/>
                    <w:spacing w:beforeLines="0" w:afterLines="0" w:line="240" w:lineRule="auto"/>
                    <w:rPr>
                      <w:rFonts w:ascii="Times New Roman"/>
                      <w:sz w:val="21"/>
                    </w:rPr>
                  </w:pPr>
                </w:p>
              </w:tc>
              <w:tc>
                <w:tcPr>
                  <w:tcW w:w="400" w:type="pct"/>
                  <w:vMerge w:val="continue"/>
                  <w:vAlign w:val="center"/>
                </w:tcPr>
                <w:p w14:paraId="707A104D">
                  <w:pPr>
                    <w:pStyle w:val="73"/>
                    <w:adjustRightInd/>
                    <w:snapToGrid/>
                    <w:spacing w:beforeLines="0" w:afterLines="0" w:line="240" w:lineRule="auto"/>
                    <w:rPr>
                      <w:rFonts w:ascii="Times New Roman"/>
                      <w:sz w:val="21"/>
                    </w:rPr>
                  </w:pPr>
                </w:p>
              </w:tc>
            </w:tr>
            <w:tr w14:paraId="52F6F9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5" w:type="pct"/>
                  <w:vMerge w:val="continue"/>
                  <w:vAlign w:val="center"/>
                </w:tcPr>
                <w:p w14:paraId="45B064B5">
                  <w:pPr>
                    <w:pStyle w:val="73"/>
                    <w:adjustRightInd/>
                    <w:snapToGrid/>
                    <w:spacing w:beforeLines="0" w:afterLines="0" w:line="240" w:lineRule="auto"/>
                    <w:rPr>
                      <w:rFonts w:ascii="Times New Roman"/>
                      <w:sz w:val="21"/>
                    </w:rPr>
                  </w:pPr>
                </w:p>
              </w:tc>
              <w:tc>
                <w:tcPr>
                  <w:tcW w:w="690" w:type="pct"/>
                  <w:vAlign w:val="center"/>
                </w:tcPr>
                <w:p w14:paraId="32D6BA2E">
                  <w:pPr>
                    <w:jc w:val="center"/>
                    <w:rPr>
                      <w:szCs w:val="21"/>
                    </w:rPr>
                  </w:pPr>
                  <w:r>
                    <w:rPr>
                      <w:szCs w:val="21"/>
                    </w:rPr>
                    <w:t>含油手套</w:t>
                  </w:r>
                </w:p>
              </w:tc>
              <w:tc>
                <w:tcPr>
                  <w:tcW w:w="690" w:type="pct"/>
                  <w:vAlign w:val="center"/>
                </w:tcPr>
                <w:p w14:paraId="5DC9E220">
                  <w:pPr>
                    <w:jc w:val="center"/>
                    <w:rPr>
                      <w:szCs w:val="21"/>
                    </w:rPr>
                  </w:pPr>
                  <w:r>
                    <w:rPr>
                      <w:szCs w:val="21"/>
                    </w:rPr>
                    <w:t>HW49</w:t>
                  </w:r>
                  <w:r>
                    <w:rPr>
                      <w:rFonts w:hint="eastAsia"/>
                      <w:szCs w:val="21"/>
                    </w:rPr>
                    <w:t>其他废物</w:t>
                  </w:r>
                </w:p>
              </w:tc>
              <w:tc>
                <w:tcPr>
                  <w:tcW w:w="765" w:type="pct"/>
                  <w:vAlign w:val="center"/>
                </w:tcPr>
                <w:p w14:paraId="5836D727">
                  <w:pPr>
                    <w:jc w:val="center"/>
                    <w:rPr>
                      <w:szCs w:val="21"/>
                    </w:rPr>
                  </w:pPr>
                  <w:r>
                    <w:rPr>
                      <w:szCs w:val="21"/>
                    </w:rPr>
                    <w:t>900-041-49</w:t>
                  </w:r>
                </w:p>
              </w:tc>
              <w:tc>
                <w:tcPr>
                  <w:tcW w:w="690" w:type="pct"/>
                  <w:vAlign w:val="center"/>
                </w:tcPr>
                <w:p w14:paraId="07AD621A">
                  <w:pPr>
                    <w:pStyle w:val="73"/>
                    <w:adjustRightInd/>
                    <w:snapToGrid/>
                    <w:spacing w:beforeLines="0" w:afterLines="0" w:line="240" w:lineRule="auto"/>
                    <w:rPr>
                      <w:rFonts w:ascii="Times New Roman"/>
                      <w:sz w:val="21"/>
                    </w:rPr>
                  </w:pPr>
                  <w:r>
                    <w:rPr>
                      <w:rFonts w:ascii="Times New Roman"/>
                      <w:sz w:val="21"/>
                    </w:rPr>
                    <w:t>桶装密封</w:t>
                  </w:r>
                </w:p>
              </w:tc>
              <w:tc>
                <w:tcPr>
                  <w:tcW w:w="512" w:type="pct"/>
                  <w:vMerge w:val="continue"/>
                  <w:vAlign w:val="center"/>
                </w:tcPr>
                <w:p w14:paraId="3FB5B857">
                  <w:pPr>
                    <w:pStyle w:val="73"/>
                    <w:adjustRightInd/>
                    <w:snapToGrid/>
                    <w:spacing w:beforeLines="0" w:afterLines="0" w:line="240" w:lineRule="auto"/>
                    <w:rPr>
                      <w:rFonts w:ascii="Times New Roman"/>
                      <w:sz w:val="21"/>
                    </w:rPr>
                  </w:pPr>
                </w:p>
              </w:tc>
              <w:tc>
                <w:tcPr>
                  <w:tcW w:w="419" w:type="pct"/>
                  <w:vMerge w:val="continue"/>
                  <w:vAlign w:val="center"/>
                </w:tcPr>
                <w:p w14:paraId="1CBC77A7">
                  <w:pPr>
                    <w:pStyle w:val="73"/>
                    <w:adjustRightInd/>
                    <w:snapToGrid/>
                    <w:spacing w:beforeLines="0" w:afterLines="0" w:line="240" w:lineRule="auto"/>
                    <w:rPr>
                      <w:rFonts w:ascii="Times New Roman"/>
                      <w:sz w:val="21"/>
                    </w:rPr>
                  </w:pPr>
                </w:p>
              </w:tc>
              <w:tc>
                <w:tcPr>
                  <w:tcW w:w="419" w:type="pct"/>
                  <w:vMerge w:val="continue"/>
                  <w:vAlign w:val="center"/>
                </w:tcPr>
                <w:p w14:paraId="1918DEA7">
                  <w:pPr>
                    <w:pStyle w:val="73"/>
                    <w:adjustRightInd/>
                    <w:snapToGrid/>
                    <w:spacing w:beforeLines="0" w:afterLines="0" w:line="240" w:lineRule="auto"/>
                    <w:rPr>
                      <w:rFonts w:ascii="Times New Roman"/>
                      <w:sz w:val="21"/>
                    </w:rPr>
                  </w:pPr>
                </w:p>
              </w:tc>
              <w:tc>
                <w:tcPr>
                  <w:tcW w:w="400" w:type="pct"/>
                  <w:vMerge w:val="continue"/>
                  <w:vAlign w:val="center"/>
                </w:tcPr>
                <w:p w14:paraId="1B56133E">
                  <w:pPr>
                    <w:pStyle w:val="73"/>
                    <w:adjustRightInd/>
                    <w:snapToGrid/>
                    <w:spacing w:beforeLines="0" w:afterLines="0" w:line="240" w:lineRule="auto"/>
                    <w:rPr>
                      <w:rFonts w:ascii="Times New Roman"/>
                      <w:sz w:val="21"/>
                    </w:rPr>
                  </w:pPr>
                </w:p>
              </w:tc>
            </w:tr>
          </w:tbl>
          <w:p w14:paraId="25697299">
            <w:pPr>
              <w:adjustRightInd w:val="0"/>
              <w:spacing w:line="360" w:lineRule="auto"/>
              <w:ind w:firstLine="482" w:firstLineChars="200"/>
              <w:rPr>
                <w:rFonts w:hint="eastAsia"/>
                <w:b/>
                <w:bCs/>
                <w:sz w:val="24"/>
              </w:rPr>
            </w:pPr>
            <w:r>
              <w:rPr>
                <w:rFonts w:hint="eastAsia"/>
                <w:b/>
                <w:bCs/>
                <w:sz w:val="24"/>
              </w:rPr>
              <w:t>一般固废</w:t>
            </w:r>
          </w:p>
          <w:p w14:paraId="324C0662">
            <w:pPr>
              <w:adjustRightInd w:val="0"/>
              <w:spacing w:line="360" w:lineRule="auto"/>
              <w:ind w:firstLine="480" w:firstLineChars="200"/>
              <w:rPr>
                <w:sz w:val="24"/>
              </w:rPr>
            </w:pPr>
            <w:r>
              <w:rPr>
                <w:rFonts w:hint="eastAsia"/>
                <w:sz w:val="24"/>
              </w:rPr>
              <w:t>生化池</w:t>
            </w:r>
            <w:r>
              <w:rPr>
                <w:sz w:val="24"/>
              </w:rPr>
              <w:t>污泥：产生量为1.0t/</w:t>
            </w:r>
            <w:r>
              <w:rPr>
                <w:color w:val="000000"/>
                <w:sz w:val="24"/>
              </w:rPr>
              <w:t>a，污泥定期清掏后交由环卫部门处理。</w:t>
            </w:r>
          </w:p>
          <w:p w14:paraId="4876DC5B">
            <w:pPr>
              <w:adjustRightInd w:val="0"/>
              <w:spacing w:line="360" w:lineRule="auto"/>
              <w:ind w:firstLine="482" w:firstLineChars="200"/>
              <w:rPr>
                <w:rFonts w:hint="eastAsia"/>
                <w:b/>
                <w:bCs/>
                <w:sz w:val="24"/>
              </w:rPr>
            </w:pPr>
            <w:r>
              <w:rPr>
                <w:rFonts w:hint="eastAsia"/>
                <w:b/>
                <w:bCs/>
                <w:sz w:val="24"/>
              </w:rPr>
              <w:t>生活垃圾</w:t>
            </w:r>
          </w:p>
          <w:p w14:paraId="1C2B98EF">
            <w:pPr>
              <w:adjustRightInd w:val="0"/>
              <w:spacing w:line="360" w:lineRule="auto"/>
              <w:ind w:firstLine="480" w:firstLineChars="200"/>
              <w:rPr>
                <w:rFonts w:hint="eastAsia"/>
                <w:sz w:val="24"/>
              </w:rPr>
            </w:pPr>
            <w:r>
              <w:rPr>
                <w:rFonts w:hint="eastAsia"/>
                <w:sz w:val="24"/>
              </w:rPr>
              <w:t>本</w:t>
            </w:r>
            <w:r>
              <w:rPr>
                <w:sz w:val="24"/>
              </w:rPr>
              <w:t>项目</w:t>
            </w:r>
            <w:r>
              <w:rPr>
                <w:rFonts w:hint="eastAsia"/>
                <w:sz w:val="24"/>
              </w:rPr>
              <w:t>建成后共有</w:t>
            </w:r>
            <w:r>
              <w:rPr>
                <w:sz w:val="24"/>
              </w:rPr>
              <w:t>工作人员</w:t>
            </w:r>
            <w:r>
              <w:rPr>
                <w:rFonts w:hint="eastAsia"/>
                <w:sz w:val="24"/>
              </w:rPr>
              <w:t>8</w:t>
            </w:r>
            <w:r>
              <w:rPr>
                <w:sz w:val="24"/>
              </w:rPr>
              <w:t>人，生活垃圾产生量按0.5kg/人·d计算，则产生量为</w:t>
            </w:r>
            <w:r>
              <w:rPr>
                <w:rFonts w:hint="eastAsia"/>
                <w:sz w:val="24"/>
              </w:rPr>
              <w:t>4</w:t>
            </w:r>
            <w:r>
              <w:rPr>
                <w:sz w:val="24"/>
              </w:rPr>
              <w:t>kg/d，共约</w:t>
            </w:r>
            <w:r>
              <w:rPr>
                <w:rFonts w:hint="eastAsia"/>
                <w:sz w:val="24"/>
              </w:rPr>
              <w:t>1.46</w:t>
            </w:r>
            <w:r>
              <w:rPr>
                <w:sz w:val="24"/>
              </w:rPr>
              <w:t>t/a；过往</w:t>
            </w:r>
            <w:r>
              <w:rPr>
                <w:rFonts w:hint="eastAsia"/>
                <w:sz w:val="24"/>
              </w:rPr>
              <w:t>司乘人员</w:t>
            </w:r>
            <w:r>
              <w:rPr>
                <w:sz w:val="24"/>
              </w:rPr>
              <w:t>为每天</w:t>
            </w:r>
            <w:r>
              <w:rPr>
                <w:rFonts w:hint="eastAsia"/>
                <w:sz w:val="24"/>
              </w:rPr>
              <w:t>40</w:t>
            </w:r>
            <w:r>
              <w:rPr>
                <w:sz w:val="24"/>
              </w:rPr>
              <w:t>0人次，按照20%的</w:t>
            </w:r>
            <w:r>
              <w:rPr>
                <w:rFonts w:hint="eastAsia"/>
                <w:sz w:val="24"/>
              </w:rPr>
              <w:t>司乘人员</w:t>
            </w:r>
            <w:r>
              <w:rPr>
                <w:sz w:val="24"/>
              </w:rPr>
              <w:t>产生生活垃圾，每人每天按0.1kg计算，则产生量为</w:t>
            </w:r>
            <w:r>
              <w:rPr>
                <w:rFonts w:hint="eastAsia"/>
                <w:sz w:val="24"/>
              </w:rPr>
              <w:t>8</w:t>
            </w:r>
            <w:r>
              <w:rPr>
                <w:sz w:val="24"/>
              </w:rPr>
              <w:t>.0kg/d，共约</w:t>
            </w:r>
            <w:r>
              <w:rPr>
                <w:rFonts w:hint="eastAsia"/>
                <w:sz w:val="24"/>
              </w:rPr>
              <w:t>2.92</w:t>
            </w:r>
            <w:r>
              <w:rPr>
                <w:sz w:val="24"/>
              </w:rPr>
              <w:t>t/a。营运期生活垃圾共计为</w:t>
            </w:r>
            <w:r>
              <w:rPr>
                <w:rFonts w:hint="eastAsia"/>
                <w:sz w:val="24"/>
              </w:rPr>
              <w:t>12</w:t>
            </w:r>
            <w:r>
              <w:rPr>
                <w:sz w:val="24"/>
              </w:rPr>
              <w:t>kg/d，即</w:t>
            </w:r>
            <w:r>
              <w:rPr>
                <w:rFonts w:hint="eastAsia"/>
                <w:sz w:val="24"/>
              </w:rPr>
              <w:t>4.38</w:t>
            </w:r>
            <w:r>
              <w:rPr>
                <w:sz w:val="24"/>
              </w:rPr>
              <w:t>t/a。</w:t>
            </w:r>
            <w:r>
              <w:rPr>
                <w:rFonts w:hint="eastAsia"/>
                <w:sz w:val="24"/>
              </w:rPr>
              <w:t>生活垃圾集中收集后交环卫部门清运。</w:t>
            </w:r>
          </w:p>
          <w:p w14:paraId="5DDF53A8">
            <w:pPr>
              <w:adjustRightInd w:val="0"/>
              <w:spacing w:line="360" w:lineRule="auto"/>
              <w:ind w:firstLine="480" w:firstLineChars="200"/>
              <w:rPr>
                <w:sz w:val="24"/>
              </w:rPr>
            </w:pPr>
            <w:r>
              <w:rPr>
                <w:rFonts w:hint="eastAsia"/>
                <w:sz w:val="24"/>
              </w:rPr>
              <w:t>本项目固体废物污染源源强核算结果及相关参数见</w:t>
            </w:r>
            <w:r>
              <w:rPr>
                <w:sz w:val="24"/>
              </w:rPr>
              <w:t>表</w:t>
            </w:r>
            <w:r>
              <w:rPr>
                <w:rFonts w:hint="eastAsia"/>
                <w:sz w:val="24"/>
              </w:rPr>
              <w:t>4-15</w:t>
            </w:r>
            <w:r>
              <w:rPr>
                <w:sz w:val="24"/>
              </w:rPr>
              <w:t>。</w:t>
            </w:r>
          </w:p>
          <w:p w14:paraId="1F267263">
            <w:pPr>
              <w:pStyle w:val="68"/>
              <w:spacing w:line="240" w:lineRule="auto"/>
              <w:rPr>
                <w:rFonts w:hint="eastAsia" w:ascii="黑体" w:hAnsi="黑体" w:eastAsia="黑体" w:cs="黑体"/>
                <w:b w:val="0"/>
                <w:bCs w:val="0"/>
                <w:szCs w:val="21"/>
              </w:rPr>
            </w:pPr>
            <w:r>
              <w:rPr>
                <w:rFonts w:ascii="黑体" w:hAnsi="黑体" w:eastAsia="黑体" w:cs="黑体"/>
                <w:b w:val="0"/>
                <w:bCs w:val="0"/>
                <w:szCs w:val="21"/>
              </w:rPr>
              <w:t>表</w:t>
            </w:r>
            <w:r>
              <w:rPr>
                <w:rFonts w:hint="eastAsia" w:ascii="黑体" w:hAnsi="黑体" w:eastAsia="黑体" w:cs="黑体"/>
                <w:b w:val="0"/>
                <w:bCs w:val="0"/>
                <w:szCs w:val="21"/>
              </w:rPr>
              <w:t xml:space="preserve">4-15 </w:t>
            </w:r>
            <w:r>
              <w:rPr>
                <w:rFonts w:ascii="黑体" w:hAnsi="黑体" w:eastAsia="黑体" w:cs="黑体"/>
                <w:b w:val="0"/>
                <w:bCs w:val="0"/>
                <w:szCs w:val="21"/>
              </w:rPr>
              <w:t xml:space="preserve"> </w:t>
            </w:r>
            <w:r>
              <w:rPr>
                <w:rFonts w:hint="eastAsia" w:ascii="黑体" w:hAnsi="黑体" w:eastAsia="黑体" w:cs="黑体"/>
                <w:b w:val="0"/>
                <w:bCs w:val="0"/>
                <w:szCs w:val="21"/>
              </w:rPr>
              <w:t>固体废物污染源源强核算结果及相关参数一览表</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73"/>
              <w:gridCol w:w="1703"/>
              <w:gridCol w:w="1271"/>
              <w:gridCol w:w="1328"/>
              <w:gridCol w:w="2313"/>
            </w:tblGrid>
            <w:tr w14:paraId="2DAFDA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910" w:type="pct"/>
                  <w:vAlign w:val="center"/>
                </w:tcPr>
                <w:p w14:paraId="49556168">
                  <w:pPr>
                    <w:pStyle w:val="40"/>
                    <w:spacing w:before="24" w:after="24" w:line="240" w:lineRule="auto"/>
                    <w:rPr>
                      <w:rFonts w:ascii="Times New Roman"/>
                      <w:szCs w:val="21"/>
                    </w:rPr>
                  </w:pPr>
                  <w:r>
                    <w:rPr>
                      <w:rFonts w:ascii="Times New Roman"/>
                      <w:szCs w:val="21"/>
                    </w:rPr>
                    <w:t>固废产生源</w:t>
                  </w:r>
                </w:p>
              </w:tc>
              <w:tc>
                <w:tcPr>
                  <w:tcW w:w="1052" w:type="pct"/>
                  <w:vAlign w:val="center"/>
                </w:tcPr>
                <w:p w14:paraId="1033A108">
                  <w:pPr>
                    <w:pStyle w:val="40"/>
                    <w:spacing w:before="24" w:after="24" w:line="240" w:lineRule="auto"/>
                    <w:rPr>
                      <w:rFonts w:ascii="Times New Roman"/>
                      <w:szCs w:val="21"/>
                    </w:rPr>
                  </w:pPr>
                  <w:r>
                    <w:rPr>
                      <w:rFonts w:ascii="Times New Roman"/>
                      <w:szCs w:val="21"/>
                    </w:rPr>
                    <w:t>固废名称</w:t>
                  </w:r>
                </w:p>
              </w:tc>
              <w:tc>
                <w:tcPr>
                  <w:tcW w:w="786" w:type="pct"/>
                  <w:vAlign w:val="center"/>
                </w:tcPr>
                <w:p w14:paraId="37E54651">
                  <w:pPr>
                    <w:pStyle w:val="40"/>
                    <w:spacing w:before="24" w:after="24" w:line="240" w:lineRule="auto"/>
                    <w:rPr>
                      <w:rFonts w:hint="eastAsia" w:ascii="Times New Roman"/>
                      <w:szCs w:val="21"/>
                    </w:rPr>
                  </w:pPr>
                  <w:r>
                    <w:rPr>
                      <w:rFonts w:ascii="Times New Roman"/>
                      <w:szCs w:val="21"/>
                    </w:rPr>
                    <w:t>固废</w:t>
                  </w:r>
                  <w:r>
                    <w:rPr>
                      <w:rFonts w:hint="eastAsia" w:ascii="Times New Roman"/>
                      <w:szCs w:val="21"/>
                    </w:rPr>
                    <w:t>属性</w:t>
                  </w:r>
                </w:p>
              </w:tc>
              <w:tc>
                <w:tcPr>
                  <w:tcW w:w="821" w:type="pct"/>
                  <w:vAlign w:val="center"/>
                </w:tcPr>
                <w:p w14:paraId="4224B882">
                  <w:pPr>
                    <w:pStyle w:val="40"/>
                    <w:spacing w:before="24" w:after="24" w:line="240" w:lineRule="auto"/>
                    <w:rPr>
                      <w:rFonts w:ascii="Times New Roman"/>
                      <w:szCs w:val="21"/>
                    </w:rPr>
                  </w:pPr>
                  <w:r>
                    <w:rPr>
                      <w:rFonts w:ascii="Times New Roman"/>
                      <w:szCs w:val="21"/>
                    </w:rPr>
                    <w:t>产生量（t/a）</w:t>
                  </w:r>
                </w:p>
              </w:tc>
              <w:tc>
                <w:tcPr>
                  <w:tcW w:w="1430" w:type="pct"/>
                  <w:vAlign w:val="center"/>
                </w:tcPr>
                <w:p w14:paraId="7E4D90D5">
                  <w:pPr>
                    <w:pStyle w:val="40"/>
                    <w:spacing w:before="24" w:after="24" w:line="240" w:lineRule="auto"/>
                    <w:rPr>
                      <w:rFonts w:ascii="Times New Roman"/>
                      <w:szCs w:val="21"/>
                    </w:rPr>
                  </w:pPr>
                  <w:r>
                    <w:rPr>
                      <w:rFonts w:ascii="Times New Roman"/>
                      <w:szCs w:val="21"/>
                    </w:rPr>
                    <w:t>处置方式</w:t>
                  </w:r>
                </w:p>
              </w:tc>
            </w:tr>
            <w:tr w14:paraId="158C0B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910" w:type="pct"/>
                  <w:vAlign w:val="center"/>
                </w:tcPr>
                <w:p w14:paraId="58DF064E">
                  <w:pPr>
                    <w:jc w:val="center"/>
                    <w:rPr>
                      <w:szCs w:val="21"/>
                    </w:rPr>
                  </w:pPr>
                  <w:r>
                    <w:rPr>
                      <w:szCs w:val="21"/>
                    </w:rPr>
                    <w:t>工作人员、</w:t>
                  </w:r>
                </w:p>
                <w:p w14:paraId="1E986D15">
                  <w:pPr>
                    <w:jc w:val="center"/>
                    <w:rPr>
                      <w:rFonts w:hint="eastAsia"/>
                      <w:szCs w:val="21"/>
                    </w:rPr>
                  </w:pPr>
                  <w:r>
                    <w:rPr>
                      <w:szCs w:val="21"/>
                    </w:rPr>
                    <w:t>过往</w:t>
                  </w:r>
                  <w:r>
                    <w:rPr>
                      <w:rFonts w:hint="eastAsia"/>
                      <w:szCs w:val="21"/>
                    </w:rPr>
                    <w:t>司乘人员</w:t>
                  </w:r>
                </w:p>
              </w:tc>
              <w:tc>
                <w:tcPr>
                  <w:tcW w:w="1052" w:type="pct"/>
                  <w:vAlign w:val="center"/>
                </w:tcPr>
                <w:p w14:paraId="076F483B">
                  <w:pPr>
                    <w:jc w:val="center"/>
                    <w:rPr>
                      <w:szCs w:val="21"/>
                    </w:rPr>
                  </w:pPr>
                  <w:r>
                    <w:rPr>
                      <w:szCs w:val="21"/>
                    </w:rPr>
                    <w:t>生活垃圾</w:t>
                  </w:r>
                </w:p>
              </w:tc>
              <w:tc>
                <w:tcPr>
                  <w:tcW w:w="786" w:type="pct"/>
                  <w:vAlign w:val="center"/>
                </w:tcPr>
                <w:p w14:paraId="72226478">
                  <w:pPr>
                    <w:jc w:val="center"/>
                    <w:rPr>
                      <w:szCs w:val="21"/>
                    </w:rPr>
                  </w:pPr>
                  <w:r>
                    <w:rPr>
                      <w:szCs w:val="21"/>
                    </w:rPr>
                    <w:t>生活垃圾</w:t>
                  </w:r>
                </w:p>
              </w:tc>
              <w:tc>
                <w:tcPr>
                  <w:tcW w:w="821" w:type="pct"/>
                  <w:vAlign w:val="center"/>
                </w:tcPr>
                <w:p w14:paraId="6A180F5E">
                  <w:pPr>
                    <w:jc w:val="center"/>
                    <w:rPr>
                      <w:szCs w:val="21"/>
                    </w:rPr>
                  </w:pPr>
                  <w:r>
                    <w:rPr>
                      <w:rFonts w:hint="eastAsia"/>
                      <w:szCs w:val="21"/>
                    </w:rPr>
                    <w:t>4.38</w:t>
                  </w:r>
                </w:p>
              </w:tc>
              <w:tc>
                <w:tcPr>
                  <w:tcW w:w="1430" w:type="pct"/>
                  <w:vAlign w:val="center"/>
                </w:tcPr>
                <w:p w14:paraId="65C3FBE9">
                  <w:pPr>
                    <w:jc w:val="center"/>
                    <w:rPr>
                      <w:rFonts w:hint="eastAsia"/>
                      <w:bCs/>
                      <w:spacing w:val="6"/>
                      <w:szCs w:val="21"/>
                    </w:rPr>
                  </w:pPr>
                  <w:r>
                    <w:rPr>
                      <w:rFonts w:hint="eastAsia"/>
                      <w:bCs/>
                      <w:spacing w:val="6"/>
                      <w:szCs w:val="21"/>
                    </w:rPr>
                    <w:t>集中收集后交环卫部门清运</w:t>
                  </w:r>
                </w:p>
              </w:tc>
            </w:tr>
            <w:tr w14:paraId="54E6AF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17" w:hRule="atLeast"/>
                <w:jc w:val="center"/>
              </w:trPr>
              <w:tc>
                <w:tcPr>
                  <w:tcW w:w="910" w:type="pct"/>
                  <w:vAlign w:val="center"/>
                </w:tcPr>
                <w:p w14:paraId="48048D6A">
                  <w:pPr>
                    <w:jc w:val="center"/>
                    <w:rPr>
                      <w:szCs w:val="21"/>
                    </w:rPr>
                  </w:pPr>
                  <w:r>
                    <w:rPr>
                      <w:rFonts w:hint="eastAsia"/>
                      <w:szCs w:val="21"/>
                    </w:rPr>
                    <w:t>生化池</w:t>
                  </w:r>
                </w:p>
              </w:tc>
              <w:tc>
                <w:tcPr>
                  <w:tcW w:w="1052" w:type="pct"/>
                  <w:vAlign w:val="center"/>
                </w:tcPr>
                <w:p w14:paraId="5A68BA3E">
                  <w:pPr>
                    <w:jc w:val="center"/>
                    <w:rPr>
                      <w:szCs w:val="21"/>
                    </w:rPr>
                  </w:pPr>
                  <w:r>
                    <w:rPr>
                      <w:rFonts w:hint="eastAsia"/>
                      <w:szCs w:val="21"/>
                    </w:rPr>
                    <w:t>生化池污泥</w:t>
                  </w:r>
                </w:p>
              </w:tc>
              <w:tc>
                <w:tcPr>
                  <w:tcW w:w="786" w:type="pct"/>
                  <w:vAlign w:val="center"/>
                </w:tcPr>
                <w:p w14:paraId="4CEEA557">
                  <w:pPr>
                    <w:jc w:val="center"/>
                    <w:rPr>
                      <w:szCs w:val="21"/>
                    </w:rPr>
                  </w:pPr>
                  <w:r>
                    <w:rPr>
                      <w:rFonts w:hint="eastAsia"/>
                      <w:szCs w:val="21"/>
                    </w:rPr>
                    <w:t>一般固废</w:t>
                  </w:r>
                </w:p>
              </w:tc>
              <w:tc>
                <w:tcPr>
                  <w:tcW w:w="821" w:type="pct"/>
                  <w:vAlign w:val="center"/>
                </w:tcPr>
                <w:p w14:paraId="34D4915D">
                  <w:pPr>
                    <w:jc w:val="center"/>
                    <w:rPr>
                      <w:szCs w:val="21"/>
                    </w:rPr>
                  </w:pPr>
                  <w:r>
                    <w:rPr>
                      <w:rFonts w:hint="eastAsia"/>
                      <w:szCs w:val="21"/>
                    </w:rPr>
                    <w:t>1</w:t>
                  </w:r>
                </w:p>
              </w:tc>
              <w:tc>
                <w:tcPr>
                  <w:tcW w:w="1430" w:type="pct"/>
                  <w:vAlign w:val="center"/>
                </w:tcPr>
                <w:p w14:paraId="4ACFAD31">
                  <w:pPr>
                    <w:jc w:val="center"/>
                    <w:rPr>
                      <w:rFonts w:hint="eastAsia"/>
                      <w:bCs/>
                      <w:spacing w:val="6"/>
                      <w:szCs w:val="21"/>
                    </w:rPr>
                  </w:pPr>
                  <w:r>
                    <w:rPr>
                      <w:bCs/>
                      <w:spacing w:val="6"/>
                      <w:szCs w:val="21"/>
                    </w:rPr>
                    <w:t>交由环卫部门运往垃圾填埋场进行处理</w:t>
                  </w:r>
                </w:p>
              </w:tc>
            </w:tr>
            <w:tr w14:paraId="73D451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17" w:hRule="atLeast"/>
                <w:jc w:val="center"/>
              </w:trPr>
              <w:tc>
                <w:tcPr>
                  <w:tcW w:w="910" w:type="pct"/>
                  <w:vAlign w:val="center"/>
                </w:tcPr>
                <w:p w14:paraId="58DEC71C">
                  <w:pPr>
                    <w:jc w:val="center"/>
                    <w:rPr>
                      <w:szCs w:val="21"/>
                    </w:rPr>
                  </w:pPr>
                  <w:r>
                    <w:rPr>
                      <w:szCs w:val="21"/>
                    </w:rPr>
                    <w:t>加油机及管道</w:t>
                  </w:r>
                </w:p>
              </w:tc>
              <w:tc>
                <w:tcPr>
                  <w:tcW w:w="1052" w:type="pct"/>
                  <w:vAlign w:val="center"/>
                </w:tcPr>
                <w:p w14:paraId="5FC54A1F">
                  <w:pPr>
                    <w:jc w:val="center"/>
                    <w:rPr>
                      <w:szCs w:val="21"/>
                    </w:rPr>
                  </w:pPr>
                  <w:r>
                    <w:rPr>
                      <w:szCs w:val="21"/>
                    </w:rPr>
                    <w:t>检修废物</w:t>
                  </w:r>
                </w:p>
              </w:tc>
              <w:tc>
                <w:tcPr>
                  <w:tcW w:w="786" w:type="pct"/>
                  <w:vAlign w:val="center"/>
                </w:tcPr>
                <w:p w14:paraId="54F96C5D">
                  <w:pPr>
                    <w:jc w:val="center"/>
                    <w:rPr>
                      <w:szCs w:val="21"/>
                    </w:rPr>
                  </w:pPr>
                  <w:r>
                    <w:rPr>
                      <w:szCs w:val="21"/>
                    </w:rPr>
                    <w:t>危险废物</w:t>
                  </w:r>
                </w:p>
              </w:tc>
              <w:tc>
                <w:tcPr>
                  <w:tcW w:w="821" w:type="pct"/>
                  <w:vAlign w:val="center"/>
                </w:tcPr>
                <w:p w14:paraId="32917408">
                  <w:pPr>
                    <w:jc w:val="center"/>
                    <w:rPr>
                      <w:szCs w:val="21"/>
                    </w:rPr>
                  </w:pPr>
                  <w:r>
                    <w:rPr>
                      <w:szCs w:val="21"/>
                    </w:rPr>
                    <w:t>0.4</w:t>
                  </w:r>
                </w:p>
              </w:tc>
              <w:tc>
                <w:tcPr>
                  <w:tcW w:w="1430" w:type="pct"/>
                  <w:vMerge w:val="restart"/>
                  <w:vAlign w:val="center"/>
                </w:tcPr>
                <w:p w14:paraId="020081A1">
                  <w:pPr>
                    <w:jc w:val="center"/>
                    <w:rPr>
                      <w:rFonts w:hint="eastAsia"/>
                      <w:szCs w:val="21"/>
                    </w:rPr>
                  </w:pPr>
                  <w:r>
                    <w:rPr>
                      <w:rFonts w:hint="eastAsia"/>
                      <w:szCs w:val="21"/>
                    </w:rPr>
                    <w:t>分类收集后暂存于危废暂存间，定期交有资质单位处理</w:t>
                  </w:r>
                </w:p>
              </w:tc>
            </w:tr>
            <w:tr w14:paraId="282A96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17" w:hRule="atLeast"/>
                <w:jc w:val="center"/>
              </w:trPr>
              <w:tc>
                <w:tcPr>
                  <w:tcW w:w="910" w:type="pct"/>
                  <w:vAlign w:val="center"/>
                </w:tcPr>
                <w:p w14:paraId="243623E2">
                  <w:pPr>
                    <w:jc w:val="center"/>
                    <w:rPr>
                      <w:szCs w:val="21"/>
                    </w:rPr>
                  </w:pPr>
                  <w:r>
                    <w:rPr>
                      <w:szCs w:val="21"/>
                    </w:rPr>
                    <w:t>储油罐</w:t>
                  </w:r>
                </w:p>
              </w:tc>
              <w:tc>
                <w:tcPr>
                  <w:tcW w:w="1052" w:type="pct"/>
                  <w:vAlign w:val="center"/>
                </w:tcPr>
                <w:p w14:paraId="026E6D92">
                  <w:pPr>
                    <w:jc w:val="center"/>
                    <w:rPr>
                      <w:szCs w:val="21"/>
                    </w:rPr>
                  </w:pPr>
                  <w:r>
                    <w:rPr>
                      <w:szCs w:val="21"/>
                    </w:rPr>
                    <w:t>清罐废物</w:t>
                  </w:r>
                </w:p>
              </w:tc>
              <w:tc>
                <w:tcPr>
                  <w:tcW w:w="786" w:type="pct"/>
                  <w:vAlign w:val="center"/>
                </w:tcPr>
                <w:p w14:paraId="6B128154">
                  <w:pPr>
                    <w:jc w:val="center"/>
                    <w:rPr>
                      <w:szCs w:val="21"/>
                    </w:rPr>
                  </w:pPr>
                  <w:r>
                    <w:rPr>
                      <w:szCs w:val="21"/>
                    </w:rPr>
                    <w:t>危险废物</w:t>
                  </w:r>
                </w:p>
              </w:tc>
              <w:tc>
                <w:tcPr>
                  <w:tcW w:w="821" w:type="pct"/>
                  <w:vAlign w:val="center"/>
                </w:tcPr>
                <w:p w14:paraId="1D7F9FFE">
                  <w:pPr>
                    <w:jc w:val="center"/>
                    <w:rPr>
                      <w:szCs w:val="21"/>
                    </w:rPr>
                  </w:pPr>
                  <w:r>
                    <w:rPr>
                      <w:szCs w:val="21"/>
                    </w:rPr>
                    <w:t>0.4（取均值）</w:t>
                  </w:r>
                </w:p>
              </w:tc>
              <w:tc>
                <w:tcPr>
                  <w:tcW w:w="1430" w:type="pct"/>
                  <w:vMerge w:val="continue"/>
                  <w:vAlign w:val="center"/>
                </w:tcPr>
                <w:p w14:paraId="7101589D">
                  <w:pPr>
                    <w:jc w:val="center"/>
                    <w:rPr>
                      <w:szCs w:val="21"/>
                    </w:rPr>
                  </w:pPr>
                </w:p>
              </w:tc>
            </w:tr>
            <w:tr w14:paraId="315346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17" w:hRule="atLeast"/>
                <w:jc w:val="center"/>
              </w:trPr>
              <w:tc>
                <w:tcPr>
                  <w:tcW w:w="910" w:type="pct"/>
                  <w:vMerge w:val="restart"/>
                  <w:vAlign w:val="center"/>
                </w:tcPr>
                <w:p w14:paraId="04423F55">
                  <w:pPr>
                    <w:jc w:val="center"/>
                    <w:rPr>
                      <w:szCs w:val="21"/>
                    </w:rPr>
                  </w:pPr>
                  <w:r>
                    <w:rPr>
                      <w:szCs w:val="21"/>
                    </w:rPr>
                    <w:t>隔油池</w:t>
                  </w:r>
                </w:p>
              </w:tc>
              <w:tc>
                <w:tcPr>
                  <w:tcW w:w="1052" w:type="pct"/>
                  <w:vAlign w:val="center"/>
                </w:tcPr>
                <w:p w14:paraId="73F2850C">
                  <w:pPr>
                    <w:jc w:val="center"/>
                    <w:rPr>
                      <w:rFonts w:hint="eastAsia"/>
                      <w:szCs w:val="21"/>
                    </w:rPr>
                  </w:pPr>
                  <w:r>
                    <w:rPr>
                      <w:rFonts w:hint="eastAsia"/>
                      <w:szCs w:val="21"/>
                    </w:rPr>
                    <w:t>浮油</w:t>
                  </w:r>
                </w:p>
              </w:tc>
              <w:tc>
                <w:tcPr>
                  <w:tcW w:w="786" w:type="pct"/>
                  <w:vAlign w:val="center"/>
                </w:tcPr>
                <w:p w14:paraId="181792AA">
                  <w:pPr>
                    <w:jc w:val="center"/>
                    <w:rPr>
                      <w:rFonts w:hint="eastAsia"/>
                      <w:szCs w:val="21"/>
                    </w:rPr>
                  </w:pPr>
                  <w:r>
                    <w:rPr>
                      <w:rFonts w:hint="eastAsia"/>
                      <w:szCs w:val="21"/>
                    </w:rPr>
                    <w:t>危险废物</w:t>
                  </w:r>
                </w:p>
              </w:tc>
              <w:tc>
                <w:tcPr>
                  <w:tcW w:w="821" w:type="pct"/>
                  <w:vAlign w:val="center"/>
                </w:tcPr>
                <w:p w14:paraId="61B866A8">
                  <w:pPr>
                    <w:jc w:val="center"/>
                    <w:rPr>
                      <w:szCs w:val="21"/>
                    </w:rPr>
                  </w:pPr>
                  <w:r>
                    <w:rPr>
                      <w:rFonts w:hint="eastAsia"/>
                      <w:szCs w:val="21"/>
                    </w:rPr>
                    <w:t>0.001</w:t>
                  </w:r>
                </w:p>
              </w:tc>
              <w:tc>
                <w:tcPr>
                  <w:tcW w:w="1430" w:type="pct"/>
                  <w:vMerge w:val="continue"/>
                  <w:vAlign w:val="center"/>
                </w:tcPr>
                <w:p w14:paraId="13113358">
                  <w:pPr>
                    <w:jc w:val="center"/>
                    <w:rPr>
                      <w:szCs w:val="21"/>
                    </w:rPr>
                  </w:pPr>
                </w:p>
              </w:tc>
            </w:tr>
            <w:tr w14:paraId="5D47B5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910" w:type="pct"/>
                  <w:vMerge w:val="continue"/>
                  <w:vAlign w:val="center"/>
                </w:tcPr>
                <w:p w14:paraId="2A10857B">
                  <w:pPr>
                    <w:jc w:val="center"/>
                    <w:rPr>
                      <w:szCs w:val="21"/>
                    </w:rPr>
                  </w:pPr>
                </w:p>
              </w:tc>
              <w:tc>
                <w:tcPr>
                  <w:tcW w:w="1052" w:type="pct"/>
                  <w:vAlign w:val="center"/>
                </w:tcPr>
                <w:p w14:paraId="4F4AAB7E">
                  <w:pPr>
                    <w:jc w:val="center"/>
                    <w:rPr>
                      <w:szCs w:val="21"/>
                    </w:rPr>
                  </w:pPr>
                  <w:r>
                    <w:rPr>
                      <w:szCs w:val="21"/>
                    </w:rPr>
                    <w:t>含油污泥</w:t>
                  </w:r>
                </w:p>
              </w:tc>
              <w:tc>
                <w:tcPr>
                  <w:tcW w:w="786" w:type="pct"/>
                  <w:vAlign w:val="center"/>
                </w:tcPr>
                <w:p w14:paraId="1C95DA98">
                  <w:pPr>
                    <w:jc w:val="center"/>
                    <w:rPr>
                      <w:szCs w:val="21"/>
                    </w:rPr>
                  </w:pPr>
                  <w:r>
                    <w:rPr>
                      <w:szCs w:val="21"/>
                    </w:rPr>
                    <w:t>危险废物</w:t>
                  </w:r>
                </w:p>
              </w:tc>
              <w:tc>
                <w:tcPr>
                  <w:tcW w:w="821" w:type="pct"/>
                  <w:vAlign w:val="center"/>
                </w:tcPr>
                <w:p w14:paraId="2883B198">
                  <w:pPr>
                    <w:jc w:val="center"/>
                    <w:rPr>
                      <w:rFonts w:hint="eastAsia"/>
                      <w:szCs w:val="21"/>
                    </w:rPr>
                  </w:pPr>
                  <w:r>
                    <w:rPr>
                      <w:szCs w:val="21"/>
                    </w:rPr>
                    <w:t>0.0</w:t>
                  </w:r>
                  <w:r>
                    <w:rPr>
                      <w:rFonts w:hint="eastAsia"/>
                      <w:szCs w:val="21"/>
                    </w:rPr>
                    <w:t>5</w:t>
                  </w:r>
                </w:p>
              </w:tc>
              <w:tc>
                <w:tcPr>
                  <w:tcW w:w="1430" w:type="pct"/>
                  <w:vMerge w:val="continue"/>
                  <w:vAlign w:val="center"/>
                </w:tcPr>
                <w:p w14:paraId="1C5A1BAA">
                  <w:pPr>
                    <w:jc w:val="center"/>
                    <w:rPr>
                      <w:szCs w:val="21"/>
                    </w:rPr>
                  </w:pPr>
                </w:p>
              </w:tc>
            </w:tr>
            <w:tr w14:paraId="669144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910" w:type="pct"/>
                  <w:vAlign w:val="center"/>
                </w:tcPr>
                <w:p w14:paraId="70CA9BBA">
                  <w:pPr>
                    <w:jc w:val="center"/>
                    <w:rPr>
                      <w:szCs w:val="21"/>
                    </w:rPr>
                  </w:pPr>
                  <w:r>
                    <w:rPr>
                      <w:szCs w:val="21"/>
                    </w:rPr>
                    <w:t>工作人员</w:t>
                  </w:r>
                </w:p>
              </w:tc>
              <w:tc>
                <w:tcPr>
                  <w:tcW w:w="1052" w:type="pct"/>
                  <w:vAlign w:val="center"/>
                </w:tcPr>
                <w:p w14:paraId="1035251E">
                  <w:pPr>
                    <w:jc w:val="center"/>
                    <w:rPr>
                      <w:szCs w:val="21"/>
                    </w:rPr>
                  </w:pPr>
                  <w:r>
                    <w:rPr>
                      <w:szCs w:val="21"/>
                    </w:rPr>
                    <w:t>含油手套</w:t>
                  </w:r>
                </w:p>
              </w:tc>
              <w:tc>
                <w:tcPr>
                  <w:tcW w:w="786" w:type="pct"/>
                  <w:vAlign w:val="center"/>
                </w:tcPr>
                <w:p w14:paraId="075B39C3">
                  <w:pPr>
                    <w:jc w:val="center"/>
                    <w:rPr>
                      <w:szCs w:val="21"/>
                    </w:rPr>
                  </w:pPr>
                  <w:r>
                    <w:rPr>
                      <w:szCs w:val="21"/>
                    </w:rPr>
                    <w:t>危险废物</w:t>
                  </w:r>
                </w:p>
              </w:tc>
              <w:tc>
                <w:tcPr>
                  <w:tcW w:w="821" w:type="pct"/>
                  <w:vAlign w:val="center"/>
                </w:tcPr>
                <w:p w14:paraId="49C10227">
                  <w:pPr>
                    <w:jc w:val="center"/>
                    <w:rPr>
                      <w:rFonts w:hint="eastAsia"/>
                      <w:szCs w:val="21"/>
                    </w:rPr>
                  </w:pPr>
                  <w:r>
                    <w:rPr>
                      <w:szCs w:val="21"/>
                    </w:rPr>
                    <w:t>0.0</w:t>
                  </w:r>
                  <w:r>
                    <w:rPr>
                      <w:rFonts w:hint="eastAsia"/>
                      <w:szCs w:val="21"/>
                    </w:rPr>
                    <w:t>1</w:t>
                  </w:r>
                </w:p>
              </w:tc>
              <w:tc>
                <w:tcPr>
                  <w:tcW w:w="1430" w:type="pct"/>
                  <w:vMerge w:val="continue"/>
                  <w:vAlign w:val="center"/>
                </w:tcPr>
                <w:p w14:paraId="42659960">
                  <w:pPr>
                    <w:jc w:val="center"/>
                    <w:rPr>
                      <w:szCs w:val="21"/>
                    </w:rPr>
                  </w:pPr>
                </w:p>
              </w:tc>
            </w:tr>
          </w:tbl>
          <w:p w14:paraId="357CCA69">
            <w:pPr>
              <w:adjustRightInd w:val="0"/>
              <w:spacing w:line="360" w:lineRule="auto"/>
              <w:ind w:firstLine="480" w:firstLineChars="200"/>
              <w:rPr>
                <w:rFonts w:hint="eastAsia"/>
                <w:sz w:val="24"/>
              </w:rPr>
            </w:pPr>
            <w:r>
              <w:rPr>
                <w:rFonts w:hint="eastAsia"/>
                <w:sz w:val="24"/>
              </w:rPr>
              <w:t>（2）固体废物防治措施</w:t>
            </w:r>
          </w:p>
          <w:p w14:paraId="6D216A07">
            <w:pPr>
              <w:adjustRightInd w:val="0"/>
              <w:spacing w:line="360" w:lineRule="auto"/>
              <w:ind w:firstLine="480" w:firstLineChars="200"/>
              <w:rPr>
                <w:rFonts w:hint="eastAsia"/>
                <w:sz w:val="24"/>
              </w:rPr>
            </w:pPr>
            <w:r>
              <w:rPr>
                <w:rFonts w:hint="eastAsia"/>
                <w:sz w:val="24"/>
              </w:rPr>
              <w:t>本项目危险废物包括设备检修废物、清罐废物、隔油池浮油、含油污泥、废含油棉纱及手套，分类收集后暂存于危废暂存间定期交有资质单位处理。在站房南侧设置一个5m</w:t>
            </w:r>
            <w:r>
              <w:rPr>
                <w:rFonts w:hint="eastAsia"/>
                <w:sz w:val="24"/>
                <w:vertAlign w:val="superscript"/>
              </w:rPr>
              <w:t>2</w:t>
            </w:r>
            <w:r>
              <w:rPr>
                <w:rFonts w:hint="eastAsia"/>
                <w:sz w:val="24"/>
              </w:rPr>
              <w:t>的危险废物暂存间，危险废物管理应满足《危险废物贮存污染控制标准》（GB18597-2001）及其修改单要求，危废转运过程按照危险废物转移联单制送有资质单位处理。危险废物储存、转运必须严格遵守《危险废物收集、储存、运输技术规范》（HJ2025-2012）等的规定，危险废物暂存点的设置必须严格按照《危险废物污染防治技术政策》和《危险废物贮存污染控制标准》（GB18597-2001，2013年修订）要求设置：禁露天堆放，利用专门的防渗漏容器收集，渗透系数不大于1.0×10</w:t>
            </w:r>
            <w:r>
              <w:rPr>
                <w:rFonts w:hint="eastAsia"/>
                <w:sz w:val="24"/>
                <w:vertAlign w:val="superscript"/>
              </w:rPr>
              <w:t>-10</w:t>
            </w:r>
            <w:r>
              <w:rPr>
                <w:rFonts w:hint="eastAsia"/>
                <w:sz w:val="24"/>
              </w:rPr>
              <w:t>cm/s，满足“防风、防雨、防晒、防渗漏”措施，暂存点及收集容器设置危险废物标识。</w:t>
            </w:r>
          </w:p>
          <w:p w14:paraId="1554A284">
            <w:pPr>
              <w:adjustRightInd w:val="0"/>
              <w:spacing w:line="360" w:lineRule="auto"/>
              <w:ind w:firstLine="480" w:firstLineChars="200"/>
              <w:rPr>
                <w:rFonts w:hAnsi="宋体"/>
                <w:sz w:val="24"/>
              </w:rPr>
            </w:pPr>
            <w:r>
              <w:rPr>
                <w:rFonts w:hint="eastAsia" w:hAnsi="宋体"/>
                <w:sz w:val="24"/>
              </w:rPr>
              <w:t>生化池污泥</w:t>
            </w:r>
            <w:r>
              <w:rPr>
                <w:sz w:val="24"/>
              </w:rPr>
              <w:t>定期清掏后交由环卫部门运往垃圾填埋场进行处理</w:t>
            </w:r>
            <w:r>
              <w:rPr>
                <w:rFonts w:hint="eastAsia"/>
                <w:sz w:val="24"/>
              </w:rPr>
              <w:t>；</w:t>
            </w:r>
            <w:r>
              <w:rPr>
                <w:rFonts w:hAnsi="宋体"/>
                <w:sz w:val="24"/>
              </w:rPr>
              <w:t>生活垃圾经站区生活垃圾桶集中收集后，交由环卫部门</w:t>
            </w:r>
            <w:r>
              <w:rPr>
                <w:rFonts w:hint="eastAsia" w:hAnsi="宋体"/>
                <w:sz w:val="24"/>
              </w:rPr>
              <w:t>清运</w:t>
            </w:r>
            <w:r>
              <w:rPr>
                <w:rFonts w:hAnsi="宋体"/>
                <w:sz w:val="24"/>
              </w:rPr>
              <w:t>。</w:t>
            </w:r>
          </w:p>
          <w:p w14:paraId="5189A0C7">
            <w:pPr>
              <w:adjustRightInd w:val="0"/>
              <w:snapToGrid w:val="0"/>
              <w:spacing w:line="360" w:lineRule="auto"/>
              <w:ind w:firstLine="480" w:firstLineChars="200"/>
              <w:rPr>
                <w:rFonts w:hint="eastAsia" w:hAnsi="宋体"/>
                <w:sz w:val="24"/>
              </w:rPr>
            </w:pPr>
            <w:r>
              <w:rPr>
                <w:rFonts w:hAnsi="宋体"/>
                <w:sz w:val="24"/>
              </w:rPr>
              <w:t>综上所述，项目经过合理分类和委托处置后，各项固体废物均能得到妥善处理，对周边环境影响较小。</w:t>
            </w:r>
          </w:p>
          <w:p w14:paraId="7FB1E396">
            <w:pPr>
              <w:adjustRightInd w:val="0"/>
              <w:snapToGrid w:val="0"/>
              <w:spacing w:line="360" w:lineRule="auto"/>
              <w:rPr>
                <w:rFonts w:hint="eastAsia" w:ascii="宋体" w:hAnsi="宋体" w:cs="宋体"/>
                <w:b/>
                <w:spacing w:val="-10"/>
                <w:sz w:val="24"/>
              </w:rPr>
            </w:pPr>
            <w:r>
              <w:rPr>
                <w:rFonts w:hint="eastAsia" w:ascii="宋体" w:hAnsi="宋体" w:cs="宋体"/>
                <w:b/>
                <w:color w:val="000000"/>
                <w:spacing w:val="-10"/>
                <w:sz w:val="24"/>
              </w:rPr>
              <w:t>4.6地下水环</w:t>
            </w:r>
            <w:r>
              <w:rPr>
                <w:rFonts w:hint="eastAsia" w:ascii="宋体" w:hAnsi="宋体" w:cs="宋体"/>
                <w:b/>
                <w:spacing w:val="-10"/>
                <w:sz w:val="24"/>
              </w:rPr>
              <w:t>境影响及其防治措施</w:t>
            </w:r>
          </w:p>
          <w:p w14:paraId="531C4DB3">
            <w:pPr>
              <w:adjustRightInd w:val="0"/>
              <w:snapToGrid w:val="0"/>
              <w:spacing w:line="360" w:lineRule="auto"/>
              <w:ind w:firstLine="442" w:firstLineChars="200"/>
              <w:rPr>
                <w:rFonts w:hint="eastAsia" w:ascii="宋体" w:hAnsi="宋体" w:cs="宋体"/>
                <w:b/>
                <w:spacing w:val="-10"/>
                <w:sz w:val="24"/>
              </w:rPr>
            </w:pPr>
            <w:r>
              <w:rPr>
                <w:rFonts w:hint="eastAsia" w:ascii="宋体" w:hAnsi="宋体" w:cs="宋体"/>
                <w:b/>
                <w:spacing w:val="-10"/>
                <w:sz w:val="24"/>
              </w:rPr>
              <w:t>（1）地下水影响分析</w:t>
            </w:r>
          </w:p>
          <w:p w14:paraId="336FD670">
            <w:pPr>
              <w:adjustRightInd w:val="0"/>
              <w:snapToGrid w:val="0"/>
              <w:spacing w:line="360" w:lineRule="auto"/>
              <w:ind w:firstLine="454"/>
              <w:rPr>
                <w:rFonts w:hint="eastAsia"/>
                <w:sz w:val="24"/>
              </w:rPr>
            </w:pPr>
            <w:r>
              <w:rPr>
                <w:rFonts w:hint="eastAsia"/>
                <w:sz w:val="24"/>
              </w:rPr>
              <w:t>①废水对地下水影响分析</w:t>
            </w:r>
          </w:p>
          <w:p w14:paraId="150D57A9">
            <w:pPr>
              <w:adjustRightInd w:val="0"/>
              <w:snapToGrid w:val="0"/>
              <w:spacing w:line="360" w:lineRule="auto"/>
              <w:ind w:firstLine="454"/>
              <w:rPr>
                <w:rFonts w:hint="eastAsia"/>
                <w:sz w:val="24"/>
              </w:rPr>
            </w:pPr>
            <w:r>
              <w:rPr>
                <w:rFonts w:hint="eastAsia"/>
                <w:sz w:val="24"/>
              </w:rPr>
              <w:t>本项目产生的场地冲洗废水及初期雨水经隔油沉淀池处理</w:t>
            </w:r>
            <w:r>
              <w:rPr>
                <w:rFonts w:hint="eastAsia"/>
                <w:bCs/>
                <w:sz w:val="24"/>
              </w:rPr>
              <w:t>达《污水综合排放标准》（GB8978-1996）三级标准</w:t>
            </w:r>
            <w:r>
              <w:rPr>
                <w:rFonts w:hint="eastAsia"/>
                <w:sz w:val="24"/>
              </w:rPr>
              <w:t>后排入园区污水管网，生活污水经生化池处理达</w:t>
            </w:r>
            <w:r>
              <w:rPr>
                <w:rFonts w:hint="eastAsia"/>
                <w:bCs/>
                <w:sz w:val="24"/>
              </w:rPr>
              <w:t>《污水综合排放标准》（GB8978-1996）三级标准后接入园区污水管网。生化池和</w:t>
            </w:r>
            <w:r>
              <w:rPr>
                <w:rFonts w:hint="eastAsia"/>
                <w:sz w:val="24"/>
              </w:rPr>
              <w:t>隔油沉淀池采取防渗措施，保证废水不渗入地下，污染地下水。因此，项目产生的废水对地下水的影响不大。</w:t>
            </w:r>
          </w:p>
          <w:p w14:paraId="037EF192">
            <w:pPr>
              <w:adjustRightInd w:val="0"/>
              <w:snapToGrid w:val="0"/>
              <w:spacing w:line="360" w:lineRule="auto"/>
              <w:ind w:firstLine="454"/>
              <w:rPr>
                <w:rFonts w:hint="eastAsia"/>
                <w:color w:val="000000"/>
                <w:sz w:val="24"/>
              </w:rPr>
            </w:pPr>
            <w:r>
              <w:rPr>
                <w:rFonts w:hint="eastAsia"/>
                <w:color w:val="000000"/>
                <w:sz w:val="24"/>
              </w:rPr>
              <w:t>②油品</w:t>
            </w:r>
            <w:r>
              <w:rPr>
                <w:rFonts w:hint="eastAsia"/>
                <w:color w:val="000000"/>
                <w:sz w:val="24"/>
                <w:lang w:eastAsia="zh-CN"/>
              </w:rPr>
              <w:t>泄漏</w:t>
            </w:r>
            <w:r>
              <w:rPr>
                <w:rFonts w:hint="eastAsia"/>
                <w:color w:val="000000"/>
                <w:sz w:val="24"/>
              </w:rPr>
              <w:t>对地下水影响分析</w:t>
            </w:r>
          </w:p>
          <w:p w14:paraId="18C91767">
            <w:pPr>
              <w:adjustRightInd w:val="0"/>
              <w:snapToGrid w:val="0"/>
              <w:spacing w:line="360" w:lineRule="auto"/>
              <w:ind w:firstLine="454"/>
              <w:rPr>
                <w:rFonts w:hint="eastAsia"/>
                <w:color w:val="000000"/>
                <w:sz w:val="24"/>
              </w:rPr>
            </w:pPr>
            <w:r>
              <w:rPr>
                <w:rFonts w:hint="eastAsia"/>
                <w:color w:val="000000"/>
                <w:sz w:val="24"/>
              </w:rPr>
              <w:t>本项目采用的油罐为埋地式，储存物料为汽油和柴油，若发生</w:t>
            </w:r>
            <w:r>
              <w:rPr>
                <w:rFonts w:hint="eastAsia"/>
                <w:color w:val="000000"/>
                <w:sz w:val="24"/>
                <w:lang w:eastAsia="zh-CN"/>
              </w:rPr>
              <w:t>泄漏</w:t>
            </w:r>
            <w:r>
              <w:rPr>
                <w:rFonts w:hint="eastAsia"/>
                <w:color w:val="000000"/>
                <w:sz w:val="24"/>
              </w:rPr>
              <w:t>事故，</w:t>
            </w:r>
            <w:r>
              <w:rPr>
                <w:rFonts w:hint="eastAsia"/>
                <w:color w:val="000000"/>
                <w:sz w:val="24"/>
                <w:lang w:eastAsia="zh-CN"/>
              </w:rPr>
              <w:t>泄漏</w:t>
            </w:r>
            <w:r>
              <w:rPr>
                <w:rFonts w:hint="eastAsia"/>
                <w:color w:val="000000"/>
                <w:sz w:val="24"/>
              </w:rPr>
              <w:t>液体可能会渗漏到地表以下，污染地下水水质。本项目</w:t>
            </w:r>
            <w:r>
              <w:rPr>
                <w:rFonts w:hint="eastAsia"/>
                <w:bCs/>
                <w:color w:val="000000"/>
                <w:sz w:val="24"/>
              </w:rPr>
              <w:t>油罐为单层钢制油罐，且设有防渗油罐池，</w:t>
            </w:r>
            <w:r>
              <w:rPr>
                <w:rFonts w:hint="eastAsia"/>
                <w:color w:val="000000"/>
                <w:sz w:val="24"/>
              </w:rPr>
              <w:t>罐池四周设钢筋混凝土隔墙，隔墙厚度为250mm，能够及时防止油料渗入地面，为了提高罐池的不透水性，池内的1：2防水水泥砂浆抹面，分层紧密连续涂抹，可有效防止油罐泄漏对地下水的污染。</w:t>
            </w:r>
          </w:p>
          <w:p w14:paraId="6C359B7A">
            <w:pPr>
              <w:adjustRightInd w:val="0"/>
              <w:snapToGrid w:val="0"/>
              <w:spacing w:line="360" w:lineRule="auto"/>
              <w:ind w:firstLine="482" w:firstLineChars="200"/>
              <w:rPr>
                <w:rFonts w:hint="eastAsia"/>
                <w:b/>
                <w:bCs/>
                <w:sz w:val="24"/>
              </w:rPr>
            </w:pPr>
            <w:r>
              <w:rPr>
                <w:rFonts w:hint="eastAsia"/>
                <w:b/>
                <w:bCs/>
                <w:sz w:val="24"/>
              </w:rPr>
              <w:t>（2）地下水防治措施</w:t>
            </w:r>
          </w:p>
          <w:p w14:paraId="5E3520E8">
            <w:pPr>
              <w:adjustRightInd w:val="0"/>
              <w:snapToGrid w:val="0"/>
              <w:spacing w:line="360" w:lineRule="auto"/>
              <w:ind w:firstLine="480" w:firstLineChars="200"/>
              <w:rPr>
                <w:rFonts w:hint="eastAsia"/>
                <w:sz w:val="24"/>
              </w:rPr>
            </w:pPr>
            <w:r>
              <w:rPr>
                <w:rFonts w:hint="eastAsia"/>
                <w:sz w:val="24"/>
              </w:rPr>
              <w:t>①分区防渗</w:t>
            </w:r>
          </w:p>
          <w:p w14:paraId="74565937">
            <w:pPr>
              <w:adjustRightInd w:val="0"/>
              <w:snapToGrid w:val="0"/>
              <w:spacing w:line="360" w:lineRule="auto"/>
              <w:ind w:firstLine="454"/>
              <w:rPr>
                <w:color w:val="000000"/>
              </w:rPr>
            </w:pPr>
            <w:r>
              <w:rPr>
                <w:rFonts w:hint="eastAsia"/>
                <w:sz w:val="24"/>
              </w:rPr>
              <w:t>根据《加油站地下水污染防治技术指南（试行）》（环办水体函【2017】323号）要求，按照“源头控制、分区防控、污染监控、应急响应”原则，根据项目各功能区的性质和特点。可分重点防渗区、一般防渗区和简</w:t>
            </w:r>
            <w:r>
              <w:rPr>
                <w:rFonts w:hint="eastAsia"/>
                <w:color w:val="000000"/>
                <w:sz w:val="24"/>
              </w:rPr>
              <w:t>单防渗区，本项目分区防渗图见附图4。</w:t>
            </w:r>
          </w:p>
          <w:p w14:paraId="6873496D">
            <w:pPr>
              <w:numPr>
                <w:ilvl w:val="0"/>
                <w:numId w:val="6"/>
              </w:numPr>
              <w:adjustRightInd w:val="0"/>
              <w:snapToGrid w:val="0"/>
              <w:spacing w:line="360" w:lineRule="auto"/>
              <w:ind w:firstLine="454"/>
              <w:rPr>
                <w:rFonts w:hint="eastAsia"/>
                <w:sz w:val="24"/>
              </w:rPr>
            </w:pPr>
            <w:r>
              <w:rPr>
                <w:rFonts w:hint="eastAsia"/>
                <w:sz w:val="24"/>
              </w:rPr>
              <w:t>重点防渗区</w:t>
            </w:r>
          </w:p>
          <w:p w14:paraId="73FAD7F5">
            <w:pPr>
              <w:adjustRightInd w:val="0"/>
              <w:snapToGrid w:val="0"/>
              <w:spacing w:line="360" w:lineRule="auto"/>
              <w:ind w:firstLine="454"/>
              <w:rPr>
                <w:rFonts w:hint="eastAsia"/>
                <w:sz w:val="24"/>
              </w:rPr>
            </w:pPr>
            <w:r>
              <w:rPr>
                <w:rFonts w:hint="eastAsia"/>
                <w:sz w:val="24"/>
              </w:rPr>
              <w:t>主要为油罐区、地埋工艺管道、危险废物暂存点等。</w:t>
            </w:r>
          </w:p>
          <w:p w14:paraId="0BEE1C18">
            <w:pPr>
              <w:adjustRightInd w:val="0"/>
              <w:snapToGrid w:val="0"/>
              <w:spacing w:line="360" w:lineRule="auto"/>
              <w:ind w:firstLine="454"/>
              <w:rPr>
                <w:rFonts w:hint="eastAsia"/>
                <w:sz w:val="24"/>
              </w:rPr>
            </w:pPr>
            <w:r>
              <w:rPr>
                <w:rFonts w:hint="eastAsia"/>
                <w:sz w:val="24"/>
              </w:rPr>
              <w:t>埋地油罐区：根据《汽车加油加气加氢站技术标准》（GB50156-2021）要求，埋地油罐的防渗方式应采用单层油罐设置防渗罐池或采用双层油罐，本项目采用埋地卧式单层钢制油罐，同时设置防渗油罐池1个，符合防渗要求。</w:t>
            </w:r>
          </w:p>
          <w:p w14:paraId="195F837E">
            <w:pPr>
              <w:adjustRightInd w:val="0"/>
              <w:snapToGrid w:val="0"/>
              <w:spacing w:line="360" w:lineRule="auto"/>
              <w:ind w:firstLine="454"/>
              <w:rPr>
                <w:sz w:val="24"/>
              </w:rPr>
            </w:pPr>
            <w:r>
              <w:rPr>
                <w:rFonts w:hint="eastAsia"/>
                <w:sz w:val="24"/>
              </w:rPr>
              <w:t>工艺管道：工艺管道采用埋地敷设，出油管线采用符合《加油站埋地安装用热塑性塑料管道和挠性金属管道》EN14125-2004的双层复合管线，进油管线、通气管线和油气回收管线均采用无缝钢管，材质为20#钢，执行GB/T8163标准。管壁厚度大于4mm。卸油连通软管公称直径为80~100mm，与油罐连通的进油管、通气立管均为坡向埋地油罐，其坡度大于1%。</w:t>
            </w:r>
          </w:p>
          <w:p w14:paraId="5A402B4C">
            <w:pPr>
              <w:adjustRightInd w:val="0"/>
              <w:snapToGrid w:val="0"/>
              <w:spacing w:line="360" w:lineRule="auto"/>
              <w:ind w:firstLine="454"/>
              <w:rPr>
                <w:sz w:val="24"/>
              </w:rPr>
            </w:pPr>
            <w:r>
              <w:rPr>
                <w:rFonts w:hint="eastAsia"/>
                <w:sz w:val="24"/>
              </w:rPr>
              <w:t>危废暂存间：站房南侧设置一个5m</w:t>
            </w:r>
            <w:r>
              <w:rPr>
                <w:rFonts w:hint="eastAsia"/>
                <w:sz w:val="24"/>
                <w:vertAlign w:val="superscript"/>
              </w:rPr>
              <w:t>2</w:t>
            </w:r>
            <w:r>
              <w:rPr>
                <w:rFonts w:hint="eastAsia"/>
                <w:sz w:val="24"/>
              </w:rPr>
              <w:t>的危险废物暂存间，设备检修废物、清罐废物、含油污泥、废含油手套及棉纱等分类暂存于危废暂存间。</w:t>
            </w:r>
            <w:r>
              <w:rPr>
                <w:sz w:val="24"/>
              </w:rPr>
              <w:t>危险废物暂存点的设置必须严格按照《危险废物污染防治技术政策》和《危险废物贮存污染控制标准》（GB18597-2001，2013年修订）要求设置：</w:t>
            </w:r>
            <w:r>
              <w:rPr>
                <w:bCs/>
                <w:sz w:val="24"/>
              </w:rPr>
              <w:t>禁露天堆放，</w:t>
            </w:r>
            <w:r>
              <w:rPr>
                <w:sz w:val="24"/>
              </w:rPr>
              <w:t>利用专门的防渗漏容器收集，</w:t>
            </w:r>
            <w:r>
              <w:rPr>
                <w:rFonts w:hint="eastAsia"/>
                <w:sz w:val="24"/>
              </w:rPr>
              <w:t>等效黏土防渗层Mb≥6.0m，</w:t>
            </w:r>
            <w:r>
              <w:rPr>
                <w:sz w:val="24"/>
              </w:rPr>
              <w:t>渗透系数不大于1.0×10</w:t>
            </w:r>
            <w:r>
              <w:rPr>
                <w:sz w:val="24"/>
                <w:vertAlign w:val="superscript"/>
              </w:rPr>
              <w:t>-10</w:t>
            </w:r>
            <w:r>
              <w:rPr>
                <w:sz w:val="24"/>
              </w:rPr>
              <w:t>cm/s，满足“防风、防雨、防晒、防渗漏”措施，暂存点及收集容器设置危险废物标识。</w:t>
            </w:r>
          </w:p>
          <w:p w14:paraId="5E78F6B6">
            <w:pPr>
              <w:numPr>
                <w:ilvl w:val="0"/>
                <w:numId w:val="6"/>
              </w:numPr>
              <w:adjustRightInd w:val="0"/>
              <w:snapToGrid w:val="0"/>
              <w:spacing w:line="360" w:lineRule="auto"/>
              <w:ind w:firstLine="454"/>
              <w:rPr>
                <w:rFonts w:hint="eastAsia"/>
                <w:sz w:val="24"/>
              </w:rPr>
            </w:pPr>
            <w:r>
              <w:rPr>
                <w:rFonts w:hint="eastAsia"/>
                <w:sz w:val="24"/>
              </w:rPr>
              <w:t>一般防渗区</w:t>
            </w:r>
          </w:p>
          <w:p w14:paraId="595D07F6">
            <w:pPr>
              <w:adjustRightInd w:val="0"/>
              <w:snapToGrid w:val="0"/>
              <w:spacing w:line="360" w:lineRule="auto"/>
              <w:ind w:firstLine="454"/>
              <w:rPr>
                <w:rFonts w:hint="eastAsia"/>
                <w:sz w:val="24"/>
              </w:rPr>
            </w:pPr>
            <w:r>
              <w:rPr>
                <w:rFonts w:hint="eastAsia"/>
                <w:sz w:val="24"/>
              </w:rPr>
              <w:t>主要为罩棚区、道路、生化池和隔油池。站内道路和加油、卸油区地面均硬化，且加油区设集水沟，收集地面冲洗废水。加油集水沟、隔油池和生化池均采用混凝土防渗。本项目一般防渗区能够满足《环境影响评价技术导则 地下水》（HJ610-2016）中等效黏土防渗层厚度Mb≥1.5m，防渗层渗透系数≤10</w:t>
            </w:r>
            <w:r>
              <w:rPr>
                <w:rFonts w:hint="eastAsia"/>
                <w:sz w:val="24"/>
                <w:vertAlign w:val="superscript"/>
              </w:rPr>
              <w:t>-7</w:t>
            </w:r>
            <w:r>
              <w:rPr>
                <w:rFonts w:hint="eastAsia"/>
                <w:sz w:val="24"/>
              </w:rPr>
              <w:t>cm/s的要求。</w:t>
            </w:r>
          </w:p>
          <w:p w14:paraId="07430F36">
            <w:pPr>
              <w:adjustRightInd w:val="0"/>
              <w:snapToGrid w:val="0"/>
              <w:spacing w:line="360" w:lineRule="auto"/>
              <w:ind w:firstLine="454"/>
              <w:rPr>
                <w:rFonts w:hint="eastAsia"/>
                <w:sz w:val="24"/>
              </w:rPr>
            </w:pPr>
            <w:r>
              <w:rPr>
                <w:rFonts w:hint="eastAsia"/>
                <w:sz w:val="24"/>
              </w:rPr>
              <w:t>本项目加油机底部设置有集油盘，用来收集加油后加油枪滴漏的少量油；若发生意外加油机被撞倒，加油软管设有拉断截止阀，加油机底端设有紧急切断阀，因此加油机油品发生泄漏的可能性较小。</w:t>
            </w:r>
          </w:p>
          <w:p w14:paraId="525AE544">
            <w:pPr>
              <w:numPr>
                <w:ilvl w:val="0"/>
                <w:numId w:val="6"/>
              </w:numPr>
              <w:adjustRightInd w:val="0"/>
              <w:snapToGrid w:val="0"/>
              <w:spacing w:line="360" w:lineRule="auto"/>
              <w:ind w:firstLine="454"/>
              <w:rPr>
                <w:sz w:val="24"/>
              </w:rPr>
            </w:pPr>
            <w:r>
              <w:rPr>
                <w:rFonts w:hint="eastAsia"/>
                <w:sz w:val="24"/>
              </w:rPr>
              <w:t>简单防渗区</w:t>
            </w:r>
          </w:p>
          <w:p w14:paraId="49E9B774">
            <w:pPr>
              <w:adjustRightInd w:val="0"/>
              <w:snapToGrid w:val="0"/>
              <w:spacing w:line="360" w:lineRule="auto"/>
              <w:ind w:firstLine="454"/>
              <w:rPr>
                <w:sz w:val="24"/>
              </w:rPr>
            </w:pPr>
            <w:r>
              <w:rPr>
                <w:sz w:val="24"/>
              </w:rPr>
              <w:t>办公区：主要为站房，采取地面硬化措施。</w:t>
            </w:r>
          </w:p>
          <w:p w14:paraId="1B60308F">
            <w:pPr>
              <w:adjustRightInd w:val="0"/>
              <w:snapToGrid w:val="0"/>
              <w:spacing w:line="360" w:lineRule="auto"/>
              <w:ind w:firstLine="454"/>
              <w:rPr>
                <w:rFonts w:hint="eastAsia"/>
                <w:sz w:val="24"/>
              </w:rPr>
            </w:pPr>
            <w:r>
              <w:rPr>
                <w:rFonts w:hint="eastAsia"/>
                <w:sz w:val="24"/>
              </w:rPr>
              <w:t>②管理措施</w:t>
            </w:r>
          </w:p>
          <w:p w14:paraId="0F55132F">
            <w:pPr>
              <w:adjustRightInd w:val="0"/>
              <w:snapToGrid w:val="0"/>
              <w:spacing w:line="360" w:lineRule="auto"/>
              <w:ind w:firstLine="454"/>
              <w:rPr>
                <w:rFonts w:hint="eastAsia"/>
                <w:sz w:val="24"/>
              </w:rPr>
            </w:pPr>
            <w:r>
              <w:rPr>
                <w:rFonts w:hint="eastAsia"/>
                <w:sz w:val="24"/>
              </w:rPr>
              <w:t>加强运行管理，从油品储存、运输等全过程控制油品泄漏，采取行之有效的防渗措施。定期检查污染源地下水保护设施，及时消除污染隐患，杜绝跑冒滴漏现象，发现有污染物泄漏或渗漏，采取清理污染物和修补漏洞（缝）等补救措施。</w:t>
            </w:r>
          </w:p>
          <w:p w14:paraId="66F70174">
            <w:pPr>
              <w:adjustRightInd w:val="0"/>
              <w:snapToGrid w:val="0"/>
              <w:spacing w:line="360" w:lineRule="auto"/>
              <w:ind w:firstLine="482" w:firstLineChars="200"/>
              <w:rPr>
                <w:b/>
                <w:bCs/>
                <w:sz w:val="24"/>
              </w:rPr>
            </w:pPr>
            <w:r>
              <w:rPr>
                <w:rFonts w:hint="eastAsia"/>
                <w:b/>
                <w:bCs/>
                <w:sz w:val="24"/>
              </w:rPr>
              <w:t>（3）地下水跟踪监测计划</w:t>
            </w:r>
          </w:p>
          <w:p w14:paraId="274F3D7F">
            <w:pPr>
              <w:adjustRightInd w:val="0"/>
              <w:snapToGrid w:val="0"/>
              <w:spacing w:line="360" w:lineRule="auto"/>
              <w:ind w:firstLine="454"/>
              <w:rPr>
                <w:rFonts w:hint="eastAsia"/>
                <w:sz w:val="24"/>
              </w:rPr>
            </w:pPr>
            <w:r>
              <w:rPr>
                <w:sz w:val="24"/>
              </w:rPr>
              <w:t>采取上述措施后，拟建项目对地下水基本不会造成明显影响，但建设单位应建立地下水环境监测管理体系，包括制定防渗漏监测，防止地下水污染；制定地下水跟踪监测计划、建立地下水环境影响跟踪监测制度等，以便掌握拟建项目油品是否泄漏及泄漏程度。</w:t>
            </w:r>
            <w:r>
              <w:rPr>
                <w:rFonts w:hint="eastAsia"/>
                <w:sz w:val="24"/>
              </w:rPr>
              <w:t>一旦发现问题，本项目的工作人员应及时进行检查，判断本项目是否有液体物料渗漏且污染地下水的情况，根据情况及时采取补救措施。</w:t>
            </w:r>
          </w:p>
          <w:p w14:paraId="42984B07">
            <w:pPr>
              <w:adjustRightInd w:val="0"/>
              <w:snapToGrid w:val="0"/>
              <w:spacing w:line="360" w:lineRule="auto"/>
              <w:ind w:firstLine="454"/>
              <w:rPr>
                <w:rFonts w:hint="eastAsia"/>
                <w:sz w:val="24"/>
              </w:rPr>
            </w:pPr>
            <w:r>
              <w:rPr>
                <w:rFonts w:hint="eastAsia"/>
                <w:sz w:val="24"/>
              </w:rPr>
              <w:t>根据《加油站地下水污染防治技术指南（试行）》，项目处于地下水饮用水水源保护区和补给径流区外，本项目为</w:t>
            </w:r>
            <w:r>
              <w:rPr>
                <w:rFonts w:hint="eastAsia"/>
                <w:bCs/>
                <w:sz w:val="24"/>
              </w:rPr>
              <w:t>防渗油罐</w:t>
            </w:r>
            <w:r>
              <w:rPr>
                <w:rFonts w:hint="eastAsia"/>
                <w:sz w:val="24"/>
              </w:rPr>
              <w:t>，满足防渗要求，本项目下游位置设置1个地下水质监测井，以便开展地下水跟踪监测。</w:t>
            </w:r>
          </w:p>
          <w:p w14:paraId="13843130">
            <w:pPr>
              <w:adjustRightInd w:val="0"/>
              <w:snapToGrid w:val="0"/>
              <w:spacing w:line="360" w:lineRule="auto"/>
              <w:ind w:firstLine="454"/>
              <w:rPr>
                <w:rFonts w:hint="eastAsia"/>
                <w:sz w:val="24"/>
              </w:rPr>
            </w:pPr>
            <w:r>
              <w:rPr>
                <w:rFonts w:hint="eastAsia"/>
                <w:sz w:val="24"/>
              </w:rPr>
              <w:t>地下水监测井结构采用一孔成井工艺，设置监测井时，应避免采用外来的水及流体，同时在地面井口处采取防渗措施。监测井的井管材料应有一定强度，耐腐蚀，对地下水无污染。</w:t>
            </w:r>
          </w:p>
          <w:p w14:paraId="2692A0EC">
            <w:pPr>
              <w:adjustRightInd w:val="0"/>
              <w:snapToGrid w:val="0"/>
              <w:spacing w:line="360" w:lineRule="auto"/>
              <w:ind w:firstLine="454"/>
              <w:rPr>
                <w:rFonts w:hint="eastAsia"/>
                <w:sz w:val="24"/>
              </w:rPr>
            </w:pPr>
            <w:r>
              <w:rPr>
                <w:rFonts w:hint="eastAsia"/>
                <w:sz w:val="24"/>
              </w:rPr>
              <w:t>根据《加油站地下水污染防治技术指南（试行）》，确定本项目地下水监测指标及频率</w:t>
            </w:r>
          </w:p>
          <w:p w14:paraId="20474248">
            <w:pPr>
              <w:numPr>
                <w:ilvl w:val="0"/>
                <w:numId w:val="7"/>
              </w:numPr>
              <w:adjustRightInd w:val="0"/>
              <w:snapToGrid w:val="0"/>
              <w:spacing w:line="360" w:lineRule="auto"/>
              <w:ind w:firstLine="454"/>
              <w:rPr>
                <w:rFonts w:hint="eastAsia"/>
                <w:sz w:val="24"/>
              </w:rPr>
            </w:pPr>
            <w:r>
              <w:rPr>
                <w:rFonts w:hint="eastAsia"/>
                <w:sz w:val="24"/>
              </w:rPr>
              <w:t>定性监测。可通过肉眼观察、使用测油膏、便携式气体监测仪等其他快速方法判定地下水监测井中是否存在油品污染，定性监测每周一次。</w:t>
            </w:r>
          </w:p>
          <w:p w14:paraId="2938EF60">
            <w:pPr>
              <w:numPr>
                <w:ilvl w:val="0"/>
                <w:numId w:val="7"/>
              </w:numPr>
              <w:adjustRightInd w:val="0"/>
              <w:snapToGrid w:val="0"/>
              <w:spacing w:line="360" w:lineRule="auto"/>
              <w:ind w:firstLine="454"/>
              <w:rPr>
                <w:sz w:val="24"/>
              </w:rPr>
            </w:pPr>
            <w:r>
              <w:rPr>
                <w:rFonts w:hint="eastAsia"/>
                <w:sz w:val="24"/>
              </w:rPr>
              <w:t>定量监测。若定性监测发现地下水存在油品污染，立即启动定量监测；若定性监测未发现问题，则每年监测1次，具体监测指标见下表。</w:t>
            </w:r>
          </w:p>
          <w:p w14:paraId="3CB99807">
            <w:pPr>
              <w:adjustRightInd w:val="0"/>
              <w:snapToGrid w:val="0"/>
              <w:spacing w:line="360" w:lineRule="auto"/>
              <w:ind w:firstLine="454"/>
              <w:rPr>
                <w:rFonts w:hint="eastAsia"/>
                <w:sz w:val="24"/>
              </w:rPr>
            </w:pPr>
            <w:r>
              <w:rPr>
                <w:rFonts w:hint="eastAsia"/>
                <w:sz w:val="24"/>
              </w:rPr>
              <w:t>本项目地下水跟踪监测计划见下表4-16。</w:t>
            </w:r>
          </w:p>
          <w:p w14:paraId="69EF10C8">
            <w:pPr>
              <w:pStyle w:val="68"/>
              <w:spacing w:line="240" w:lineRule="auto"/>
              <w:rPr>
                <w:rFonts w:hint="eastAsia" w:ascii="黑体" w:hAnsi="黑体" w:eastAsia="黑体" w:cs="黑体"/>
                <w:b w:val="0"/>
                <w:bCs w:val="0"/>
                <w:szCs w:val="21"/>
              </w:rPr>
            </w:pPr>
            <w:r>
              <w:rPr>
                <w:rFonts w:hint="eastAsia" w:ascii="黑体" w:hAnsi="黑体" w:eastAsia="黑体" w:cs="黑体"/>
                <w:b w:val="0"/>
                <w:bCs w:val="0"/>
                <w:szCs w:val="21"/>
              </w:rPr>
              <w:t>表4-16  地下水跟踪监测计划一览表</w:t>
            </w:r>
          </w:p>
          <w:tbl>
            <w:tblPr>
              <w:tblStyle w:val="23"/>
              <w:tblW w:w="8058"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92"/>
              <w:gridCol w:w="1261"/>
              <w:gridCol w:w="2551"/>
              <w:gridCol w:w="1043"/>
              <w:gridCol w:w="2011"/>
            </w:tblGrid>
            <w:tr w14:paraId="68D485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1192" w:type="dxa"/>
                  <w:vAlign w:val="center"/>
                </w:tcPr>
                <w:p w14:paraId="0EDECED6">
                  <w:pPr>
                    <w:adjustRightInd w:val="0"/>
                    <w:snapToGrid w:val="0"/>
                    <w:jc w:val="center"/>
                    <w:rPr>
                      <w:szCs w:val="21"/>
                    </w:rPr>
                  </w:pPr>
                  <w:r>
                    <w:rPr>
                      <w:rFonts w:hint="eastAsia"/>
                      <w:szCs w:val="21"/>
                    </w:rPr>
                    <w:t>监测对象</w:t>
                  </w:r>
                </w:p>
              </w:tc>
              <w:tc>
                <w:tcPr>
                  <w:tcW w:w="1261" w:type="dxa"/>
                  <w:vAlign w:val="center"/>
                </w:tcPr>
                <w:p w14:paraId="02224872">
                  <w:pPr>
                    <w:adjustRightInd w:val="0"/>
                    <w:snapToGrid w:val="0"/>
                    <w:jc w:val="center"/>
                    <w:rPr>
                      <w:szCs w:val="21"/>
                    </w:rPr>
                  </w:pPr>
                  <w:r>
                    <w:rPr>
                      <w:rFonts w:hint="eastAsia"/>
                      <w:szCs w:val="21"/>
                    </w:rPr>
                    <w:t>监测点位</w:t>
                  </w:r>
                </w:p>
              </w:tc>
              <w:tc>
                <w:tcPr>
                  <w:tcW w:w="2551" w:type="dxa"/>
                  <w:vAlign w:val="center"/>
                </w:tcPr>
                <w:p w14:paraId="02DD1117">
                  <w:pPr>
                    <w:adjustRightInd w:val="0"/>
                    <w:snapToGrid w:val="0"/>
                    <w:jc w:val="center"/>
                    <w:rPr>
                      <w:szCs w:val="21"/>
                    </w:rPr>
                  </w:pPr>
                  <w:r>
                    <w:rPr>
                      <w:rFonts w:hint="eastAsia"/>
                      <w:szCs w:val="21"/>
                    </w:rPr>
                    <w:t>监测因子</w:t>
                  </w:r>
                </w:p>
              </w:tc>
              <w:tc>
                <w:tcPr>
                  <w:tcW w:w="1043" w:type="dxa"/>
                  <w:vAlign w:val="center"/>
                </w:tcPr>
                <w:p w14:paraId="7403F225">
                  <w:pPr>
                    <w:adjustRightInd w:val="0"/>
                    <w:snapToGrid w:val="0"/>
                    <w:jc w:val="center"/>
                    <w:rPr>
                      <w:szCs w:val="21"/>
                    </w:rPr>
                  </w:pPr>
                  <w:r>
                    <w:rPr>
                      <w:rFonts w:hint="eastAsia"/>
                      <w:szCs w:val="21"/>
                    </w:rPr>
                    <w:t>监测频次</w:t>
                  </w:r>
                </w:p>
              </w:tc>
              <w:tc>
                <w:tcPr>
                  <w:tcW w:w="2011" w:type="dxa"/>
                  <w:vAlign w:val="center"/>
                </w:tcPr>
                <w:p w14:paraId="091DD251">
                  <w:pPr>
                    <w:adjustRightInd w:val="0"/>
                    <w:snapToGrid w:val="0"/>
                    <w:jc w:val="center"/>
                    <w:rPr>
                      <w:szCs w:val="21"/>
                    </w:rPr>
                  </w:pPr>
                  <w:r>
                    <w:rPr>
                      <w:rFonts w:hint="eastAsia"/>
                      <w:szCs w:val="21"/>
                    </w:rPr>
                    <w:t>执行标准</w:t>
                  </w:r>
                </w:p>
              </w:tc>
            </w:tr>
            <w:tr w14:paraId="337176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92" w:type="dxa"/>
                  <w:vAlign w:val="center"/>
                </w:tcPr>
                <w:p w14:paraId="0F74A446">
                  <w:pPr>
                    <w:adjustRightInd w:val="0"/>
                    <w:snapToGrid w:val="0"/>
                    <w:jc w:val="center"/>
                    <w:rPr>
                      <w:szCs w:val="21"/>
                    </w:rPr>
                  </w:pPr>
                  <w:r>
                    <w:rPr>
                      <w:rFonts w:hint="eastAsia"/>
                      <w:szCs w:val="21"/>
                    </w:rPr>
                    <w:t>地下水</w:t>
                  </w:r>
                </w:p>
              </w:tc>
              <w:tc>
                <w:tcPr>
                  <w:tcW w:w="1261" w:type="dxa"/>
                  <w:vAlign w:val="center"/>
                </w:tcPr>
                <w:p w14:paraId="6F23C464">
                  <w:pPr>
                    <w:adjustRightInd w:val="0"/>
                    <w:snapToGrid w:val="0"/>
                    <w:jc w:val="center"/>
                    <w:rPr>
                      <w:szCs w:val="21"/>
                    </w:rPr>
                  </w:pPr>
                  <w:r>
                    <w:rPr>
                      <w:rFonts w:hint="eastAsia"/>
                      <w:szCs w:val="21"/>
                    </w:rPr>
                    <w:t>地下水质监测井</w:t>
                  </w:r>
                </w:p>
              </w:tc>
              <w:tc>
                <w:tcPr>
                  <w:tcW w:w="2551" w:type="dxa"/>
                  <w:vAlign w:val="center"/>
                </w:tcPr>
                <w:p w14:paraId="54224AB2">
                  <w:pPr>
                    <w:adjustRightInd w:val="0"/>
                    <w:snapToGrid w:val="0"/>
                    <w:jc w:val="center"/>
                    <w:rPr>
                      <w:rFonts w:hint="eastAsia"/>
                      <w:szCs w:val="21"/>
                    </w:rPr>
                  </w:pPr>
                  <w:r>
                    <w:rPr>
                      <w:rFonts w:hint="eastAsia"/>
                      <w:szCs w:val="21"/>
                    </w:rPr>
                    <w:t>pH、萘、苯、甲苯、乙苯、邻二甲苯、间（对）二甲苯、甲基叔丁基醚、石油类</w:t>
                  </w:r>
                </w:p>
              </w:tc>
              <w:tc>
                <w:tcPr>
                  <w:tcW w:w="1043" w:type="dxa"/>
                  <w:vAlign w:val="center"/>
                </w:tcPr>
                <w:p w14:paraId="2EE0652A">
                  <w:pPr>
                    <w:adjustRightInd w:val="0"/>
                    <w:snapToGrid w:val="0"/>
                    <w:jc w:val="center"/>
                    <w:rPr>
                      <w:szCs w:val="21"/>
                    </w:rPr>
                  </w:pPr>
                  <w:r>
                    <w:rPr>
                      <w:rFonts w:hint="eastAsia"/>
                      <w:szCs w:val="21"/>
                    </w:rPr>
                    <w:t>1次/年</w:t>
                  </w:r>
                </w:p>
              </w:tc>
              <w:tc>
                <w:tcPr>
                  <w:tcW w:w="2011" w:type="dxa"/>
                  <w:vAlign w:val="center"/>
                </w:tcPr>
                <w:p w14:paraId="6E0CCDA2">
                  <w:pPr>
                    <w:adjustRightInd w:val="0"/>
                    <w:snapToGrid w:val="0"/>
                    <w:jc w:val="center"/>
                    <w:rPr>
                      <w:szCs w:val="21"/>
                    </w:rPr>
                  </w:pPr>
                  <w:r>
                    <w:rPr>
                      <w:rFonts w:hint="eastAsia"/>
                      <w:szCs w:val="21"/>
                    </w:rPr>
                    <w:t>《地下水质量标准》（GB/T14848-2017）Ⅲ类水质标准要求</w:t>
                  </w:r>
                </w:p>
              </w:tc>
            </w:tr>
          </w:tbl>
          <w:p w14:paraId="449EAA50">
            <w:pPr>
              <w:adjustRightInd w:val="0"/>
              <w:snapToGrid w:val="0"/>
              <w:spacing w:line="360" w:lineRule="auto"/>
              <w:rPr>
                <w:rFonts w:hint="eastAsia"/>
                <w:b/>
                <w:bCs/>
                <w:sz w:val="24"/>
              </w:rPr>
            </w:pPr>
            <w:r>
              <w:rPr>
                <w:rFonts w:hint="eastAsia"/>
                <w:b/>
                <w:bCs/>
                <w:color w:val="000000"/>
                <w:sz w:val="24"/>
              </w:rPr>
              <w:t>4.7土</w:t>
            </w:r>
            <w:r>
              <w:rPr>
                <w:rFonts w:hint="eastAsia"/>
                <w:b/>
                <w:bCs/>
                <w:sz w:val="24"/>
              </w:rPr>
              <w:t>壤环境影响及其防治措施</w:t>
            </w:r>
          </w:p>
          <w:p w14:paraId="0C212234">
            <w:pPr>
              <w:adjustRightInd w:val="0"/>
              <w:snapToGrid w:val="0"/>
              <w:spacing w:line="360" w:lineRule="auto"/>
              <w:ind w:firstLine="482" w:firstLineChars="200"/>
              <w:rPr>
                <w:rFonts w:hint="eastAsia"/>
                <w:b/>
                <w:bCs/>
                <w:sz w:val="24"/>
              </w:rPr>
            </w:pPr>
            <w:r>
              <w:rPr>
                <w:rFonts w:hint="eastAsia"/>
                <w:b/>
                <w:bCs/>
                <w:sz w:val="24"/>
              </w:rPr>
              <w:t>（1）土壤环境影响识别</w:t>
            </w:r>
          </w:p>
          <w:p w14:paraId="6531F1BB">
            <w:pPr>
              <w:adjustRightInd w:val="0"/>
              <w:snapToGrid w:val="0"/>
              <w:spacing w:line="360" w:lineRule="auto"/>
              <w:ind w:firstLine="454"/>
              <w:rPr>
                <w:rFonts w:hint="eastAsia"/>
                <w:sz w:val="24"/>
              </w:rPr>
            </w:pPr>
            <w:r>
              <w:rPr>
                <w:rFonts w:hint="eastAsia"/>
                <w:sz w:val="24"/>
              </w:rPr>
              <w:t>本项目营运期产生的废气排放量较小，能够实现达标排放的要求。营运期本项目生活污水经生化池处理后经园区污水管网排入大耍坝污水处理厂；场地冲洗废水与初期雨水经隔油沉淀池处理后排入</w:t>
            </w:r>
            <w:r>
              <w:rPr>
                <w:rFonts w:hint="eastAsia"/>
                <w:color w:val="000000"/>
                <w:sz w:val="24"/>
              </w:rPr>
              <w:t>园区污水管网；</w:t>
            </w:r>
            <w:r>
              <w:rPr>
                <w:rFonts w:hint="eastAsia"/>
                <w:sz w:val="24"/>
              </w:rPr>
              <w:t>雨水进入隔油池前端设置切换阀，后期雨水直接进入园区雨水管网。本项目正常情况下废气、废水不会对土壤造成明显影响</w:t>
            </w:r>
          </w:p>
          <w:p w14:paraId="5184EC5E">
            <w:pPr>
              <w:adjustRightInd w:val="0"/>
              <w:snapToGrid w:val="0"/>
              <w:spacing w:line="360" w:lineRule="auto"/>
              <w:ind w:firstLine="454"/>
              <w:rPr>
                <w:rFonts w:hint="eastAsia"/>
                <w:sz w:val="24"/>
              </w:rPr>
            </w:pPr>
            <w:r>
              <w:rPr>
                <w:rFonts w:hint="eastAsia"/>
                <w:sz w:val="24"/>
              </w:rPr>
              <w:t>本项目营运期产生的危险废物分类暂存于站区内设置的危险废物暂存点，并采取防腐、防渗以及收集等措施，因此不会受到雨水淋溶而进入外环境，可有效防止液态物质渗透到地下水污染土壤。</w:t>
            </w:r>
          </w:p>
          <w:p w14:paraId="5C45562D">
            <w:pPr>
              <w:adjustRightInd w:val="0"/>
              <w:snapToGrid w:val="0"/>
              <w:spacing w:line="360" w:lineRule="auto"/>
              <w:ind w:firstLine="454"/>
              <w:rPr>
                <w:rFonts w:hint="eastAsia"/>
                <w:sz w:val="24"/>
              </w:rPr>
            </w:pPr>
            <w:r>
              <w:rPr>
                <w:rFonts w:hint="eastAsia"/>
                <w:sz w:val="24"/>
              </w:rPr>
              <w:t>从污染途径分析，油料的泄漏时可能引起土壤污染的主要途径。事故状况下本次评价土壤环境影响主要考虑储油罐和危险废物暂存点发生事故时地面漫流和垂直入渗对土壤环境的影响。</w:t>
            </w:r>
          </w:p>
          <w:p w14:paraId="533E03E9">
            <w:pPr>
              <w:adjustRightInd w:val="0"/>
              <w:snapToGrid w:val="0"/>
              <w:spacing w:line="360" w:lineRule="auto"/>
              <w:ind w:firstLine="454"/>
              <w:rPr>
                <w:rFonts w:hint="eastAsia"/>
                <w:sz w:val="24"/>
              </w:rPr>
            </w:pPr>
            <w:r>
              <w:rPr>
                <w:rFonts w:hint="eastAsia"/>
                <w:sz w:val="24"/>
              </w:rPr>
              <w:t>本项目对土壤的影响类型和途径见表4-17，影响源及影响因子识别见表4-18。</w:t>
            </w:r>
          </w:p>
          <w:p w14:paraId="696E93C5">
            <w:pPr>
              <w:pStyle w:val="68"/>
              <w:spacing w:line="240" w:lineRule="auto"/>
              <w:rPr>
                <w:rFonts w:hint="eastAsia" w:ascii="黑体" w:hAnsi="黑体" w:eastAsia="黑体" w:cs="黑体"/>
                <w:b w:val="0"/>
                <w:bCs w:val="0"/>
                <w:szCs w:val="21"/>
              </w:rPr>
            </w:pPr>
            <w:r>
              <w:rPr>
                <w:rFonts w:hint="eastAsia" w:ascii="黑体" w:hAnsi="黑体" w:eastAsia="黑体" w:cs="黑体"/>
                <w:b w:val="0"/>
                <w:bCs w:val="0"/>
                <w:szCs w:val="21"/>
              </w:rPr>
              <w:t>表4-17  本项目土壤影响类型与途径表</w:t>
            </w:r>
          </w:p>
          <w:tbl>
            <w:tblPr>
              <w:tblStyle w:val="23"/>
              <w:tblW w:w="8099"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19"/>
              <w:gridCol w:w="1620"/>
              <w:gridCol w:w="1620"/>
              <w:gridCol w:w="1620"/>
              <w:gridCol w:w="1620"/>
            </w:tblGrid>
            <w:tr w14:paraId="0B8A73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1619" w:type="dxa"/>
                  <w:vMerge w:val="restart"/>
                  <w:vAlign w:val="center"/>
                </w:tcPr>
                <w:p w14:paraId="0304AE7E">
                  <w:pPr>
                    <w:adjustRightInd w:val="0"/>
                    <w:snapToGrid w:val="0"/>
                    <w:jc w:val="center"/>
                    <w:rPr>
                      <w:szCs w:val="21"/>
                    </w:rPr>
                  </w:pPr>
                  <w:r>
                    <w:rPr>
                      <w:rFonts w:hint="eastAsia"/>
                      <w:szCs w:val="21"/>
                    </w:rPr>
                    <w:t>影响时段</w:t>
                  </w:r>
                </w:p>
              </w:tc>
              <w:tc>
                <w:tcPr>
                  <w:tcW w:w="6480" w:type="dxa"/>
                  <w:gridSpan w:val="4"/>
                  <w:vAlign w:val="center"/>
                </w:tcPr>
                <w:p w14:paraId="0414408B">
                  <w:pPr>
                    <w:adjustRightInd w:val="0"/>
                    <w:snapToGrid w:val="0"/>
                    <w:jc w:val="center"/>
                    <w:rPr>
                      <w:szCs w:val="21"/>
                    </w:rPr>
                  </w:pPr>
                  <w:r>
                    <w:rPr>
                      <w:rFonts w:hint="eastAsia"/>
                      <w:szCs w:val="21"/>
                    </w:rPr>
                    <w:t>污染影响型</w:t>
                  </w:r>
                </w:p>
              </w:tc>
            </w:tr>
            <w:tr w14:paraId="65820B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619" w:type="dxa"/>
                  <w:vMerge w:val="continue"/>
                  <w:vAlign w:val="center"/>
                </w:tcPr>
                <w:p w14:paraId="25D417C8">
                  <w:pPr>
                    <w:adjustRightInd w:val="0"/>
                    <w:snapToGrid w:val="0"/>
                    <w:jc w:val="center"/>
                    <w:rPr>
                      <w:szCs w:val="21"/>
                    </w:rPr>
                  </w:pPr>
                </w:p>
              </w:tc>
              <w:tc>
                <w:tcPr>
                  <w:tcW w:w="1620" w:type="dxa"/>
                  <w:vAlign w:val="center"/>
                </w:tcPr>
                <w:p w14:paraId="7DE9F909">
                  <w:pPr>
                    <w:adjustRightInd w:val="0"/>
                    <w:snapToGrid w:val="0"/>
                    <w:jc w:val="center"/>
                    <w:rPr>
                      <w:szCs w:val="21"/>
                    </w:rPr>
                  </w:pPr>
                  <w:r>
                    <w:rPr>
                      <w:rFonts w:hint="eastAsia"/>
                      <w:szCs w:val="21"/>
                    </w:rPr>
                    <w:t>大气沉降</w:t>
                  </w:r>
                </w:p>
              </w:tc>
              <w:tc>
                <w:tcPr>
                  <w:tcW w:w="1620" w:type="dxa"/>
                  <w:vAlign w:val="center"/>
                </w:tcPr>
                <w:p w14:paraId="129081E9">
                  <w:pPr>
                    <w:adjustRightInd w:val="0"/>
                    <w:snapToGrid w:val="0"/>
                    <w:jc w:val="center"/>
                    <w:rPr>
                      <w:szCs w:val="21"/>
                    </w:rPr>
                  </w:pPr>
                  <w:r>
                    <w:rPr>
                      <w:rFonts w:hint="eastAsia"/>
                      <w:szCs w:val="21"/>
                    </w:rPr>
                    <w:t>地面漫流</w:t>
                  </w:r>
                </w:p>
              </w:tc>
              <w:tc>
                <w:tcPr>
                  <w:tcW w:w="1620" w:type="dxa"/>
                  <w:vAlign w:val="center"/>
                </w:tcPr>
                <w:p w14:paraId="4C4053AF">
                  <w:pPr>
                    <w:adjustRightInd w:val="0"/>
                    <w:snapToGrid w:val="0"/>
                    <w:jc w:val="center"/>
                    <w:rPr>
                      <w:szCs w:val="21"/>
                    </w:rPr>
                  </w:pPr>
                  <w:r>
                    <w:rPr>
                      <w:rFonts w:hint="eastAsia"/>
                      <w:szCs w:val="21"/>
                    </w:rPr>
                    <w:t>垂直渗入</w:t>
                  </w:r>
                </w:p>
              </w:tc>
              <w:tc>
                <w:tcPr>
                  <w:tcW w:w="1620" w:type="dxa"/>
                  <w:vAlign w:val="center"/>
                </w:tcPr>
                <w:p w14:paraId="4B7070A7">
                  <w:pPr>
                    <w:adjustRightInd w:val="0"/>
                    <w:snapToGrid w:val="0"/>
                    <w:jc w:val="center"/>
                    <w:rPr>
                      <w:szCs w:val="21"/>
                    </w:rPr>
                  </w:pPr>
                  <w:r>
                    <w:rPr>
                      <w:rFonts w:hint="eastAsia"/>
                      <w:szCs w:val="21"/>
                    </w:rPr>
                    <w:t>其他</w:t>
                  </w:r>
                </w:p>
              </w:tc>
            </w:tr>
            <w:tr w14:paraId="5FE15C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619" w:type="dxa"/>
                  <w:vAlign w:val="center"/>
                </w:tcPr>
                <w:p w14:paraId="543677A5">
                  <w:pPr>
                    <w:adjustRightInd w:val="0"/>
                    <w:snapToGrid w:val="0"/>
                    <w:jc w:val="center"/>
                    <w:rPr>
                      <w:szCs w:val="21"/>
                    </w:rPr>
                  </w:pPr>
                  <w:r>
                    <w:rPr>
                      <w:rFonts w:hint="eastAsia"/>
                      <w:szCs w:val="21"/>
                    </w:rPr>
                    <w:t>营运期</w:t>
                  </w:r>
                </w:p>
              </w:tc>
              <w:tc>
                <w:tcPr>
                  <w:tcW w:w="1620" w:type="dxa"/>
                  <w:vAlign w:val="center"/>
                </w:tcPr>
                <w:p w14:paraId="213910ED">
                  <w:pPr>
                    <w:adjustRightInd w:val="0"/>
                    <w:snapToGrid w:val="0"/>
                    <w:jc w:val="center"/>
                    <w:rPr>
                      <w:szCs w:val="21"/>
                    </w:rPr>
                  </w:pPr>
                  <w:r>
                    <w:rPr>
                      <w:rFonts w:hint="eastAsia"/>
                      <w:szCs w:val="21"/>
                    </w:rPr>
                    <w:t>/</w:t>
                  </w:r>
                </w:p>
              </w:tc>
              <w:tc>
                <w:tcPr>
                  <w:tcW w:w="1620" w:type="dxa"/>
                  <w:vAlign w:val="center"/>
                </w:tcPr>
                <w:p w14:paraId="6019387D">
                  <w:pPr>
                    <w:adjustRightInd w:val="0"/>
                    <w:snapToGrid w:val="0"/>
                    <w:jc w:val="center"/>
                    <w:rPr>
                      <w:szCs w:val="21"/>
                    </w:rPr>
                  </w:pPr>
                  <w:r>
                    <w:rPr>
                      <w:szCs w:val="21"/>
                    </w:rPr>
                    <w:t>√</w:t>
                  </w:r>
                </w:p>
              </w:tc>
              <w:tc>
                <w:tcPr>
                  <w:tcW w:w="1620" w:type="dxa"/>
                  <w:vAlign w:val="center"/>
                </w:tcPr>
                <w:p w14:paraId="7782EDF8">
                  <w:pPr>
                    <w:adjustRightInd w:val="0"/>
                    <w:snapToGrid w:val="0"/>
                    <w:jc w:val="center"/>
                    <w:rPr>
                      <w:szCs w:val="21"/>
                    </w:rPr>
                  </w:pPr>
                  <w:r>
                    <w:rPr>
                      <w:szCs w:val="21"/>
                    </w:rPr>
                    <w:t>√</w:t>
                  </w:r>
                </w:p>
              </w:tc>
              <w:tc>
                <w:tcPr>
                  <w:tcW w:w="1620" w:type="dxa"/>
                  <w:vAlign w:val="center"/>
                </w:tcPr>
                <w:p w14:paraId="24253F3E">
                  <w:pPr>
                    <w:adjustRightInd w:val="0"/>
                    <w:snapToGrid w:val="0"/>
                    <w:jc w:val="center"/>
                    <w:rPr>
                      <w:szCs w:val="21"/>
                    </w:rPr>
                  </w:pPr>
                  <w:r>
                    <w:rPr>
                      <w:rFonts w:hint="eastAsia"/>
                      <w:szCs w:val="21"/>
                    </w:rPr>
                    <w:t>/</w:t>
                  </w:r>
                </w:p>
              </w:tc>
            </w:tr>
          </w:tbl>
          <w:p w14:paraId="4AEEC120">
            <w:pPr>
              <w:pStyle w:val="68"/>
              <w:spacing w:line="240" w:lineRule="auto"/>
              <w:rPr>
                <w:rFonts w:hint="eastAsia" w:ascii="黑体" w:hAnsi="黑体" w:eastAsia="黑体" w:cs="黑体"/>
                <w:b w:val="0"/>
                <w:bCs w:val="0"/>
                <w:szCs w:val="21"/>
              </w:rPr>
            </w:pPr>
            <w:r>
              <w:rPr>
                <w:rFonts w:hint="eastAsia" w:ascii="黑体" w:hAnsi="黑体" w:eastAsia="黑体" w:cs="黑体"/>
                <w:b w:val="0"/>
                <w:bCs w:val="0"/>
                <w:szCs w:val="21"/>
              </w:rPr>
              <w:t>表4-18 本项目土壤环境影响源及影响因子识别表</w:t>
            </w:r>
          </w:p>
          <w:tbl>
            <w:tblPr>
              <w:tblStyle w:val="23"/>
              <w:tblW w:w="8097"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45"/>
              <w:gridCol w:w="1345"/>
              <w:gridCol w:w="1345"/>
              <w:gridCol w:w="1368"/>
              <w:gridCol w:w="1347"/>
              <w:gridCol w:w="1347"/>
            </w:tblGrid>
            <w:tr w14:paraId="6B3982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5" w:type="dxa"/>
                  <w:vAlign w:val="center"/>
                </w:tcPr>
                <w:p w14:paraId="3589119F">
                  <w:pPr>
                    <w:adjustRightInd w:val="0"/>
                    <w:snapToGrid w:val="0"/>
                    <w:jc w:val="center"/>
                    <w:rPr>
                      <w:szCs w:val="21"/>
                    </w:rPr>
                  </w:pPr>
                  <w:r>
                    <w:rPr>
                      <w:rFonts w:hint="eastAsia"/>
                      <w:szCs w:val="21"/>
                    </w:rPr>
                    <w:t>污染源</w:t>
                  </w:r>
                </w:p>
              </w:tc>
              <w:tc>
                <w:tcPr>
                  <w:tcW w:w="1345" w:type="dxa"/>
                  <w:vAlign w:val="center"/>
                </w:tcPr>
                <w:p w14:paraId="341C81AE">
                  <w:pPr>
                    <w:adjustRightInd w:val="0"/>
                    <w:snapToGrid w:val="0"/>
                    <w:jc w:val="center"/>
                    <w:rPr>
                      <w:szCs w:val="21"/>
                    </w:rPr>
                  </w:pPr>
                  <w:r>
                    <w:rPr>
                      <w:rFonts w:hint="eastAsia"/>
                      <w:szCs w:val="21"/>
                    </w:rPr>
                    <w:t>工艺流程/节点</w:t>
                  </w:r>
                </w:p>
              </w:tc>
              <w:tc>
                <w:tcPr>
                  <w:tcW w:w="1345" w:type="dxa"/>
                  <w:vAlign w:val="center"/>
                </w:tcPr>
                <w:p w14:paraId="59C3C4B5">
                  <w:pPr>
                    <w:adjustRightInd w:val="0"/>
                    <w:snapToGrid w:val="0"/>
                    <w:jc w:val="center"/>
                    <w:rPr>
                      <w:szCs w:val="21"/>
                    </w:rPr>
                  </w:pPr>
                  <w:r>
                    <w:rPr>
                      <w:rFonts w:hint="eastAsia"/>
                      <w:szCs w:val="21"/>
                    </w:rPr>
                    <w:t>污染途径</w:t>
                  </w:r>
                </w:p>
              </w:tc>
              <w:tc>
                <w:tcPr>
                  <w:tcW w:w="1368" w:type="dxa"/>
                  <w:vAlign w:val="center"/>
                </w:tcPr>
                <w:p w14:paraId="0A6079CD">
                  <w:pPr>
                    <w:adjustRightInd w:val="0"/>
                    <w:snapToGrid w:val="0"/>
                    <w:jc w:val="center"/>
                    <w:rPr>
                      <w:szCs w:val="21"/>
                    </w:rPr>
                  </w:pPr>
                  <w:r>
                    <w:rPr>
                      <w:rFonts w:hint="eastAsia"/>
                      <w:szCs w:val="21"/>
                    </w:rPr>
                    <w:t>全部污染物指标</w:t>
                  </w:r>
                </w:p>
              </w:tc>
              <w:tc>
                <w:tcPr>
                  <w:tcW w:w="1347" w:type="dxa"/>
                  <w:vAlign w:val="center"/>
                </w:tcPr>
                <w:p w14:paraId="68D71C0A">
                  <w:pPr>
                    <w:adjustRightInd w:val="0"/>
                    <w:snapToGrid w:val="0"/>
                    <w:jc w:val="center"/>
                    <w:rPr>
                      <w:szCs w:val="21"/>
                    </w:rPr>
                  </w:pPr>
                  <w:r>
                    <w:rPr>
                      <w:rFonts w:hint="eastAsia"/>
                      <w:szCs w:val="21"/>
                    </w:rPr>
                    <w:t>特征因子</w:t>
                  </w:r>
                </w:p>
              </w:tc>
              <w:tc>
                <w:tcPr>
                  <w:tcW w:w="1347" w:type="dxa"/>
                  <w:vAlign w:val="center"/>
                </w:tcPr>
                <w:p w14:paraId="1BA5C58F">
                  <w:pPr>
                    <w:adjustRightInd w:val="0"/>
                    <w:snapToGrid w:val="0"/>
                    <w:jc w:val="center"/>
                    <w:rPr>
                      <w:szCs w:val="21"/>
                    </w:rPr>
                  </w:pPr>
                  <w:r>
                    <w:rPr>
                      <w:rFonts w:hint="eastAsia"/>
                      <w:szCs w:val="21"/>
                    </w:rPr>
                    <w:t>备注</w:t>
                  </w:r>
                </w:p>
              </w:tc>
            </w:tr>
            <w:tr w14:paraId="5A943A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1345" w:type="dxa"/>
                  <w:vAlign w:val="center"/>
                </w:tcPr>
                <w:p w14:paraId="1FBB8C30">
                  <w:pPr>
                    <w:adjustRightInd w:val="0"/>
                    <w:snapToGrid w:val="0"/>
                    <w:jc w:val="center"/>
                    <w:rPr>
                      <w:rFonts w:hint="eastAsia"/>
                      <w:szCs w:val="21"/>
                    </w:rPr>
                  </w:pPr>
                  <w:r>
                    <w:rPr>
                      <w:rFonts w:hint="eastAsia"/>
                      <w:szCs w:val="21"/>
                    </w:rPr>
                    <w:t>生化池</w:t>
                  </w:r>
                </w:p>
              </w:tc>
              <w:tc>
                <w:tcPr>
                  <w:tcW w:w="1345" w:type="dxa"/>
                  <w:vAlign w:val="center"/>
                </w:tcPr>
                <w:p w14:paraId="20B81ADF">
                  <w:pPr>
                    <w:adjustRightInd w:val="0"/>
                    <w:snapToGrid w:val="0"/>
                    <w:jc w:val="center"/>
                    <w:rPr>
                      <w:szCs w:val="21"/>
                    </w:rPr>
                  </w:pPr>
                  <w:r>
                    <w:rPr>
                      <w:rFonts w:hint="eastAsia"/>
                      <w:szCs w:val="21"/>
                    </w:rPr>
                    <w:t>废水处理</w:t>
                  </w:r>
                </w:p>
              </w:tc>
              <w:tc>
                <w:tcPr>
                  <w:tcW w:w="1345" w:type="dxa"/>
                  <w:vAlign w:val="center"/>
                </w:tcPr>
                <w:p w14:paraId="602C4E38">
                  <w:pPr>
                    <w:adjustRightInd w:val="0"/>
                    <w:snapToGrid w:val="0"/>
                    <w:jc w:val="center"/>
                    <w:rPr>
                      <w:rFonts w:hint="eastAsia"/>
                      <w:szCs w:val="21"/>
                    </w:rPr>
                  </w:pPr>
                  <w:r>
                    <w:rPr>
                      <w:rFonts w:hint="eastAsia"/>
                      <w:szCs w:val="21"/>
                    </w:rPr>
                    <w:t>泄漏</w:t>
                  </w:r>
                </w:p>
              </w:tc>
              <w:tc>
                <w:tcPr>
                  <w:tcW w:w="2715" w:type="dxa"/>
                  <w:gridSpan w:val="2"/>
                  <w:vAlign w:val="center"/>
                </w:tcPr>
                <w:p w14:paraId="1BF12D14">
                  <w:pPr>
                    <w:adjustRightInd w:val="0"/>
                    <w:snapToGrid w:val="0"/>
                    <w:jc w:val="center"/>
                    <w:rPr>
                      <w:rFonts w:hint="eastAsia"/>
                      <w:szCs w:val="21"/>
                    </w:rPr>
                  </w:pPr>
                  <w:r>
                    <w:rPr>
                      <w:rFonts w:hint="eastAsia"/>
                      <w:szCs w:val="21"/>
                    </w:rPr>
                    <w:t>pH、COD、BOD5、SS、氨氮</w:t>
                  </w:r>
                </w:p>
              </w:tc>
              <w:tc>
                <w:tcPr>
                  <w:tcW w:w="1347" w:type="dxa"/>
                  <w:vAlign w:val="center"/>
                </w:tcPr>
                <w:p w14:paraId="26D0C779">
                  <w:pPr>
                    <w:adjustRightInd w:val="0"/>
                    <w:snapToGrid w:val="0"/>
                    <w:jc w:val="center"/>
                    <w:rPr>
                      <w:rFonts w:hint="eastAsia"/>
                      <w:szCs w:val="21"/>
                    </w:rPr>
                  </w:pPr>
                  <w:r>
                    <w:rPr>
                      <w:rFonts w:hint="eastAsia"/>
                      <w:szCs w:val="21"/>
                    </w:rPr>
                    <w:t>事故</w:t>
                  </w:r>
                </w:p>
              </w:tc>
            </w:tr>
            <w:tr w14:paraId="6381F2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79" w:hRule="atLeast"/>
              </w:trPr>
              <w:tc>
                <w:tcPr>
                  <w:tcW w:w="1345" w:type="dxa"/>
                  <w:vMerge w:val="restart"/>
                  <w:vAlign w:val="center"/>
                </w:tcPr>
                <w:p w14:paraId="154A88BA">
                  <w:pPr>
                    <w:adjustRightInd w:val="0"/>
                    <w:snapToGrid w:val="0"/>
                    <w:jc w:val="center"/>
                    <w:rPr>
                      <w:szCs w:val="21"/>
                    </w:rPr>
                  </w:pPr>
                  <w:r>
                    <w:rPr>
                      <w:rFonts w:hint="eastAsia"/>
                      <w:szCs w:val="21"/>
                    </w:rPr>
                    <w:t>储油罐</w:t>
                  </w:r>
                </w:p>
              </w:tc>
              <w:tc>
                <w:tcPr>
                  <w:tcW w:w="1345" w:type="dxa"/>
                  <w:vMerge w:val="restart"/>
                  <w:vAlign w:val="center"/>
                </w:tcPr>
                <w:p w14:paraId="409CC73F">
                  <w:pPr>
                    <w:adjustRightInd w:val="0"/>
                    <w:snapToGrid w:val="0"/>
                    <w:jc w:val="center"/>
                    <w:rPr>
                      <w:szCs w:val="21"/>
                    </w:rPr>
                  </w:pPr>
                  <w:r>
                    <w:rPr>
                      <w:rFonts w:hint="eastAsia"/>
                      <w:szCs w:val="21"/>
                    </w:rPr>
                    <w:t>储存</w:t>
                  </w:r>
                </w:p>
              </w:tc>
              <w:tc>
                <w:tcPr>
                  <w:tcW w:w="1345" w:type="dxa"/>
                  <w:vAlign w:val="center"/>
                </w:tcPr>
                <w:p w14:paraId="3DFEED80">
                  <w:pPr>
                    <w:adjustRightInd w:val="0"/>
                    <w:snapToGrid w:val="0"/>
                    <w:jc w:val="center"/>
                    <w:rPr>
                      <w:szCs w:val="21"/>
                    </w:rPr>
                  </w:pPr>
                  <w:r>
                    <w:rPr>
                      <w:rFonts w:hint="eastAsia"/>
                      <w:szCs w:val="21"/>
                    </w:rPr>
                    <w:t>地面漫流</w:t>
                  </w:r>
                </w:p>
              </w:tc>
              <w:tc>
                <w:tcPr>
                  <w:tcW w:w="1368" w:type="dxa"/>
                  <w:vMerge w:val="restart"/>
                  <w:vAlign w:val="center"/>
                </w:tcPr>
                <w:p w14:paraId="07836452">
                  <w:pPr>
                    <w:adjustRightInd w:val="0"/>
                    <w:snapToGrid w:val="0"/>
                    <w:jc w:val="center"/>
                    <w:rPr>
                      <w:szCs w:val="21"/>
                    </w:rPr>
                  </w:pPr>
                  <w:r>
                    <w:rPr>
                      <w:rFonts w:hint="eastAsia"/>
                      <w:szCs w:val="21"/>
                    </w:rPr>
                    <w:t>石油烃</w:t>
                  </w:r>
                </w:p>
              </w:tc>
              <w:tc>
                <w:tcPr>
                  <w:tcW w:w="1347" w:type="dxa"/>
                  <w:vMerge w:val="restart"/>
                  <w:vAlign w:val="center"/>
                </w:tcPr>
                <w:p w14:paraId="0A9AAA55">
                  <w:pPr>
                    <w:adjustRightInd w:val="0"/>
                    <w:snapToGrid w:val="0"/>
                    <w:jc w:val="center"/>
                    <w:rPr>
                      <w:szCs w:val="21"/>
                    </w:rPr>
                  </w:pPr>
                  <w:r>
                    <w:rPr>
                      <w:rFonts w:hint="eastAsia"/>
                      <w:szCs w:val="21"/>
                    </w:rPr>
                    <w:t>石油烃</w:t>
                  </w:r>
                </w:p>
              </w:tc>
              <w:tc>
                <w:tcPr>
                  <w:tcW w:w="1347" w:type="dxa"/>
                  <w:vMerge w:val="restart"/>
                  <w:vAlign w:val="center"/>
                </w:tcPr>
                <w:p w14:paraId="0FE95F08">
                  <w:pPr>
                    <w:adjustRightInd w:val="0"/>
                    <w:snapToGrid w:val="0"/>
                    <w:jc w:val="center"/>
                    <w:rPr>
                      <w:szCs w:val="21"/>
                    </w:rPr>
                  </w:pPr>
                  <w:r>
                    <w:rPr>
                      <w:rFonts w:hint="eastAsia"/>
                      <w:szCs w:val="21"/>
                    </w:rPr>
                    <w:t>事故</w:t>
                  </w:r>
                </w:p>
              </w:tc>
            </w:tr>
            <w:tr w14:paraId="648B95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79" w:hRule="atLeast"/>
              </w:trPr>
              <w:tc>
                <w:tcPr>
                  <w:tcW w:w="1345" w:type="dxa"/>
                  <w:vMerge w:val="continue"/>
                  <w:vAlign w:val="center"/>
                </w:tcPr>
                <w:p w14:paraId="0F7BDE25">
                  <w:pPr>
                    <w:adjustRightInd w:val="0"/>
                    <w:snapToGrid w:val="0"/>
                    <w:jc w:val="center"/>
                    <w:rPr>
                      <w:szCs w:val="21"/>
                    </w:rPr>
                  </w:pPr>
                </w:p>
              </w:tc>
              <w:tc>
                <w:tcPr>
                  <w:tcW w:w="1345" w:type="dxa"/>
                  <w:vMerge w:val="continue"/>
                  <w:vAlign w:val="center"/>
                </w:tcPr>
                <w:p w14:paraId="23FFD914">
                  <w:pPr>
                    <w:adjustRightInd w:val="0"/>
                    <w:snapToGrid w:val="0"/>
                    <w:jc w:val="center"/>
                    <w:rPr>
                      <w:szCs w:val="21"/>
                    </w:rPr>
                  </w:pPr>
                </w:p>
              </w:tc>
              <w:tc>
                <w:tcPr>
                  <w:tcW w:w="1345" w:type="dxa"/>
                  <w:vAlign w:val="center"/>
                </w:tcPr>
                <w:p w14:paraId="18936D5E">
                  <w:pPr>
                    <w:adjustRightInd w:val="0"/>
                    <w:snapToGrid w:val="0"/>
                    <w:jc w:val="center"/>
                    <w:rPr>
                      <w:szCs w:val="21"/>
                    </w:rPr>
                  </w:pPr>
                  <w:r>
                    <w:rPr>
                      <w:rFonts w:hint="eastAsia"/>
                      <w:szCs w:val="21"/>
                    </w:rPr>
                    <w:t>垂直渗入</w:t>
                  </w:r>
                </w:p>
              </w:tc>
              <w:tc>
                <w:tcPr>
                  <w:tcW w:w="1368" w:type="dxa"/>
                  <w:vMerge w:val="continue"/>
                  <w:vAlign w:val="center"/>
                </w:tcPr>
                <w:p w14:paraId="1D0F3021">
                  <w:pPr>
                    <w:adjustRightInd w:val="0"/>
                    <w:snapToGrid w:val="0"/>
                    <w:jc w:val="center"/>
                    <w:rPr>
                      <w:szCs w:val="21"/>
                    </w:rPr>
                  </w:pPr>
                </w:p>
              </w:tc>
              <w:tc>
                <w:tcPr>
                  <w:tcW w:w="1347" w:type="dxa"/>
                  <w:vMerge w:val="continue"/>
                  <w:vAlign w:val="center"/>
                </w:tcPr>
                <w:p w14:paraId="3F7140E0">
                  <w:pPr>
                    <w:adjustRightInd w:val="0"/>
                    <w:snapToGrid w:val="0"/>
                    <w:jc w:val="center"/>
                    <w:rPr>
                      <w:szCs w:val="21"/>
                    </w:rPr>
                  </w:pPr>
                </w:p>
              </w:tc>
              <w:tc>
                <w:tcPr>
                  <w:tcW w:w="1347" w:type="dxa"/>
                  <w:vMerge w:val="continue"/>
                  <w:vAlign w:val="center"/>
                </w:tcPr>
                <w:p w14:paraId="33AC179C">
                  <w:pPr>
                    <w:adjustRightInd w:val="0"/>
                    <w:snapToGrid w:val="0"/>
                    <w:jc w:val="center"/>
                    <w:rPr>
                      <w:szCs w:val="21"/>
                    </w:rPr>
                  </w:pPr>
                </w:p>
              </w:tc>
            </w:tr>
            <w:tr w14:paraId="79FA01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79" w:hRule="atLeast"/>
              </w:trPr>
              <w:tc>
                <w:tcPr>
                  <w:tcW w:w="1345" w:type="dxa"/>
                  <w:vMerge w:val="restart"/>
                  <w:vAlign w:val="center"/>
                </w:tcPr>
                <w:p w14:paraId="243A3E59">
                  <w:pPr>
                    <w:adjustRightInd w:val="0"/>
                    <w:snapToGrid w:val="0"/>
                    <w:jc w:val="center"/>
                    <w:rPr>
                      <w:szCs w:val="21"/>
                    </w:rPr>
                  </w:pPr>
                  <w:r>
                    <w:rPr>
                      <w:rFonts w:hint="eastAsia"/>
                      <w:szCs w:val="21"/>
                    </w:rPr>
                    <w:t>危废暂存间</w:t>
                  </w:r>
                </w:p>
              </w:tc>
              <w:tc>
                <w:tcPr>
                  <w:tcW w:w="1345" w:type="dxa"/>
                  <w:vMerge w:val="restart"/>
                  <w:vAlign w:val="center"/>
                </w:tcPr>
                <w:p w14:paraId="72E8F85C">
                  <w:pPr>
                    <w:adjustRightInd w:val="0"/>
                    <w:snapToGrid w:val="0"/>
                    <w:jc w:val="center"/>
                    <w:rPr>
                      <w:szCs w:val="21"/>
                    </w:rPr>
                  </w:pPr>
                  <w:r>
                    <w:rPr>
                      <w:rFonts w:hint="eastAsia"/>
                      <w:szCs w:val="21"/>
                    </w:rPr>
                    <w:t>储存</w:t>
                  </w:r>
                </w:p>
              </w:tc>
              <w:tc>
                <w:tcPr>
                  <w:tcW w:w="1345" w:type="dxa"/>
                  <w:vAlign w:val="center"/>
                </w:tcPr>
                <w:p w14:paraId="188E5CEA">
                  <w:pPr>
                    <w:adjustRightInd w:val="0"/>
                    <w:snapToGrid w:val="0"/>
                    <w:jc w:val="center"/>
                    <w:rPr>
                      <w:szCs w:val="21"/>
                    </w:rPr>
                  </w:pPr>
                  <w:r>
                    <w:rPr>
                      <w:rFonts w:hint="eastAsia"/>
                      <w:szCs w:val="21"/>
                    </w:rPr>
                    <w:t>地面漫流</w:t>
                  </w:r>
                </w:p>
              </w:tc>
              <w:tc>
                <w:tcPr>
                  <w:tcW w:w="1368" w:type="dxa"/>
                  <w:vMerge w:val="restart"/>
                  <w:vAlign w:val="center"/>
                </w:tcPr>
                <w:p w14:paraId="36A9B3CC">
                  <w:pPr>
                    <w:adjustRightInd w:val="0"/>
                    <w:snapToGrid w:val="0"/>
                    <w:jc w:val="center"/>
                    <w:rPr>
                      <w:szCs w:val="21"/>
                    </w:rPr>
                  </w:pPr>
                  <w:r>
                    <w:rPr>
                      <w:rFonts w:hint="eastAsia"/>
                      <w:szCs w:val="21"/>
                    </w:rPr>
                    <w:t>石油烃</w:t>
                  </w:r>
                </w:p>
              </w:tc>
              <w:tc>
                <w:tcPr>
                  <w:tcW w:w="1347" w:type="dxa"/>
                  <w:vMerge w:val="restart"/>
                  <w:vAlign w:val="center"/>
                </w:tcPr>
                <w:p w14:paraId="6D350BBB">
                  <w:pPr>
                    <w:adjustRightInd w:val="0"/>
                    <w:snapToGrid w:val="0"/>
                    <w:jc w:val="center"/>
                    <w:rPr>
                      <w:szCs w:val="21"/>
                    </w:rPr>
                  </w:pPr>
                  <w:r>
                    <w:rPr>
                      <w:rFonts w:hint="eastAsia"/>
                      <w:szCs w:val="21"/>
                    </w:rPr>
                    <w:t>石油烃</w:t>
                  </w:r>
                </w:p>
              </w:tc>
              <w:tc>
                <w:tcPr>
                  <w:tcW w:w="1347" w:type="dxa"/>
                  <w:vMerge w:val="restart"/>
                  <w:vAlign w:val="center"/>
                </w:tcPr>
                <w:p w14:paraId="22871EB5">
                  <w:pPr>
                    <w:adjustRightInd w:val="0"/>
                    <w:snapToGrid w:val="0"/>
                    <w:jc w:val="center"/>
                    <w:rPr>
                      <w:szCs w:val="21"/>
                    </w:rPr>
                  </w:pPr>
                  <w:r>
                    <w:rPr>
                      <w:rFonts w:hint="eastAsia"/>
                      <w:szCs w:val="21"/>
                    </w:rPr>
                    <w:t>事故</w:t>
                  </w:r>
                </w:p>
              </w:tc>
            </w:tr>
            <w:tr w14:paraId="1372EF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1345" w:type="dxa"/>
                  <w:vMerge w:val="continue"/>
                  <w:vAlign w:val="center"/>
                </w:tcPr>
                <w:p w14:paraId="0F35E75D">
                  <w:pPr>
                    <w:adjustRightInd w:val="0"/>
                    <w:snapToGrid w:val="0"/>
                    <w:jc w:val="center"/>
                    <w:rPr>
                      <w:szCs w:val="21"/>
                    </w:rPr>
                  </w:pPr>
                </w:p>
              </w:tc>
              <w:tc>
                <w:tcPr>
                  <w:tcW w:w="1345" w:type="dxa"/>
                  <w:vMerge w:val="continue"/>
                  <w:vAlign w:val="center"/>
                </w:tcPr>
                <w:p w14:paraId="45319FCF">
                  <w:pPr>
                    <w:adjustRightInd w:val="0"/>
                    <w:snapToGrid w:val="0"/>
                    <w:jc w:val="center"/>
                    <w:rPr>
                      <w:szCs w:val="21"/>
                    </w:rPr>
                  </w:pPr>
                </w:p>
              </w:tc>
              <w:tc>
                <w:tcPr>
                  <w:tcW w:w="1345" w:type="dxa"/>
                  <w:vAlign w:val="center"/>
                </w:tcPr>
                <w:p w14:paraId="31BB2CE9">
                  <w:pPr>
                    <w:adjustRightInd w:val="0"/>
                    <w:snapToGrid w:val="0"/>
                    <w:jc w:val="center"/>
                    <w:rPr>
                      <w:szCs w:val="21"/>
                    </w:rPr>
                  </w:pPr>
                  <w:r>
                    <w:rPr>
                      <w:rFonts w:hint="eastAsia"/>
                      <w:szCs w:val="21"/>
                    </w:rPr>
                    <w:t>垂直渗入</w:t>
                  </w:r>
                </w:p>
              </w:tc>
              <w:tc>
                <w:tcPr>
                  <w:tcW w:w="1368" w:type="dxa"/>
                  <w:vMerge w:val="continue"/>
                  <w:vAlign w:val="center"/>
                </w:tcPr>
                <w:p w14:paraId="3F80C623">
                  <w:pPr>
                    <w:adjustRightInd w:val="0"/>
                    <w:snapToGrid w:val="0"/>
                    <w:jc w:val="center"/>
                    <w:rPr>
                      <w:szCs w:val="21"/>
                    </w:rPr>
                  </w:pPr>
                </w:p>
              </w:tc>
              <w:tc>
                <w:tcPr>
                  <w:tcW w:w="1347" w:type="dxa"/>
                  <w:vMerge w:val="continue"/>
                  <w:vAlign w:val="center"/>
                </w:tcPr>
                <w:p w14:paraId="4BBC3830">
                  <w:pPr>
                    <w:adjustRightInd w:val="0"/>
                    <w:snapToGrid w:val="0"/>
                    <w:jc w:val="center"/>
                    <w:rPr>
                      <w:szCs w:val="21"/>
                    </w:rPr>
                  </w:pPr>
                </w:p>
              </w:tc>
              <w:tc>
                <w:tcPr>
                  <w:tcW w:w="1347" w:type="dxa"/>
                  <w:vMerge w:val="continue"/>
                  <w:vAlign w:val="center"/>
                </w:tcPr>
                <w:p w14:paraId="43D937BA">
                  <w:pPr>
                    <w:adjustRightInd w:val="0"/>
                    <w:snapToGrid w:val="0"/>
                    <w:jc w:val="center"/>
                    <w:rPr>
                      <w:szCs w:val="21"/>
                    </w:rPr>
                  </w:pPr>
                </w:p>
              </w:tc>
            </w:tr>
          </w:tbl>
          <w:p w14:paraId="3689D35C">
            <w:pPr>
              <w:adjustRightInd w:val="0"/>
              <w:snapToGrid w:val="0"/>
              <w:spacing w:line="360" w:lineRule="auto"/>
              <w:ind w:firstLine="482" w:firstLineChars="200"/>
              <w:rPr>
                <w:rFonts w:hint="eastAsia"/>
                <w:b/>
                <w:bCs/>
                <w:sz w:val="24"/>
              </w:rPr>
            </w:pPr>
            <w:r>
              <w:rPr>
                <w:rFonts w:hint="eastAsia"/>
                <w:b/>
                <w:bCs/>
                <w:sz w:val="24"/>
              </w:rPr>
              <w:t>（2）土壤污染防治措施</w:t>
            </w:r>
          </w:p>
          <w:p w14:paraId="406FB71C">
            <w:pPr>
              <w:adjustRightInd w:val="0"/>
              <w:snapToGrid w:val="0"/>
              <w:spacing w:line="360" w:lineRule="auto"/>
              <w:ind w:firstLine="454"/>
              <w:rPr>
                <w:rFonts w:hint="eastAsia"/>
                <w:sz w:val="24"/>
              </w:rPr>
            </w:pPr>
            <w:r>
              <w:rPr>
                <w:rFonts w:hint="eastAsia"/>
                <w:sz w:val="24"/>
              </w:rPr>
              <w:t>本项目加油站储油罐采用埋地卧式</w:t>
            </w:r>
            <w:r>
              <w:rPr>
                <w:rFonts w:hint="eastAsia"/>
                <w:bCs/>
                <w:sz w:val="24"/>
              </w:rPr>
              <w:t>单层钢制油罐</w:t>
            </w:r>
            <w:r>
              <w:rPr>
                <w:rFonts w:hint="eastAsia"/>
                <w:sz w:val="24"/>
              </w:rPr>
              <w:t>，设置防渗油罐池、液位计、温度计，安装渗漏检测系统，发生漏油事故几率较小。加油站地面均进行了硬化处理，采取分区防渗，分为重点防渗区、一般防渗区和简单防渗区。在保证防渗措施防渗性能的情况下，杜绝因污水处理设施破损或防渗层老化后污水下渗、油罐区发生油料泄漏后下渗，控制站内油料周转次数，场地内土壤环境不会因项目自身运营而产生较大变化。如果防渗层老化、油罐区泄漏产生少量污水、油料下渗，场地内土壤基本为黏土，吸附能力较强，通过对地下水的监控，可间接反映出土壤环境状况。污水处理设施、油罐区与场界有一定距离，横向扩散至场区外的可能性较小。通过加强维护保障污水处理设施、油罐区防渗层防渗能力完好，能够做到避免土壤环境污染。</w:t>
            </w:r>
          </w:p>
          <w:p w14:paraId="49176F13">
            <w:pPr>
              <w:adjustRightInd w:val="0"/>
              <w:snapToGrid w:val="0"/>
              <w:spacing w:line="360" w:lineRule="auto"/>
              <w:ind w:firstLine="454"/>
              <w:rPr>
                <w:rFonts w:hint="eastAsia"/>
                <w:sz w:val="24"/>
              </w:rPr>
            </w:pPr>
            <w:r>
              <w:rPr>
                <w:rFonts w:hint="eastAsia"/>
                <w:sz w:val="24"/>
              </w:rPr>
              <w:t>综上所述，评价认为项目对土壤环境影响较小，环境影响可接受。</w:t>
            </w:r>
          </w:p>
          <w:p w14:paraId="4391D045">
            <w:pPr>
              <w:adjustRightInd w:val="0"/>
              <w:snapToGrid w:val="0"/>
              <w:spacing w:line="360" w:lineRule="auto"/>
              <w:rPr>
                <w:rFonts w:hint="eastAsia"/>
                <w:b/>
                <w:bCs/>
                <w:sz w:val="24"/>
              </w:rPr>
            </w:pPr>
            <w:r>
              <w:rPr>
                <w:rFonts w:hint="eastAsia"/>
                <w:b/>
                <w:bCs/>
                <w:color w:val="000000"/>
                <w:sz w:val="24"/>
              </w:rPr>
              <w:t>4.8环</w:t>
            </w:r>
            <w:r>
              <w:rPr>
                <w:rFonts w:hint="eastAsia"/>
                <w:b/>
                <w:bCs/>
                <w:sz w:val="24"/>
              </w:rPr>
              <w:t>境风险评价</w:t>
            </w:r>
          </w:p>
          <w:p w14:paraId="563570E8">
            <w:pPr>
              <w:adjustRightInd w:val="0"/>
              <w:spacing w:line="360" w:lineRule="auto"/>
              <w:ind w:firstLine="482" w:firstLineChars="200"/>
              <w:rPr>
                <w:rFonts w:hint="eastAsia"/>
                <w:b/>
                <w:sz w:val="24"/>
              </w:rPr>
            </w:pPr>
            <w:r>
              <w:rPr>
                <w:rFonts w:hint="eastAsia"/>
                <w:b/>
                <w:sz w:val="24"/>
              </w:rPr>
              <w:t>（1）</w:t>
            </w:r>
            <w:r>
              <w:rPr>
                <w:b/>
                <w:sz w:val="24"/>
              </w:rPr>
              <w:t>风险</w:t>
            </w:r>
            <w:r>
              <w:rPr>
                <w:rFonts w:hint="eastAsia"/>
                <w:b/>
                <w:sz w:val="24"/>
              </w:rPr>
              <w:t>源识别</w:t>
            </w:r>
          </w:p>
          <w:p w14:paraId="0D8EB677">
            <w:pPr>
              <w:adjustRightInd w:val="0"/>
              <w:spacing w:line="360" w:lineRule="auto"/>
              <w:ind w:firstLine="480" w:firstLineChars="200"/>
              <w:rPr>
                <w:sz w:val="24"/>
              </w:rPr>
            </w:pPr>
            <w:r>
              <w:rPr>
                <w:sz w:val="24"/>
              </w:rPr>
              <w:t>风险物质危险性识别：拟建项目主要涉及的原辅材料有汽油和柴油，根据《建设项目环境风险评价技术导则》（HJ169-2018）、《危险货物品名表》（GB 12268-2012）和《化学品分类、警示标签和警示性说明安全规范急性毒性》（GB20592-2006）判定汽油、柴油的危险特性。</w:t>
            </w:r>
          </w:p>
          <w:p w14:paraId="5F5E43F6">
            <w:pPr>
              <w:pStyle w:val="68"/>
              <w:spacing w:line="240" w:lineRule="auto"/>
              <w:rPr>
                <w:rFonts w:hint="eastAsia" w:ascii="黑体" w:hAnsi="黑体" w:eastAsia="黑体" w:cs="黑体"/>
                <w:b w:val="0"/>
                <w:bCs w:val="0"/>
                <w:szCs w:val="21"/>
              </w:rPr>
            </w:pPr>
            <w:r>
              <w:rPr>
                <w:rFonts w:hint="eastAsia" w:ascii="黑体" w:hAnsi="黑体" w:eastAsia="黑体" w:cs="黑体"/>
                <w:b w:val="0"/>
                <w:bCs w:val="0"/>
                <w:szCs w:val="21"/>
              </w:rPr>
              <w:t>表4-19  汽油物化及毒理性质统计表</w:t>
            </w:r>
          </w:p>
          <w:tbl>
            <w:tblPr>
              <w:tblStyle w:val="23"/>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3345"/>
              <w:gridCol w:w="4734"/>
            </w:tblGrid>
            <w:tr w14:paraId="05436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2070" w:type="pct"/>
                  <w:vAlign w:val="center"/>
                </w:tcPr>
                <w:p w14:paraId="6227E932">
                  <w:pPr>
                    <w:rPr>
                      <w:sz w:val="18"/>
                      <w:szCs w:val="18"/>
                    </w:rPr>
                  </w:pPr>
                  <w:r>
                    <w:rPr>
                      <w:sz w:val="18"/>
                      <w:szCs w:val="18"/>
                    </w:rPr>
                    <w:t>物理状态：液态</w:t>
                  </w:r>
                </w:p>
              </w:tc>
              <w:tc>
                <w:tcPr>
                  <w:tcW w:w="2929" w:type="pct"/>
                  <w:vAlign w:val="center"/>
                </w:tcPr>
                <w:p w14:paraId="795A03EC">
                  <w:pPr>
                    <w:rPr>
                      <w:sz w:val="18"/>
                      <w:szCs w:val="18"/>
                    </w:rPr>
                  </w:pPr>
                  <w:r>
                    <w:rPr>
                      <w:sz w:val="18"/>
                      <w:szCs w:val="18"/>
                    </w:rPr>
                    <w:t>形状：挥发液体</w:t>
                  </w:r>
                </w:p>
              </w:tc>
            </w:tr>
            <w:tr w14:paraId="30177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2070" w:type="pct"/>
                  <w:vAlign w:val="center"/>
                </w:tcPr>
                <w:p w14:paraId="07750F3F">
                  <w:pPr>
                    <w:rPr>
                      <w:sz w:val="18"/>
                      <w:szCs w:val="18"/>
                    </w:rPr>
                  </w:pPr>
                  <w:r>
                    <w:rPr>
                      <w:sz w:val="18"/>
                      <w:szCs w:val="18"/>
                    </w:rPr>
                    <w:t>颜色：无色或淡黄色</w:t>
                  </w:r>
                </w:p>
              </w:tc>
              <w:tc>
                <w:tcPr>
                  <w:tcW w:w="2929" w:type="pct"/>
                  <w:vAlign w:val="center"/>
                </w:tcPr>
                <w:p w14:paraId="599FFD37">
                  <w:pPr>
                    <w:rPr>
                      <w:sz w:val="18"/>
                      <w:szCs w:val="18"/>
                    </w:rPr>
                  </w:pPr>
                  <w:r>
                    <w:rPr>
                      <w:sz w:val="18"/>
                      <w:szCs w:val="18"/>
                    </w:rPr>
                    <w:t>气味：汽油味道</w:t>
                  </w:r>
                </w:p>
              </w:tc>
            </w:tr>
            <w:tr w14:paraId="00DA0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2070" w:type="pct"/>
                  <w:vAlign w:val="center"/>
                </w:tcPr>
                <w:p w14:paraId="5BFB66F6">
                  <w:pPr>
                    <w:rPr>
                      <w:sz w:val="18"/>
                      <w:szCs w:val="18"/>
                    </w:rPr>
                  </w:pPr>
                  <w:r>
                    <w:rPr>
                      <w:sz w:val="18"/>
                      <w:szCs w:val="18"/>
                    </w:rPr>
                    <w:t>pH值：中性</w:t>
                  </w:r>
                </w:p>
              </w:tc>
              <w:tc>
                <w:tcPr>
                  <w:tcW w:w="2929" w:type="pct"/>
                  <w:vAlign w:val="center"/>
                </w:tcPr>
                <w:p w14:paraId="0506C217">
                  <w:pPr>
                    <w:rPr>
                      <w:sz w:val="18"/>
                      <w:szCs w:val="18"/>
                    </w:rPr>
                  </w:pPr>
                  <w:r>
                    <w:rPr>
                      <w:sz w:val="18"/>
                      <w:szCs w:val="18"/>
                    </w:rPr>
                    <w:t>沸点/沸点范围：30℃～210℃（86℉～410℉）</w:t>
                  </w:r>
                </w:p>
              </w:tc>
            </w:tr>
            <w:tr w14:paraId="654E8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2070" w:type="pct"/>
                  <w:vAlign w:val="center"/>
                </w:tcPr>
                <w:p w14:paraId="60E460F2">
                  <w:pPr>
                    <w:rPr>
                      <w:sz w:val="18"/>
                      <w:szCs w:val="18"/>
                    </w:rPr>
                  </w:pPr>
                  <w:r>
                    <w:rPr>
                      <w:sz w:val="18"/>
                      <w:szCs w:val="18"/>
                    </w:rPr>
                    <w:t>分解温度：无资料</w:t>
                  </w:r>
                </w:p>
              </w:tc>
              <w:tc>
                <w:tcPr>
                  <w:tcW w:w="2929" w:type="pct"/>
                  <w:vAlign w:val="center"/>
                </w:tcPr>
                <w:p w14:paraId="5D62ED52">
                  <w:pPr>
                    <w:rPr>
                      <w:sz w:val="18"/>
                      <w:szCs w:val="18"/>
                    </w:rPr>
                  </w:pPr>
                  <w:r>
                    <w:rPr>
                      <w:sz w:val="18"/>
                      <w:szCs w:val="18"/>
                    </w:rPr>
                    <w:t>闪火点：-43℃～-38℃（-45℉～-36℉）</w:t>
                  </w:r>
                </w:p>
                <w:p w14:paraId="3255C583">
                  <w:pPr>
                    <w:rPr>
                      <w:sz w:val="18"/>
                      <w:szCs w:val="18"/>
                    </w:rPr>
                  </w:pPr>
                  <w:r>
                    <w:rPr>
                      <w:sz w:val="18"/>
                      <w:szCs w:val="18"/>
                    </w:rPr>
                    <w:t>测试方法：闭杯</w:t>
                  </w:r>
                </w:p>
              </w:tc>
            </w:tr>
            <w:tr w14:paraId="5382C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2070" w:type="pct"/>
                  <w:vAlign w:val="center"/>
                </w:tcPr>
                <w:p w14:paraId="10816F7B">
                  <w:pPr>
                    <w:rPr>
                      <w:sz w:val="18"/>
                      <w:szCs w:val="18"/>
                    </w:rPr>
                  </w:pPr>
                  <w:r>
                    <w:rPr>
                      <w:sz w:val="18"/>
                      <w:szCs w:val="18"/>
                    </w:rPr>
                    <w:t>自燃温度：280℃～456℃</w:t>
                  </w:r>
                </w:p>
              </w:tc>
              <w:tc>
                <w:tcPr>
                  <w:tcW w:w="2929" w:type="pct"/>
                  <w:vAlign w:val="center"/>
                </w:tcPr>
                <w:p w14:paraId="334DE5FA">
                  <w:pPr>
                    <w:rPr>
                      <w:sz w:val="18"/>
                      <w:szCs w:val="18"/>
                    </w:rPr>
                  </w:pPr>
                  <w:r>
                    <w:rPr>
                      <w:sz w:val="18"/>
                      <w:szCs w:val="18"/>
                    </w:rPr>
                    <w:t>爆炸界限：LEL：1.2%～1.4%   UEL：7.6%</w:t>
                  </w:r>
                </w:p>
              </w:tc>
            </w:tr>
            <w:tr w14:paraId="0DE75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2070" w:type="pct"/>
                  <w:vAlign w:val="center"/>
                </w:tcPr>
                <w:p w14:paraId="53BDC905">
                  <w:pPr>
                    <w:rPr>
                      <w:sz w:val="18"/>
                      <w:szCs w:val="18"/>
                    </w:rPr>
                  </w:pPr>
                  <w:r>
                    <w:rPr>
                      <w:sz w:val="18"/>
                      <w:szCs w:val="18"/>
                    </w:rPr>
                    <w:t>蒸气压：0.03447～0.10342MPa</w:t>
                  </w:r>
                </w:p>
              </w:tc>
              <w:tc>
                <w:tcPr>
                  <w:tcW w:w="2929" w:type="pct"/>
                  <w:vAlign w:val="center"/>
                </w:tcPr>
                <w:p w14:paraId="43A0E76F">
                  <w:pPr>
                    <w:rPr>
                      <w:sz w:val="18"/>
                      <w:szCs w:val="18"/>
                    </w:rPr>
                  </w:pPr>
                  <w:r>
                    <w:rPr>
                      <w:sz w:val="18"/>
                      <w:szCs w:val="18"/>
                    </w:rPr>
                    <w:t>蒸气密度（Air=1）：3～5</w:t>
                  </w:r>
                </w:p>
              </w:tc>
            </w:tr>
            <w:tr w14:paraId="3CD9D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2070" w:type="pct"/>
                  <w:vAlign w:val="center"/>
                </w:tcPr>
                <w:p w14:paraId="1C68ED09">
                  <w:pPr>
                    <w:rPr>
                      <w:sz w:val="18"/>
                      <w:szCs w:val="18"/>
                    </w:rPr>
                  </w:pPr>
                  <w:r>
                    <w:rPr>
                      <w:sz w:val="18"/>
                      <w:szCs w:val="18"/>
                    </w:rPr>
                    <w:t>密度：0.7573kg/L＠15℃</w:t>
                  </w:r>
                </w:p>
              </w:tc>
              <w:tc>
                <w:tcPr>
                  <w:tcW w:w="2929" w:type="pct"/>
                  <w:vAlign w:val="center"/>
                </w:tcPr>
                <w:p w14:paraId="1F0ACEB5">
                  <w:pPr>
                    <w:rPr>
                      <w:sz w:val="18"/>
                      <w:szCs w:val="18"/>
                    </w:rPr>
                  </w:pPr>
                  <w:r>
                    <w:rPr>
                      <w:sz w:val="18"/>
                      <w:szCs w:val="18"/>
                    </w:rPr>
                    <w:t>溶解度：水溶解度：＜0.1%</w:t>
                  </w:r>
                </w:p>
                <w:p w14:paraId="5E1F6433">
                  <w:pPr>
                    <w:rPr>
                      <w:sz w:val="18"/>
                      <w:szCs w:val="18"/>
                    </w:rPr>
                  </w:pPr>
                  <w:r>
                    <w:rPr>
                      <w:sz w:val="18"/>
                      <w:szCs w:val="18"/>
                    </w:rPr>
                    <w:t>溶解于无水酒精、醚类、苯、氯仿。</w:t>
                  </w:r>
                </w:p>
              </w:tc>
            </w:tr>
            <w:tr w14:paraId="63351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5000" w:type="pct"/>
                  <w:gridSpan w:val="2"/>
                  <w:vAlign w:val="center"/>
                </w:tcPr>
                <w:p w14:paraId="7355C163">
                  <w:pPr>
                    <w:rPr>
                      <w:sz w:val="18"/>
                      <w:szCs w:val="18"/>
                    </w:rPr>
                  </w:pPr>
                  <w:r>
                    <w:rPr>
                      <w:sz w:val="18"/>
                      <w:szCs w:val="18"/>
                    </w:rPr>
                    <w:t>安定性：常温常压下稳定</w:t>
                  </w:r>
                </w:p>
              </w:tc>
            </w:tr>
            <w:tr w14:paraId="60AF3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5000" w:type="pct"/>
                  <w:gridSpan w:val="2"/>
                  <w:vAlign w:val="center"/>
                </w:tcPr>
                <w:p w14:paraId="76BE92D0">
                  <w:pPr>
                    <w:rPr>
                      <w:sz w:val="18"/>
                      <w:szCs w:val="18"/>
                    </w:rPr>
                  </w:pPr>
                  <w:r>
                    <w:rPr>
                      <w:sz w:val="18"/>
                      <w:szCs w:val="18"/>
                    </w:rPr>
                    <w:t>特殊状况下可能之危害反应：不会发生聚合反应</w:t>
                  </w:r>
                </w:p>
              </w:tc>
            </w:tr>
            <w:tr w14:paraId="530F2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5000" w:type="pct"/>
                  <w:gridSpan w:val="2"/>
                  <w:vAlign w:val="center"/>
                </w:tcPr>
                <w:p w14:paraId="41DCB3CA">
                  <w:pPr>
                    <w:snapToGrid w:val="0"/>
                    <w:rPr>
                      <w:sz w:val="18"/>
                      <w:szCs w:val="18"/>
                    </w:rPr>
                  </w:pPr>
                  <w:r>
                    <w:rPr>
                      <w:sz w:val="18"/>
                      <w:szCs w:val="18"/>
                    </w:rPr>
                    <w:t>应避免之状况：避免热、火焰、火花及其他燃烧物质。若曝露于热源，容器会破裂或爆炸远离水源及下水道。有害气体会累积在密闭空间。</w:t>
                  </w:r>
                </w:p>
              </w:tc>
            </w:tr>
            <w:tr w14:paraId="36106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5000" w:type="pct"/>
                  <w:gridSpan w:val="2"/>
                  <w:vAlign w:val="center"/>
                </w:tcPr>
                <w:p w14:paraId="76C367A8">
                  <w:pPr>
                    <w:snapToGrid w:val="0"/>
                    <w:rPr>
                      <w:sz w:val="18"/>
                      <w:szCs w:val="18"/>
                    </w:rPr>
                  </w:pPr>
                  <w:r>
                    <w:rPr>
                      <w:sz w:val="18"/>
                      <w:szCs w:val="18"/>
                    </w:rPr>
                    <w:t>应避免之物质：避免和强氧化剂，如：酸、碱、金属、卤素、过氧化物、易燃物质等，接触极易发生反应。</w:t>
                  </w:r>
                </w:p>
              </w:tc>
            </w:tr>
            <w:tr w14:paraId="6748B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5000" w:type="pct"/>
                  <w:gridSpan w:val="2"/>
                  <w:vAlign w:val="center"/>
                </w:tcPr>
                <w:p w14:paraId="200E543D">
                  <w:pPr>
                    <w:snapToGrid w:val="0"/>
                    <w:rPr>
                      <w:sz w:val="18"/>
                      <w:szCs w:val="18"/>
                    </w:rPr>
                  </w:pPr>
                  <w:r>
                    <w:rPr>
                      <w:sz w:val="18"/>
                      <w:szCs w:val="18"/>
                    </w:rPr>
                    <w:t>危害分解物：碳氧化合物之有毒或有害气体。</w:t>
                  </w:r>
                </w:p>
              </w:tc>
            </w:tr>
            <w:tr w14:paraId="4AE11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5000" w:type="pct"/>
                  <w:gridSpan w:val="2"/>
                  <w:tcBorders>
                    <w:top w:val="single" w:color="auto" w:sz="4" w:space="0"/>
                    <w:left w:val="single" w:color="auto" w:sz="4" w:space="0"/>
                    <w:bottom w:val="single" w:color="auto" w:sz="4" w:space="0"/>
                    <w:right w:val="single" w:color="auto" w:sz="4" w:space="0"/>
                  </w:tcBorders>
                  <w:vAlign w:val="center"/>
                </w:tcPr>
                <w:p w14:paraId="3D94FC51">
                  <w:pPr>
                    <w:snapToGrid w:val="0"/>
                    <w:rPr>
                      <w:sz w:val="18"/>
                      <w:szCs w:val="18"/>
                    </w:rPr>
                  </w:pPr>
                  <w:r>
                    <w:rPr>
                      <w:sz w:val="18"/>
                      <w:szCs w:val="18"/>
                    </w:rPr>
                    <w:t>急性毒性：</w:t>
                  </w:r>
                </w:p>
                <w:p w14:paraId="0F1D028F">
                  <w:pPr>
                    <w:snapToGrid w:val="0"/>
                    <w:rPr>
                      <w:sz w:val="18"/>
                      <w:szCs w:val="18"/>
                    </w:rPr>
                  </w:pPr>
                  <w:r>
                    <w:rPr>
                      <w:sz w:val="18"/>
                      <w:szCs w:val="18"/>
                    </w:rPr>
                    <w:t>1、食入：会引起刺激与伴随着反胃、呕吐、腹泻的胃肠管道的烧伤。吸收最初会引起中枢神经兴奋随后意志消沉。症状包含：轻微的兴奋、坐立不安、神经过敏、兴奋性、痉挛、虚弱、视力模糊、头痛、头昏眼花、困倦、精神错乱、抽筋与昏迷。有可能短暂的肝脏受损。</w:t>
                  </w:r>
                </w:p>
                <w:p w14:paraId="1C5325FB">
                  <w:pPr>
                    <w:snapToGrid w:val="0"/>
                    <w:rPr>
                      <w:sz w:val="18"/>
                      <w:szCs w:val="18"/>
                    </w:rPr>
                  </w:pPr>
                  <w:r>
                    <w:rPr>
                      <w:sz w:val="18"/>
                      <w:szCs w:val="18"/>
                    </w:rPr>
                    <w:t>2、吸入：在160～270ppm浓度下几小时，会刺激咽喉。浓度2000ppm下30分钟，会引起轻微的麻醉。其它中枢神经抑制的症状包括：头痛、反胃、呕吐、头昏眼花、困倦、脸部发红、视力模糊、说话含糊、吞咽困难、摇晃欲倒、困惑与陶醉感。在更高浓度会逐渐出现：呼吸困难、肺部浮肿、与支气管肺炎。更进一步会引起，如下列的意气消沉：微弱的呼吸与脉搏、神经过敏、痉挛、兴奋性、与运动失调。严重的中毒会导致精神错乱、无意识、昏迷、与癫痫发作的抽筋。另外也会影响：肝脏、肾脏、脾脏、脑部、心肌与胰脏。会由于呼吸或循环不足或心室纤维颤动而引起死亡。极高度的浓度会引起窒息。</w:t>
                  </w:r>
                </w:p>
                <w:p w14:paraId="1F00D29F">
                  <w:pPr>
                    <w:snapToGrid w:val="0"/>
                    <w:rPr>
                      <w:sz w:val="18"/>
                      <w:szCs w:val="18"/>
                    </w:rPr>
                  </w:pPr>
                  <w:r>
                    <w:rPr>
                      <w:sz w:val="18"/>
                      <w:szCs w:val="18"/>
                    </w:rPr>
                    <w:t>3、皮肤：液体会引起带有红斑与疼痛的刺激。长期或大量接触会引起水泡；且在极端情况下会引起表皮损坏。</w:t>
                  </w:r>
                </w:p>
                <w:p w14:paraId="31607346">
                  <w:pPr>
                    <w:snapToGrid w:val="0"/>
                    <w:rPr>
                      <w:sz w:val="18"/>
                      <w:szCs w:val="18"/>
                    </w:rPr>
                  </w:pPr>
                  <w:r>
                    <w:rPr>
                      <w:sz w:val="18"/>
                      <w:szCs w:val="18"/>
                    </w:rPr>
                    <w:t>4、眼睛：浓度在270ppm～900ppm间，通常在症状（如：明显的结膜充血）之前会引起刺激感觉。液体挥溅在眼睛上，会引起疼痛、剧痛的与脆弱的、短暂的角膜上皮的困扰。角膜充血与浮肿会发生。</w:t>
                  </w:r>
                </w:p>
              </w:tc>
            </w:tr>
            <w:tr w14:paraId="70AA4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5000" w:type="pct"/>
                  <w:gridSpan w:val="2"/>
                  <w:tcBorders>
                    <w:top w:val="single" w:color="auto" w:sz="4" w:space="0"/>
                    <w:left w:val="single" w:color="auto" w:sz="4" w:space="0"/>
                    <w:bottom w:val="single" w:color="auto" w:sz="4" w:space="0"/>
                    <w:right w:val="single" w:color="auto" w:sz="4" w:space="0"/>
                  </w:tcBorders>
                  <w:vAlign w:val="center"/>
                </w:tcPr>
                <w:p w14:paraId="1F27B425">
                  <w:pPr>
                    <w:snapToGrid w:val="0"/>
                    <w:rPr>
                      <w:sz w:val="18"/>
                      <w:szCs w:val="18"/>
                    </w:rPr>
                  </w:pPr>
                  <w:r>
                    <w:rPr>
                      <w:sz w:val="18"/>
                      <w:szCs w:val="18"/>
                    </w:rPr>
                    <w:t>局部效应：对于吸入、皮肤、眼睛等会产生刺激性。</w:t>
                  </w:r>
                </w:p>
              </w:tc>
            </w:tr>
            <w:tr w14:paraId="30123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5000" w:type="pct"/>
                  <w:gridSpan w:val="2"/>
                  <w:tcBorders>
                    <w:top w:val="single" w:color="auto" w:sz="4" w:space="0"/>
                    <w:left w:val="single" w:color="auto" w:sz="4" w:space="0"/>
                    <w:bottom w:val="single" w:color="auto" w:sz="4" w:space="0"/>
                    <w:right w:val="single" w:color="auto" w:sz="4" w:space="0"/>
                  </w:tcBorders>
                  <w:vAlign w:val="center"/>
                </w:tcPr>
                <w:p w14:paraId="1ED2151A">
                  <w:pPr>
                    <w:snapToGrid w:val="0"/>
                    <w:rPr>
                      <w:sz w:val="18"/>
                      <w:szCs w:val="18"/>
                    </w:rPr>
                  </w:pPr>
                  <w:r>
                    <w:rPr>
                      <w:sz w:val="18"/>
                      <w:szCs w:val="18"/>
                    </w:rPr>
                    <w:t>致敏感性：无此资料。</w:t>
                  </w:r>
                </w:p>
              </w:tc>
            </w:tr>
            <w:tr w14:paraId="14491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5000" w:type="pct"/>
                  <w:gridSpan w:val="2"/>
                  <w:tcBorders>
                    <w:top w:val="single" w:color="auto" w:sz="4" w:space="0"/>
                    <w:left w:val="single" w:color="auto" w:sz="4" w:space="0"/>
                    <w:bottom w:val="single" w:color="auto" w:sz="4" w:space="0"/>
                    <w:right w:val="single" w:color="auto" w:sz="4" w:space="0"/>
                  </w:tcBorders>
                  <w:vAlign w:val="center"/>
                </w:tcPr>
                <w:p w14:paraId="583691B8">
                  <w:pPr>
                    <w:snapToGrid w:val="0"/>
                    <w:rPr>
                      <w:sz w:val="18"/>
                      <w:szCs w:val="18"/>
                    </w:rPr>
                  </w:pPr>
                  <w:r>
                    <w:rPr>
                      <w:sz w:val="18"/>
                      <w:szCs w:val="18"/>
                    </w:rPr>
                    <w:t>慢毒性或长期毒性：</w:t>
                  </w:r>
                </w:p>
                <w:p w14:paraId="21F17249">
                  <w:pPr>
                    <w:snapToGrid w:val="0"/>
                    <w:rPr>
                      <w:sz w:val="18"/>
                      <w:szCs w:val="18"/>
                    </w:rPr>
                  </w:pPr>
                  <w:r>
                    <w:rPr>
                      <w:sz w:val="18"/>
                      <w:szCs w:val="18"/>
                    </w:rPr>
                    <w:t>1、食入：没有有效数据。</w:t>
                  </w:r>
                </w:p>
                <w:p w14:paraId="5617CF28">
                  <w:pPr>
                    <w:snapToGrid w:val="0"/>
                    <w:rPr>
                      <w:sz w:val="18"/>
                      <w:szCs w:val="18"/>
                    </w:rPr>
                  </w:pPr>
                  <w:r>
                    <w:rPr>
                      <w:sz w:val="18"/>
                      <w:szCs w:val="18"/>
                    </w:rPr>
                    <w:t>2、吸入：除了少数例外，大部分重复吸入的报告，是从故意闻汽油的吸入而不是工作场所的曝露而来。报告的症状包含：头痛、反胃、疲劳、厌食与失重、脸色苍白、头昏眼花、失去记忆、神经过敏、困惑、肌肉疲软与抽筋、外围神经变性病、多发神经炎、与神经衰弱症。不清楚这些的一些症状是否由于含铅的汽油引起。另外也可能引起肝脏与肾脏的伤害。</w:t>
                  </w:r>
                </w:p>
                <w:p w14:paraId="45BB7EF9">
                  <w:pPr>
                    <w:rPr>
                      <w:sz w:val="18"/>
                      <w:szCs w:val="18"/>
                    </w:rPr>
                  </w:pPr>
                  <w:r>
                    <w:rPr>
                      <w:sz w:val="18"/>
                      <w:szCs w:val="18"/>
                    </w:rPr>
                    <w:t>3、皮肤：重复或长期与液体接触会引起刺激、皮肤炎、具有干燥、裂开、或烧伤与水泡的皮肤脱脂状况。可能由于添加剂之故，一些人会患有过敏症。</w:t>
                  </w:r>
                </w:p>
                <w:p w14:paraId="78DB2FFD">
                  <w:pPr>
                    <w:snapToGrid w:val="0"/>
                    <w:rPr>
                      <w:sz w:val="18"/>
                      <w:szCs w:val="18"/>
                    </w:rPr>
                  </w:pPr>
                  <w:r>
                    <w:rPr>
                      <w:sz w:val="18"/>
                      <w:szCs w:val="18"/>
                    </w:rPr>
                    <w:t>4、眼睛：重复或长期曝露会引起结膜炎、且可能逐渐不能翻转的角膜损失及结膜易受伤害。</w:t>
                  </w:r>
                </w:p>
              </w:tc>
            </w:tr>
            <w:tr w14:paraId="1EA54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5000" w:type="pct"/>
                  <w:gridSpan w:val="2"/>
                  <w:tcBorders>
                    <w:top w:val="single" w:color="auto" w:sz="4" w:space="0"/>
                    <w:left w:val="single" w:color="auto" w:sz="4" w:space="0"/>
                    <w:bottom w:val="single" w:color="auto" w:sz="4" w:space="0"/>
                    <w:right w:val="single" w:color="auto" w:sz="4" w:space="0"/>
                  </w:tcBorders>
                  <w:vAlign w:val="center"/>
                </w:tcPr>
                <w:p w14:paraId="34351C91">
                  <w:pPr>
                    <w:snapToGrid w:val="0"/>
                    <w:rPr>
                      <w:sz w:val="18"/>
                      <w:szCs w:val="18"/>
                    </w:rPr>
                  </w:pPr>
                  <w:r>
                    <w:rPr>
                      <w:sz w:val="18"/>
                      <w:szCs w:val="18"/>
                    </w:rPr>
                    <w:t>物品危害分类：易燃液体</w:t>
                  </w:r>
                </w:p>
              </w:tc>
            </w:tr>
            <w:tr w14:paraId="62E83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5000" w:type="pct"/>
                  <w:gridSpan w:val="2"/>
                  <w:tcBorders>
                    <w:top w:val="single" w:color="auto" w:sz="4" w:space="0"/>
                    <w:left w:val="single" w:color="auto" w:sz="4" w:space="0"/>
                    <w:bottom w:val="single" w:color="auto" w:sz="4" w:space="0"/>
                    <w:right w:val="single" w:color="auto" w:sz="4" w:space="0"/>
                  </w:tcBorders>
                  <w:vAlign w:val="center"/>
                </w:tcPr>
                <w:p w14:paraId="3C874B99">
                  <w:pPr>
                    <w:rPr>
                      <w:sz w:val="18"/>
                      <w:szCs w:val="18"/>
                    </w:rPr>
                  </w:pPr>
                  <w:r>
                    <w:rPr>
                      <w:sz w:val="18"/>
                      <w:szCs w:val="18"/>
                    </w:rPr>
                    <w:t>不同暴露途径之急救方法：</w:t>
                  </w:r>
                </w:p>
                <w:p w14:paraId="68131A66">
                  <w:pPr>
                    <w:rPr>
                      <w:sz w:val="18"/>
                      <w:szCs w:val="18"/>
                    </w:rPr>
                  </w:pPr>
                  <w:r>
                    <w:rPr>
                      <w:sz w:val="18"/>
                      <w:szCs w:val="18"/>
                    </w:rPr>
                    <w:t>1、吸入：当能够安全进入灾区时，将人员从暴露区移到新鲜空气处。若需要，用一袋状阀门口罩或相同设备，以实施人工呼吸。保持身体温暖及静止休息。立刻送医治疗。</w:t>
                  </w:r>
                </w:p>
                <w:p w14:paraId="05B10C90">
                  <w:pPr>
                    <w:rPr>
                      <w:sz w:val="18"/>
                      <w:szCs w:val="18"/>
                    </w:rPr>
                  </w:pPr>
                  <w:r>
                    <w:rPr>
                      <w:sz w:val="18"/>
                      <w:szCs w:val="18"/>
                    </w:rPr>
                    <w:t>2、皮肤接触：立刻将受污染的衣服、首饰、手表等及鞋子脱掉。用肥皂或中性清洁剂清洗感染处，并且用大量水冲洗直至没有化学品残留（至少15～20分钟）。若需要，送医治疗。</w:t>
                  </w:r>
                </w:p>
                <w:p w14:paraId="401E22E3">
                  <w:pPr>
                    <w:rPr>
                      <w:sz w:val="18"/>
                      <w:szCs w:val="18"/>
                    </w:rPr>
                  </w:pPr>
                  <w:r>
                    <w:rPr>
                      <w:sz w:val="18"/>
                      <w:szCs w:val="18"/>
                    </w:rPr>
                    <w:t>3、眼睛接触：将中毒者移开污染区，在水龙头或洗眼器下冲洗眼睛十五分钟以上，并将上下眼皮翻开转动眼睛，直至没有化学品残留。如果疼痛持续则送至眼科医生处进一步治疗。</w:t>
                  </w:r>
                </w:p>
                <w:p w14:paraId="4A3BBA86">
                  <w:pPr>
                    <w:snapToGrid w:val="0"/>
                    <w:rPr>
                      <w:sz w:val="18"/>
                      <w:szCs w:val="18"/>
                    </w:rPr>
                  </w:pPr>
                  <w:r>
                    <w:rPr>
                      <w:sz w:val="18"/>
                      <w:szCs w:val="18"/>
                    </w:rPr>
                    <w:t>4、食入：同时急电给予医疗上之建议。不要使意志不清人员呕吐或喝饮料。当呕吐发生时，保持头部低于臀部。若人员意志不清醒，使头部转向一边。若需要，将患者及油品容器携至附近之紧急救治医院。</w:t>
                  </w:r>
                </w:p>
              </w:tc>
            </w:tr>
            <w:tr w14:paraId="4D98F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5000" w:type="pct"/>
                  <w:gridSpan w:val="2"/>
                  <w:tcBorders>
                    <w:top w:val="single" w:color="auto" w:sz="4" w:space="0"/>
                    <w:left w:val="single" w:color="auto" w:sz="4" w:space="0"/>
                    <w:bottom w:val="single" w:color="auto" w:sz="4" w:space="0"/>
                    <w:right w:val="single" w:color="auto" w:sz="4" w:space="0"/>
                  </w:tcBorders>
                  <w:vAlign w:val="center"/>
                </w:tcPr>
                <w:p w14:paraId="14DBC271">
                  <w:pPr>
                    <w:rPr>
                      <w:sz w:val="18"/>
                      <w:szCs w:val="18"/>
                    </w:rPr>
                  </w:pPr>
                  <w:r>
                    <w:rPr>
                      <w:sz w:val="18"/>
                      <w:szCs w:val="18"/>
                    </w:rPr>
                    <w:t>对急救人员之防护：</w:t>
                  </w:r>
                </w:p>
                <w:p w14:paraId="50EEAC47">
                  <w:pPr>
                    <w:rPr>
                      <w:sz w:val="18"/>
                      <w:szCs w:val="18"/>
                    </w:rPr>
                  </w:pPr>
                  <w:r>
                    <w:rPr>
                      <w:sz w:val="18"/>
                      <w:szCs w:val="18"/>
                    </w:rPr>
                    <w:t>1.戴防护衣服（包含防溶剂手套）以免接触污染物。</w:t>
                  </w:r>
                </w:p>
                <w:p w14:paraId="7810B126">
                  <w:pPr>
                    <w:rPr>
                      <w:sz w:val="18"/>
                      <w:szCs w:val="18"/>
                    </w:rPr>
                  </w:pPr>
                  <w:r>
                    <w:rPr>
                      <w:sz w:val="18"/>
                      <w:szCs w:val="18"/>
                    </w:rPr>
                    <w:t>2.戴化学护目镜。</w:t>
                  </w:r>
                </w:p>
              </w:tc>
            </w:tr>
            <w:tr w14:paraId="46DE9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5000" w:type="pct"/>
                  <w:gridSpan w:val="2"/>
                  <w:tcBorders>
                    <w:top w:val="single" w:color="auto" w:sz="4" w:space="0"/>
                    <w:left w:val="single" w:color="auto" w:sz="4" w:space="0"/>
                    <w:bottom w:val="single" w:color="auto" w:sz="4" w:space="0"/>
                    <w:right w:val="single" w:color="auto" w:sz="4" w:space="0"/>
                  </w:tcBorders>
                  <w:vAlign w:val="center"/>
                </w:tcPr>
                <w:p w14:paraId="06B52466">
                  <w:pPr>
                    <w:rPr>
                      <w:sz w:val="18"/>
                      <w:szCs w:val="18"/>
                    </w:rPr>
                  </w:pPr>
                  <w:r>
                    <w:rPr>
                      <w:sz w:val="18"/>
                      <w:szCs w:val="18"/>
                    </w:rPr>
                    <w:t>急救提示：对于吸入考虑给予氧气处理，对于吞食考虑给予胃部清洗及</w:t>
                  </w:r>
                  <w:r>
                    <w:rPr>
                      <w:rFonts w:hint="eastAsia"/>
                      <w:sz w:val="18"/>
                      <w:szCs w:val="18"/>
                      <w:lang w:eastAsia="zh-CN"/>
                    </w:rPr>
                    <w:t>活性炭</w:t>
                  </w:r>
                  <w:r>
                    <w:rPr>
                      <w:sz w:val="18"/>
                      <w:szCs w:val="18"/>
                    </w:rPr>
                    <w:t>浆液处理。</w:t>
                  </w:r>
                </w:p>
              </w:tc>
            </w:tr>
          </w:tbl>
          <w:p w14:paraId="3558A38B">
            <w:pPr>
              <w:pStyle w:val="68"/>
              <w:spacing w:line="240" w:lineRule="auto"/>
              <w:rPr>
                <w:rFonts w:hint="eastAsia" w:ascii="黑体" w:hAnsi="黑体" w:eastAsia="黑体" w:cs="黑体"/>
                <w:b w:val="0"/>
                <w:bCs w:val="0"/>
                <w:szCs w:val="21"/>
              </w:rPr>
            </w:pPr>
          </w:p>
          <w:p w14:paraId="6B6593BA">
            <w:pPr>
              <w:pStyle w:val="68"/>
              <w:spacing w:line="240" w:lineRule="auto"/>
              <w:rPr>
                <w:rFonts w:hint="eastAsia" w:ascii="黑体" w:hAnsi="黑体" w:eastAsia="黑体" w:cs="黑体"/>
                <w:b w:val="0"/>
                <w:bCs w:val="0"/>
                <w:szCs w:val="21"/>
              </w:rPr>
            </w:pPr>
            <w:r>
              <w:rPr>
                <w:rFonts w:hint="eastAsia" w:ascii="黑体" w:hAnsi="黑体" w:eastAsia="黑体" w:cs="黑体"/>
                <w:b w:val="0"/>
                <w:bCs w:val="0"/>
                <w:szCs w:val="21"/>
              </w:rPr>
              <w:t>表4-20  柴油物化及毒理性质统计表</w:t>
            </w:r>
          </w:p>
          <w:tbl>
            <w:tblPr>
              <w:tblStyle w:val="23"/>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30" w:type="dxa"/>
                <w:left w:w="30" w:type="dxa"/>
                <w:bottom w:w="30" w:type="dxa"/>
                <w:right w:w="30" w:type="dxa"/>
              </w:tblCellMar>
            </w:tblPr>
            <w:tblGrid>
              <w:gridCol w:w="3173"/>
              <w:gridCol w:w="4900"/>
            </w:tblGrid>
            <w:tr w14:paraId="60F516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30" w:type="dxa"/>
                  <w:left w:w="30" w:type="dxa"/>
                  <w:bottom w:w="30" w:type="dxa"/>
                  <w:right w:w="30" w:type="dxa"/>
                </w:tblCellMar>
              </w:tblPrEx>
              <w:trPr>
                <w:trHeight w:val="284" w:hRule="atLeast"/>
                <w:jc w:val="center"/>
              </w:trPr>
              <w:tc>
                <w:tcPr>
                  <w:tcW w:w="1965" w:type="pct"/>
                  <w:vAlign w:val="center"/>
                </w:tcPr>
                <w:p w14:paraId="0A7AADC8">
                  <w:pPr>
                    <w:rPr>
                      <w:sz w:val="18"/>
                      <w:szCs w:val="18"/>
                    </w:rPr>
                  </w:pPr>
                  <w:r>
                    <w:rPr>
                      <w:sz w:val="18"/>
                      <w:szCs w:val="18"/>
                    </w:rPr>
                    <w:t>物质状态： 液态</w:t>
                  </w:r>
                </w:p>
              </w:tc>
              <w:tc>
                <w:tcPr>
                  <w:tcW w:w="3034" w:type="pct"/>
                  <w:vAlign w:val="center"/>
                </w:tcPr>
                <w:p w14:paraId="6360EA4D">
                  <w:pPr>
                    <w:rPr>
                      <w:sz w:val="18"/>
                      <w:szCs w:val="18"/>
                    </w:rPr>
                  </w:pPr>
                  <w:r>
                    <w:rPr>
                      <w:sz w:val="18"/>
                      <w:szCs w:val="18"/>
                    </w:rPr>
                    <w:t>形状：淡黄色透明油液 </w:t>
                  </w:r>
                </w:p>
              </w:tc>
            </w:tr>
            <w:tr w14:paraId="070DD5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30" w:type="dxa"/>
                  <w:left w:w="30" w:type="dxa"/>
                  <w:bottom w:w="30" w:type="dxa"/>
                  <w:right w:w="30" w:type="dxa"/>
                </w:tblCellMar>
              </w:tblPrEx>
              <w:trPr>
                <w:trHeight w:val="284" w:hRule="atLeast"/>
                <w:jc w:val="center"/>
              </w:trPr>
              <w:tc>
                <w:tcPr>
                  <w:tcW w:w="1965" w:type="pct"/>
                  <w:vAlign w:val="center"/>
                </w:tcPr>
                <w:p w14:paraId="200B0826">
                  <w:pPr>
                    <w:rPr>
                      <w:sz w:val="18"/>
                      <w:szCs w:val="18"/>
                    </w:rPr>
                  </w:pPr>
                  <w:r>
                    <w:rPr>
                      <w:sz w:val="18"/>
                      <w:szCs w:val="18"/>
                    </w:rPr>
                    <w:t>颜色： 淡黄色</w:t>
                  </w:r>
                </w:p>
              </w:tc>
              <w:tc>
                <w:tcPr>
                  <w:tcW w:w="3034" w:type="pct"/>
                  <w:vAlign w:val="center"/>
                </w:tcPr>
                <w:p w14:paraId="4549A7AA">
                  <w:pPr>
                    <w:rPr>
                      <w:sz w:val="18"/>
                      <w:szCs w:val="18"/>
                    </w:rPr>
                  </w:pPr>
                  <w:r>
                    <w:rPr>
                      <w:sz w:val="18"/>
                      <w:szCs w:val="18"/>
                    </w:rPr>
                    <w:t>气味：轻微石油味道 </w:t>
                  </w:r>
                </w:p>
              </w:tc>
            </w:tr>
            <w:tr w14:paraId="01DA8C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30" w:type="dxa"/>
                  <w:left w:w="30" w:type="dxa"/>
                  <w:bottom w:w="30" w:type="dxa"/>
                  <w:right w:w="30" w:type="dxa"/>
                </w:tblCellMar>
              </w:tblPrEx>
              <w:trPr>
                <w:trHeight w:val="284" w:hRule="atLeast"/>
                <w:jc w:val="center"/>
              </w:trPr>
              <w:tc>
                <w:tcPr>
                  <w:tcW w:w="1965" w:type="pct"/>
                  <w:vAlign w:val="center"/>
                </w:tcPr>
                <w:p w14:paraId="001DD860">
                  <w:pPr>
                    <w:rPr>
                      <w:sz w:val="18"/>
                      <w:szCs w:val="18"/>
                    </w:rPr>
                  </w:pPr>
                  <w:r>
                    <w:rPr>
                      <w:sz w:val="18"/>
                      <w:szCs w:val="18"/>
                    </w:rPr>
                    <w:t>pH值 ： 中性</w:t>
                  </w:r>
                </w:p>
              </w:tc>
              <w:tc>
                <w:tcPr>
                  <w:tcW w:w="3034" w:type="pct"/>
                  <w:vAlign w:val="center"/>
                </w:tcPr>
                <w:p w14:paraId="4370DDD8">
                  <w:pPr>
                    <w:rPr>
                      <w:sz w:val="18"/>
                      <w:szCs w:val="18"/>
                    </w:rPr>
                  </w:pPr>
                  <w:r>
                    <w:rPr>
                      <w:sz w:val="18"/>
                      <w:szCs w:val="18"/>
                    </w:rPr>
                    <w:t>沸点/沸点范围：163 ℃ ～357 ℃ （ 325℉～675 ℉ ）</w:t>
                  </w:r>
                </w:p>
              </w:tc>
            </w:tr>
            <w:tr w14:paraId="02D1CF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30" w:type="dxa"/>
                  <w:left w:w="30" w:type="dxa"/>
                  <w:bottom w:w="30" w:type="dxa"/>
                  <w:right w:w="30" w:type="dxa"/>
                </w:tblCellMar>
              </w:tblPrEx>
              <w:trPr>
                <w:trHeight w:val="284" w:hRule="atLeast"/>
                <w:jc w:val="center"/>
              </w:trPr>
              <w:tc>
                <w:tcPr>
                  <w:tcW w:w="1965" w:type="pct"/>
                  <w:vAlign w:val="center"/>
                </w:tcPr>
                <w:p w14:paraId="7BA7BF64">
                  <w:pPr>
                    <w:rPr>
                      <w:sz w:val="18"/>
                      <w:szCs w:val="18"/>
                    </w:rPr>
                  </w:pPr>
                  <w:r>
                    <w:rPr>
                      <w:sz w:val="18"/>
                      <w:szCs w:val="18"/>
                    </w:rPr>
                    <w:t>分解温度：无资料</w:t>
                  </w:r>
                </w:p>
              </w:tc>
              <w:tc>
                <w:tcPr>
                  <w:tcW w:w="3034" w:type="pct"/>
                  <w:vAlign w:val="center"/>
                </w:tcPr>
                <w:p w14:paraId="46FEB27B">
                  <w:pPr>
                    <w:rPr>
                      <w:sz w:val="18"/>
                      <w:szCs w:val="18"/>
                    </w:rPr>
                  </w:pPr>
                  <w:r>
                    <w:rPr>
                      <w:sz w:val="18"/>
                      <w:szCs w:val="18"/>
                    </w:rPr>
                    <w:t>闪火点：&gt;52℃  测试方法：闭杯</w:t>
                  </w:r>
                </w:p>
              </w:tc>
            </w:tr>
            <w:tr w14:paraId="0DFBAC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30" w:type="dxa"/>
                  <w:left w:w="30" w:type="dxa"/>
                  <w:bottom w:w="30" w:type="dxa"/>
                  <w:right w:w="30" w:type="dxa"/>
                </w:tblCellMar>
              </w:tblPrEx>
              <w:trPr>
                <w:trHeight w:val="284" w:hRule="atLeast"/>
                <w:jc w:val="center"/>
              </w:trPr>
              <w:tc>
                <w:tcPr>
                  <w:tcW w:w="1965" w:type="pct"/>
                  <w:vAlign w:val="center"/>
                </w:tcPr>
                <w:p w14:paraId="5ED3C02B">
                  <w:pPr>
                    <w:rPr>
                      <w:sz w:val="18"/>
                      <w:szCs w:val="18"/>
                    </w:rPr>
                  </w:pPr>
                  <w:r>
                    <w:rPr>
                      <w:sz w:val="18"/>
                      <w:szCs w:val="18"/>
                    </w:rPr>
                    <w:t>自燃温度：177 ℃ （ 351℉ ）</w:t>
                  </w:r>
                </w:p>
              </w:tc>
              <w:tc>
                <w:tcPr>
                  <w:tcW w:w="3034" w:type="pct"/>
                  <w:vAlign w:val="center"/>
                </w:tcPr>
                <w:p w14:paraId="3CCD1B2B">
                  <w:pPr>
                    <w:rPr>
                      <w:sz w:val="18"/>
                      <w:szCs w:val="18"/>
                    </w:rPr>
                  </w:pPr>
                  <w:r>
                    <w:rPr>
                      <w:sz w:val="18"/>
                      <w:szCs w:val="18"/>
                    </w:rPr>
                    <w:t>爆炸界限：下限 （LFL）：1.3%    上限 （UFL）： 6.0%</w:t>
                  </w:r>
                </w:p>
              </w:tc>
            </w:tr>
            <w:tr w14:paraId="2D2864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30" w:type="dxa"/>
                  <w:left w:w="30" w:type="dxa"/>
                  <w:bottom w:w="30" w:type="dxa"/>
                  <w:right w:w="30" w:type="dxa"/>
                </w:tblCellMar>
              </w:tblPrEx>
              <w:trPr>
                <w:trHeight w:val="284" w:hRule="atLeast"/>
                <w:jc w:val="center"/>
              </w:trPr>
              <w:tc>
                <w:tcPr>
                  <w:tcW w:w="1965" w:type="pct"/>
                  <w:vAlign w:val="center"/>
                </w:tcPr>
                <w:p w14:paraId="2C7F71B6">
                  <w:pPr>
                    <w:rPr>
                      <w:sz w:val="18"/>
                      <w:szCs w:val="18"/>
                    </w:rPr>
                  </w:pPr>
                  <w:r>
                    <w:rPr>
                      <w:sz w:val="18"/>
                      <w:szCs w:val="18"/>
                    </w:rPr>
                    <w:t>蒸气压：0.00026MPa@ 20 ℃</w:t>
                  </w:r>
                </w:p>
              </w:tc>
              <w:tc>
                <w:tcPr>
                  <w:tcW w:w="3034" w:type="pct"/>
                  <w:vAlign w:val="center"/>
                </w:tcPr>
                <w:p w14:paraId="21D76F26">
                  <w:pPr>
                    <w:rPr>
                      <w:sz w:val="18"/>
                      <w:szCs w:val="18"/>
                    </w:rPr>
                  </w:pPr>
                  <w:r>
                    <w:rPr>
                      <w:sz w:val="18"/>
                      <w:szCs w:val="18"/>
                    </w:rPr>
                    <w:t>蒸气密度（Air=1）：＞1</w:t>
                  </w:r>
                </w:p>
              </w:tc>
            </w:tr>
            <w:tr w14:paraId="389477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30" w:type="dxa"/>
                  <w:left w:w="30" w:type="dxa"/>
                  <w:bottom w:w="30" w:type="dxa"/>
                  <w:right w:w="30" w:type="dxa"/>
                </w:tblCellMar>
              </w:tblPrEx>
              <w:trPr>
                <w:trHeight w:val="284" w:hRule="atLeast"/>
                <w:jc w:val="center"/>
              </w:trPr>
              <w:tc>
                <w:tcPr>
                  <w:tcW w:w="1965" w:type="pct"/>
                  <w:vAlign w:val="center"/>
                </w:tcPr>
                <w:p w14:paraId="6BB62214">
                  <w:pPr>
                    <w:rPr>
                      <w:sz w:val="18"/>
                      <w:szCs w:val="18"/>
                    </w:rPr>
                  </w:pPr>
                  <w:r>
                    <w:rPr>
                      <w:sz w:val="18"/>
                      <w:szCs w:val="18"/>
                    </w:rPr>
                    <w:t>密度 ：0.8 （ 比重 ）</w:t>
                  </w:r>
                </w:p>
              </w:tc>
              <w:tc>
                <w:tcPr>
                  <w:tcW w:w="3034" w:type="pct"/>
                  <w:vAlign w:val="center"/>
                </w:tcPr>
                <w:p w14:paraId="007E5D45">
                  <w:pPr>
                    <w:rPr>
                      <w:sz w:val="18"/>
                      <w:szCs w:val="18"/>
                    </w:rPr>
                  </w:pPr>
                  <w:r>
                    <w:rPr>
                      <w:sz w:val="18"/>
                      <w:szCs w:val="18"/>
                    </w:rPr>
                    <w:t>溶解度：不溶解于水。                </w:t>
                  </w:r>
                </w:p>
              </w:tc>
            </w:tr>
            <w:tr w14:paraId="23B1FA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30" w:type="dxa"/>
                  <w:left w:w="30" w:type="dxa"/>
                  <w:bottom w:w="30" w:type="dxa"/>
                  <w:right w:w="30" w:type="dxa"/>
                </w:tblCellMar>
              </w:tblPrEx>
              <w:trPr>
                <w:trHeight w:val="284" w:hRule="atLeast"/>
                <w:jc w:val="center"/>
              </w:trPr>
              <w:tc>
                <w:tcPr>
                  <w:tcW w:w="5000" w:type="pct"/>
                  <w:gridSpan w:val="2"/>
                  <w:vAlign w:val="center"/>
                </w:tcPr>
                <w:p w14:paraId="4ED92D89">
                  <w:pPr>
                    <w:rPr>
                      <w:sz w:val="18"/>
                      <w:szCs w:val="18"/>
                    </w:rPr>
                  </w:pPr>
                  <w:r>
                    <w:rPr>
                      <w:sz w:val="18"/>
                      <w:szCs w:val="18"/>
                    </w:rPr>
                    <w:t>安定性： 常温常压下稳定。</w:t>
                  </w:r>
                </w:p>
              </w:tc>
            </w:tr>
            <w:tr w14:paraId="771E3B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30" w:type="dxa"/>
                  <w:left w:w="30" w:type="dxa"/>
                  <w:bottom w:w="30" w:type="dxa"/>
                  <w:right w:w="30" w:type="dxa"/>
                </w:tblCellMar>
              </w:tblPrEx>
              <w:trPr>
                <w:trHeight w:val="284" w:hRule="atLeast"/>
                <w:jc w:val="center"/>
              </w:trPr>
              <w:tc>
                <w:tcPr>
                  <w:tcW w:w="5000" w:type="pct"/>
                  <w:gridSpan w:val="2"/>
                  <w:vAlign w:val="center"/>
                </w:tcPr>
                <w:p w14:paraId="08DBE6BE">
                  <w:pPr>
                    <w:rPr>
                      <w:sz w:val="18"/>
                      <w:szCs w:val="18"/>
                    </w:rPr>
                  </w:pPr>
                  <w:r>
                    <w:rPr>
                      <w:sz w:val="18"/>
                      <w:szCs w:val="18"/>
                    </w:rPr>
                    <w:t>特殊状况下可能之危害反应：不会发生聚合反应。</w:t>
                  </w:r>
                </w:p>
              </w:tc>
            </w:tr>
            <w:tr w14:paraId="69E3E4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30" w:type="dxa"/>
                  <w:left w:w="30" w:type="dxa"/>
                  <w:bottom w:w="30" w:type="dxa"/>
                  <w:right w:w="30" w:type="dxa"/>
                </w:tblCellMar>
              </w:tblPrEx>
              <w:trPr>
                <w:trHeight w:val="284" w:hRule="atLeast"/>
                <w:jc w:val="center"/>
              </w:trPr>
              <w:tc>
                <w:tcPr>
                  <w:tcW w:w="5000" w:type="pct"/>
                  <w:gridSpan w:val="2"/>
                  <w:vAlign w:val="center"/>
                </w:tcPr>
                <w:p w14:paraId="30AD87D3">
                  <w:pPr>
                    <w:rPr>
                      <w:sz w:val="18"/>
                      <w:szCs w:val="18"/>
                    </w:rPr>
                  </w:pPr>
                  <w:r>
                    <w:rPr>
                      <w:sz w:val="18"/>
                      <w:szCs w:val="18"/>
                    </w:rPr>
                    <w:t>应避免之状况：避免热、火焰、火花及其他燃烧物质。若曝露于热源，容器会破裂或爆炸。远离水源及下水道。有害气体会累积在密闭空间。</w:t>
                  </w:r>
                </w:p>
              </w:tc>
            </w:tr>
            <w:tr w14:paraId="758FED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30" w:type="dxa"/>
                  <w:left w:w="30" w:type="dxa"/>
                  <w:bottom w:w="30" w:type="dxa"/>
                  <w:right w:w="30" w:type="dxa"/>
                </w:tblCellMar>
              </w:tblPrEx>
              <w:trPr>
                <w:trHeight w:val="284" w:hRule="atLeast"/>
                <w:jc w:val="center"/>
              </w:trPr>
              <w:tc>
                <w:tcPr>
                  <w:tcW w:w="5000" w:type="pct"/>
                  <w:gridSpan w:val="2"/>
                  <w:vAlign w:val="center"/>
                </w:tcPr>
                <w:p w14:paraId="5314F7FF">
                  <w:pPr>
                    <w:rPr>
                      <w:sz w:val="18"/>
                      <w:szCs w:val="18"/>
                    </w:rPr>
                  </w:pPr>
                  <w:r>
                    <w:rPr>
                      <w:sz w:val="18"/>
                      <w:szCs w:val="18"/>
                    </w:rPr>
                    <w:t>应避免之物质：氧化剂。</w:t>
                  </w:r>
                </w:p>
              </w:tc>
            </w:tr>
            <w:tr w14:paraId="3F22CF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30" w:type="dxa"/>
                  <w:left w:w="30" w:type="dxa"/>
                  <w:bottom w:w="30" w:type="dxa"/>
                  <w:right w:w="30" w:type="dxa"/>
                </w:tblCellMar>
              </w:tblPrEx>
              <w:trPr>
                <w:trHeight w:val="284" w:hRule="atLeast"/>
                <w:jc w:val="center"/>
              </w:trPr>
              <w:tc>
                <w:tcPr>
                  <w:tcW w:w="5000" w:type="pct"/>
                  <w:gridSpan w:val="2"/>
                  <w:vAlign w:val="center"/>
                </w:tcPr>
                <w:p w14:paraId="7D164911">
                  <w:pPr>
                    <w:rPr>
                      <w:sz w:val="18"/>
                      <w:szCs w:val="18"/>
                    </w:rPr>
                  </w:pPr>
                  <w:r>
                    <w:rPr>
                      <w:sz w:val="18"/>
                      <w:szCs w:val="18"/>
                    </w:rPr>
                    <w:t>危害分解物：硫氧化物与碳氧化合物之有毒或有害之气体 。             </w:t>
                  </w:r>
                </w:p>
              </w:tc>
            </w:tr>
            <w:tr w14:paraId="6F03D0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30" w:type="dxa"/>
                  <w:left w:w="30" w:type="dxa"/>
                  <w:bottom w:w="30" w:type="dxa"/>
                  <w:right w:w="30" w:type="dxa"/>
                </w:tblCellMar>
              </w:tblPrEx>
              <w:trPr>
                <w:trHeight w:val="284" w:hRule="atLeast"/>
                <w:jc w:val="center"/>
              </w:trPr>
              <w:tc>
                <w:tcPr>
                  <w:tcW w:w="5000" w:type="pct"/>
                  <w:gridSpan w:val="2"/>
                  <w:tcBorders>
                    <w:top w:val="single" w:color="000000" w:sz="6" w:space="0"/>
                    <w:left w:val="single" w:color="000000" w:sz="6" w:space="0"/>
                    <w:bottom w:val="single" w:color="000000" w:sz="6" w:space="0"/>
                    <w:right w:val="single" w:color="000000" w:sz="6" w:space="0"/>
                  </w:tcBorders>
                  <w:vAlign w:val="center"/>
                </w:tcPr>
                <w:p w14:paraId="1206EAD3">
                  <w:pPr>
                    <w:rPr>
                      <w:sz w:val="18"/>
                      <w:szCs w:val="18"/>
                    </w:rPr>
                  </w:pPr>
                  <w:r>
                    <w:rPr>
                      <w:sz w:val="18"/>
                      <w:szCs w:val="18"/>
                    </w:rPr>
                    <w:t>急性毒性：</w:t>
                  </w:r>
                </w:p>
                <w:p w14:paraId="01A3D3C8">
                  <w:pPr>
                    <w:ind w:firstLine="360" w:firstLineChars="200"/>
                    <w:rPr>
                      <w:sz w:val="18"/>
                      <w:szCs w:val="18"/>
                    </w:rPr>
                  </w:pPr>
                  <w:r>
                    <w:rPr>
                      <w:sz w:val="18"/>
                      <w:szCs w:val="18"/>
                    </w:rPr>
                    <w:t>1、食入：会引起反胃、呕吐、腹部绞痛、腹泻且可能中枢神经系统抑制的症状。在食入期间甚至小量的吸入或呕吐会导致严重肺部刺激，而带有咳嗽、反胃、呼吸困难、肺部</w:t>
                  </w:r>
                </w:p>
                <w:p w14:paraId="2872CB65">
                  <w:pPr>
                    <w:rPr>
                      <w:sz w:val="18"/>
                      <w:szCs w:val="18"/>
                    </w:rPr>
                  </w:pPr>
                  <w:r>
                    <w:rPr>
                      <w:sz w:val="18"/>
                      <w:szCs w:val="18"/>
                    </w:rPr>
                    <w:t>浮肿、肺炎与死亡。</w:t>
                  </w:r>
                </w:p>
                <w:p w14:paraId="56557AAA">
                  <w:pPr>
                    <w:ind w:firstLine="360" w:firstLineChars="200"/>
                    <w:rPr>
                      <w:sz w:val="18"/>
                      <w:szCs w:val="18"/>
                    </w:rPr>
                  </w:pPr>
                  <w:r>
                    <w:rPr>
                      <w:sz w:val="18"/>
                      <w:szCs w:val="18"/>
                    </w:rPr>
                    <w:t>2、吸入：蒸气或油雾会引起呼吸道刺激。人类曝露会导致立即咳嗽、呼吸困难、发绀且一小时的无知觉。持续闻柴油 37天，则带有痰的大量咳嗽。高浓度，另外也会引起中枢神经系统兴奋随后受抑制，其症状可能为：运动失调、迷惑、头痛、头昏眼花、厌食、反胃、呕吐、虚弱、精神错乱、昏迷。皮肤：会引起痛苦、红色与刺激。</w:t>
                  </w:r>
                </w:p>
                <w:p w14:paraId="7F24F689">
                  <w:pPr>
                    <w:rPr>
                      <w:sz w:val="18"/>
                      <w:szCs w:val="18"/>
                    </w:rPr>
                  </w:pPr>
                  <w:r>
                    <w:rPr>
                      <w:sz w:val="18"/>
                      <w:szCs w:val="18"/>
                    </w:rPr>
                    <w:t>4、眼睛：液体或蒸气会引起轻微刺激。</w:t>
                  </w:r>
                </w:p>
              </w:tc>
            </w:tr>
            <w:tr w14:paraId="5E1B7F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30" w:type="dxa"/>
                  <w:left w:w="30" w:type="dxa"/>
                  <w:bottom w:w="30" w:type="dxa"/>
                  <w:right w:w="30" w:type="dxa"/>
                </w:tblCellMar>
              </w:tblPrEx>
              <w:trPr>
                <w:trHeight w:val="284" w:hRule="atLeast"/>
                <w:jc w:val="center"/>
              </w:trPr>
              <w:tc>
                <w:tcPr>
                  <w:tcW w:w="5000" w:type="pct"/>
                  <w:gridSpan w:val="2"/>
                  <w:tcBorders>
                    <w:top w:val="single" w:color="000000" w:sz="6" w:space="0"/>
                    <w:left w:val="single" w:color="000000" w:sz="6" w:space="0"/>
                    <w:bottom w:val="single" w:color="000000" w:sz="6" w:space="0"/>
                    <w:right w:val="single" w:color="000000" w:sz="6" w:space="0"/>
                  </w:tcBorders>
                  <w:vAlign w:val="center"/>
                </w:tcPr>
                <w:p w14:paraId="27D07F75">
                  <w:pPr>
                    <w:rPr>
                      <w:sz w:val="18"/>
                      <w:szCs w:val="18"/>
                    </w:rPr>
                  </w:pPr>
                  <w:r>
                    <w:rPr>
                      <w:sz w:val="18"/>
                      <w:szCs w:val="18"/>
                    </w:rPr>
                    <w:t>局部效应： 对于吸入、皮肤会产生刺激性。</w:t>
                  </w:r>
                </w:p>
              </w:tc>
            </w:tr>
            <w:tr w14:paraId="543795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30" w:type="dxa"/>
                  <w:left w:w="30" w:type="dxa"/>
                  <w:bottom w:w="30" w:type="dxa"/>
                  <w:right w:w="30" w:type="dxa"/>
                </w:tblCellMar>
              </w:tblPrEx>
              <w:trPr>
                <w:trHeight w:val="284" w:hRule="atLeast"/>
                <w:jc w:val="center"/>
              </w:trPr>
              <w:tc>
                <w:tcPr>
                  <w:tcW w:w="5000" w:type="pct"/>
                  <w:gridSpan w:val="2"/>
                  <w:tcBorders>
                    <w:top w:val="single" w:color="000000" w:sz="6" w:space="0"/>
                    <w:left w:val="single" w:color="000000" w:sz="6" w:space="0"/>
                    <w:bottom w:val="single" w:color="000000" w:sz="6" w:space="0"/>
                    <w:right w:val="single" w:color="000000" w:sz="6" w:space="0"/>
                  </w:tcBorders>
                  <w:vAlign w:val="center"/>
                </w:tcPr>
                <w:p w14:paraId="6F02CB86">
                  <w:pPr>
                    <w:rPr>
                      <w:sz w:val="18"/>
                      <w:szCs w:val="18"/>
                    </w:rPr>
                  </w:pPr>
                  <w:r>
                    <w:rPr>
                      <w:sz w:val="18"/>
                      <w:szCs w:val="18"/>
                    </w:rPr>
                    <w:t xml:space="preserve">慢毒性或长期毒性：  </w:t>
                  </w:r>
                </w:p>
                <w:p w14:paraId="13E6B9F8">
                  <w:pPr>
                    <w:rPr>
                      <w:sz w:val="18"/>
                      <w:szCs w:val="18"/>
                    </w:rPr>
                  </w:pPr>
                  <w:r>
                    <w:rPr>
                      <w:sz w:val="18"/>
                      <w:szCs w:val="18"/>
                    </w:rPr>
                    <w:t>1、食入：没有有效数据。</w:t>
                  </w:r>
                </w:p>
                <w:p w14:paraId="2C23F65A">
                  <w:pPr>
                    <w:rPr>
                      <w:sz w:val="18"/>
                      <w:szCs w:val="18"/>
                    </w:rPr>
                  </w:pPr>
                  <w:r>
                    <w:rPr>
                      <w:sz w:val="18"/>
                      <w:szCs w:val="18"/>
                    </w:rPr>
                    <w:t>2、吸入：长期或重复的曝露会引起刺激。</w:t>
                  </w:r>
                </w:p>
                <w:p w14:paraId="775D8B93">
                  <w:pPr>
                    <w:rPr>
                      <w:sz w:val="18"/>
                      <w:szCs w:val="18"/>
                    </w:rPr>
                  </w:pPr>
                  <w:r>
                    <w:rPr>
                      <w:sz w:val="18"/>
                      <w:szCs w:val="18"/>
                    </w:rPr>
                    <w:t>3、皮肤：重复或长期与液体接触会引起皮肤脱脂且干燥，导致严重的刺激与皮肤炎。</w:t>
                  </w:r>
                </w:p>
                <w:p w14:paraId="0801BA90">
                  <w:pPr>
                    <w:rPr>
                      <w:sz w:val="18"/>
                      <w:szCs w:val="18"/>
                    </w:rPr>
                  </w:pPr>
                  <w:r>
                    <w:rPr>
                      <w:sz w:val="18"/>
                      <w:szCs w:val="18"/>
                    </w:rPr>
                    <w:t>4、眼睛：重复或长期曝露会引起刺激。</w:t>
                  </w:r>
                </w:p>
              </w:tc>
            </w:tr>
            <w:tr w14:paraId="7CE7D0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30" w:type="dxa"/>
                  <w:left w:w="30" w:type="dxa"/>
                  <w:bottom w:w="30" w:type="dxa"/>
                  <w:right w:w="30" w:type="dxa"/>
                </w:tblCellMar>
              </w:tblPrEx>
              <w:trPr>
                <w:trHeight w:val="284" w:hRule="atLeast"/>
                <w:jc w:val="center"/>
              </w:trPr>
              <w:tc>
                <w:tcPr>
                  <w:tcW w:w="5000" w:type="pct"/>
                  <w:gridSpan w:val="2"/>
                  <w:tcBorders>
                    <w:top w:val="single" w:color="000000" w:sz="6" w:space="0"/>
                    <w:left w:val="single" w:color="000000" w:sz="6" w:space="0"/>
                    <w:bottom w:val="single" w:color="000000" w:sz="6" w:space="0"/>
                    <w:right w:val="single" w:color="000000" w:sz="6" w:space="0"/>
                  </w:tcBorders>
                  <w:vAlign w:val="center"/>
                </w:tcPr>
                <w:p w14:paraId="04E85048">
                  <w:pPr>
                    <w:rPr>
                      <w:sz w:val="18"/>
                      <w:szCs w:val="18"/>
                    </w:rPr>
                  </w:pPr>
                  <w:r>
                    <w:rPr>
                      <w:sz w:val="18"/>
                      <w:szCs w:val="18"/>
                    </w:rPr>
                    <w:t>特殊效应：目标器官：中枢神经系统。</w:t>
                  </w:r>
                </w:p>
              </w:tc>
            </w:tr>
            <w:tr w14:paraId="1DE5DC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30" w:type="dxa"/>
                  <w:left w:w="30" w:type="dxa"/>
                  <w:bottom w:w="30" w:type="dxa"/>
                  <w:right w:w="30" w:type="dxa"/>
                </w:tblCellMar>
              </w:tblPrEx>
              <w:trPr>
                <w:trHeight w:val="284" w:hRule="atLeast"/>
                <w:jc w:val="center"/>
              </w:trPr>
              <w:tc>
                <w:tcPr>
                  <w:tcW w:w="5000" w:type="pct"/>
                  <w:gridSpan w:val="2"/>
                  <w:tcBorders>
                    <w:top w:val="single" w:color="000000" w:sz="6" w:space="0"/>
                    <w:left w:val="single" w:color="000000" w:sz="6" w:space="0"/>
                    <w:bottom w:val="single" w:color="000000" w:sz="6" w:space="0"/>
                    <w:right w:val="single" w:color="000000" w:sz="6" w:space="0"/>
                  </w:tcBorders>
                  <w:vAlign w:val="center"/>
                </w:tcPr>
                <w:p w14:paraId="4B6D63EB">
                  <w:pPr>
                    <w:rPr>
                      <w:sz w:val="18"/>
                      <w:szCs w:val="18"/>
                    </w:rPr>
                  </w:pPr>
                  <w:r>
                    <w:rPr>
                      <w:sz w:val="18"/>
                      <w:szCs w:val="18"/>
                    </w:rPr>
                    <w:t>物品危害分类：可燃液体 </w:t>
                  </w:r>
                </w:p>
              </w:tc>
            </w:tr>
            <w:tr w14:paraId="44C023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30" w:type="dxa"/>
                  <w:left w:w="30" w:type="dxa"/>
                  <w:bottom w:w="30" w:type="dxa"/>
                  <w:right w:w="30" w:type="dxa"/>
                </w:tblCellMar>
              </w:tblPrEx>
              <w:trPr>
                <w:trHeight w:val="284" w:hRule="atLeast"/>
                <w:jc w:val="center"/>
              </w:trPr>
              <w:tc>
                <w:tcPr>
                  <w:tcW w:w="5000" w:type="pct"/>
                  <w:gridSpan w:val="2"/>
                  <w:tcBorders>
                    <w:top w:val="single" w:color="000000" w:sz="6" w:space="0"/>
                    <w:left w:val="single" w:color="000000" w:sz="6" w:space="0"/>
                    <w:bottom w:val="single" w:color="000000" w:sz="6" w:space="0"/>
                    <w:right w:val="single" w:color="000000" w:sz="6" w:space="0"/>
                  </w:tcBorders>
                  <w:vAlign w:val="center"/>
                </w:tcPr>
                <w:p w14:paraId="79EDE515">
                  <w:pPr>
                    <w:rPr>
                      <w:sz w:val="18"/>
                      <w:szCs w:val="18"/>
                    </w:rPr>
                  </w:pPr>
                  <w:r>
                    <w:rPr>
                      <w:sz w:val="18"/>
                      <w:szCs w:val="18"/>
                    </w:rPr>
                    <w:t>不同暴露途径之急救方法：</w:t>
                  </w:r>
                </w:p>
                <w:p w14:paraId="79BCAF2D">
                  <w:pPr>
                    <w:rPr>
                      <w:sz w:val="18"/>
                      <w:szCs w:val="18"/>
                    </w:rPr>
                  </w:pPr>
                  <w:r>
                    <w:rPr>
                      <w:sz w:val="18"/>
                      <w:szCs w:val="18"/>
                    </w:rPr>
                    <w:t>吸入：当能够安全进入灾区时，将人员从暴露区移到新鲜空气处。若需要，用一袋状阀门</w:t>
                  </w:r>
                </w:p>
                <w:p w14:paraId="2E788D8F">
                  <w:pPr>
                    <w:rPr>
                      <w:sz w:val="18"/>
                      <w:szCs w:val="18"/>
                    </w:rPr>
                  </w:pPr>
                  <w:r>
                    <w:rPr>
                      <w:sz w:val="18"/>
                      <w:szCs w:val="18"/>
                    </w:rPr>
                    <w:t>口罩或相同设备，以实施人工呼吸。保持身体温暖及静止休息。立刻送医治疗。皮肤接触：立即将受污染的衣服、首饰、手表等装饰品及鞋子脱掉。用肥皂或中性清洁剂清洗感染处，并且用大量水冲洗直至没有化学品残留（至少15~20分钟）。若需要，送医治疗。</w:t>
                  </w:r>
                </w:p>
                <w:p w14:paraId="53D241AB">
                  <w:pPr>
                    <w:rPr>
                      <w:sz w:val="18"/>
                      <w:szCs w:val="18"/>
                    </w:rPr>
                  </w:pPr>
                  <w:r>
                    <w:rPr>
                      <w:sz w:val="18"/>
                      <w:szCs w:val="18"/>
                    </w:rPr>
                    <w:t>眼睛接触：将中毒者移开污染区，在水龙头或洗眼器下大量冲洗眼睛十五分钟以上﹐并将上下眼皮翻开转动眼睛，直至没有化学品残留。如果疼痛持续则送至眼科医生处进一步治疗。食入：同时急电给予医疗上之建议。不要使意志不清人员呕吐或喝饮料。当呕吐发生时，保持头部低于臀部。若人员意志不清醒，使头部转向一边。</w:t>
                  </w:r>
                </w:p>
              </w:tc>
            </w:tr>
            <w:tr w14:paraId="395E81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30" w:type="dxa"/>
                  <w:left w:w="30" w:type="dxa"/>
                  <w:bottom w:w="30" w:type="dxa"/>
                  <w:right w:w="30" w:type="dxa"/>
                </w:tblCellMar>
              </w:tblPrEx>
              <w:trPr>
                <w:trHeight w:val="284" w:hRule="atLeast"/>
                <w:jc w:val="center"/>
              </w:trPr>
              <w:tc>
                <w:tcPr>
                  <w:tcW w:w="5000" w:type="pct"/>
                  <w:gridSpan w:val="2"/>
                  <w:tcBorders>
                    <w:top w:val="single" w:color="000000" w:sz="6" w:space="0"/>
                    <w:left w:val="single" w:color="000000" w:sz="6" w:space="0"/>
                    <w:bottom w:val="single" w:color="000000" w:sz="6" w:space="0"/>
                    <w:right w:val="single" w:color="000000" w:sz="6" w:space="0"/>
                  </w:tcBorders>
                  <w:vAlign w:val="center"/>
                </w:tcPr>
                <w:p w14:paraId="1EEAD595">
                  <w:pPr>
                    <w:rPr>
                      <w:sz w:val="18"/>
                      <w:szCs w:val="18"/>
                    </w:rPr>
                  </w:pPr>
                  <w:r>
                    <w:rPr>
                      <w:sz w:val="18"/>
                      <w:szCs w:val="18"/>
                    </w:rPr>
                    <w:t>对急救人员之防护：</w:t>
                  </w:r>
                </w:p>
                <w:p w14:paraId="5F731C6F">
                  <w:pPr>
                    <w:rPr>
                      <w:sz w:val="18"/>
                      <w:szCs w:val="18"/>
                    </w:rPr>
                  </w:pPr>
                  <w:r>
                    <w:rPr>
                      <w:sz w:val="18"/>
                      <w:szCs w:val="18"/>
                    </w:rPr>
                    <w:t>1、戴防护衣服以免接触污染物。　</w:t>
                  </w:r>
                </w:p>
                <w:p w14:paraId="0DB1F05B">
                  <w:pPr>
                    <w:rPr>
                      <w:sz w:val="18"/>
                      <w:szCs w:val="18"/>
                    </w:rPr>
                  </w:pPr>
                  <w:r>
                    <w:rPr>
                      <w:sz w:val="18"/>
                      <w:szCs w:val="18"/>
                    </w:rPr>
                    <w:t>2、戴化学安全护目镜。</w:t>
                  </w:r>
                </w:p>
              </w:tc>
            </w:tr>
            <w:tr w14:paraId="081136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30" w:type="dxa"/>
                  <w:left w:w="30" w:type="dxa"/>
                  <w:bottom w:w="30" w:type="dxa"/>
                  <w:right w:w="30" w:type="dxa"/>
                </w:tblCellMar>
              </w:tblPrEx>
              <w:trPr>
                <w:trHeight w:val="284" w:hRule="atLeast"/>
                <w:jc w:val="center"/>
              </w:trPr>
              <w:tc>
                <w:tcPr>
                  <w:tcW w:w="5000" w:type="pct"/>
                  <w:gridSpan w:val="2"/>
                  <w:tcBorders>
                    <w:top w:val="single" w:color="000000" w:sz="6" w:space="0"/>
                    <w:left w:val="single" w:color="000000" w:sz="6" w:space="0"/>
                    <w:bottom w:val="single" w:color="000000" w:sz="6" w:space="0"/>
                    <w:right w:val="single" w:color="000000" w:sz="6" w:space="0"/>
                  </w:tcBorders>
                  <w:vAlign w:val="center"/>
                </w:tcPr>
                <w:p w14:paraId="0F8FC1D4">
                  <w:pPr>
                    <w:rPr>
                      <w:sz w:val="18"/>
                      <w:szCs w:val="18"/>
                    </w:rPr>
                  </w:pPr>
                  <w:r>
                    <w:rPr>
                      <w:sz w:val="18"/>
                      <w:szCs w:val="18"/>
                    </w:rPr>
                    <w:t>急救提示：对于吸入考虑给予氧气处理。对于吞食考虑给予胃部灌洗。</w:t>
                  </w:r>
                </w:p>
              </w:tc>
            </w:tr>
          </w:tbl>
          <w:p w14:paraId="3E61A4F6">
            <w:pPr>
              <w:adjustRightInd w:val="0"/>
              <w:spacing w:line="360" w:lineRule="auto"/>
              <w:ind w:firstLine="480" w:firstLineChars="200"/>
              <w:rPr>
                <w:rFonts w:hint="eastAsia"/>
                <w:sz w:val="24"/>
              </w:rPr>
            </w:pPr>
            <w:r>
              <w:rPr>
                <w:rFonts w:hint="eastAsia"/>
                <w:sz w:val="24"/>
              </w:rPr>
              <w:t>场内主要危险物质数量和分布情况见下表4-21。</w:t>
            </w:r>
          </w:p>
          <w:p w14:paraId="3D3E192A">
            <w:pPr>
              <w:pStyle w:val="68"/>
              <w:spacing w:line="240" w:lineRule="auto"/>
              <w:rPr>
                <w:rFonts w:hint="eastAsia" w:ascii="黑体" w:hAnsi="黑体" w:eastAsia="黑体" w:cs="黑体"/>
                <w:b w:val="0"/>
                <w:bCs w:val="0"/>
                <w:szCs w:val="21"/>
              </w:rPr>
            </w:pPr>
            <w:r>
              <w:rPr>
                <w:rFonts w:hint="eastAsia" w:ascii="黑体" w:hAnsi="黑体" w:eastAsia="黑体" w:cs="黑体"/>
                <w:b w:val="0"/>
                <w:bCs w:val="0"/>
                <w:szCs w:val="21"/>
              </w:rPr>
              <w:t>表4-21  项目主要危险物质贮存一览表</w:t>
            </w:r>
          </w:p>
          <w:tbl>
            <w:tblPr>
              <w:tblStyle w:val="23"/>
              <w:tblW w:w="8077"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297"/>
              <w:gridCol w:w="1924"/>
              <w:gridCol w:w="1514"/>
              <w:gridCol w:w="1312"/>
              <w:gridCol w:w="1348"/>
            </w:tblGrid>
            <w:tr w14:paraId="0BBF65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82" w:type="dxa"/>
                  <w:vAlign w:val="center"/>
                </w:tcPr>
                <w:p w14:paraId="3FCA1BFB">
                  <w:pPr>
                    <w:snapToGrid w:val="0"/>
                    <w:jc w:val="center"/>
                    <w:rPr>
                      <w:color w:val="000000"/>
                      <w:szCs w:val="21"/>
                    </w:rPr>
                  </w:pPr>
                  <w:r>
                    <w:rPr>
                      <w:rFonts w:hint="eastAsia"/>
                      <w:color w:val="000000"/>
                      <w:szCs w:val="21"/>
                    </w:rPr>
                    <w:t>序号</w:t>
                  </w:r>
                </w:p>
              </w:tc>
              <w:tc>
                <w:tcPr>
                  <w:tcW w:w="1297" w:type="dxa"/>
                  <w:vAlign w:val="center"/>
                </w:tcPr>
                <w:p w14:paraId="76A551D4">
                  <w:pPr>
                    <w:snapToGrid w:val="0"/>
                    <w:jc w:val="center"/>
                    <w:rPr>
                      <w:color w:val="000000"/>
                      <w:szCs w:val="21"/>
                    </w:rPr>
                  </w:pPr>
                  <w:r>
                    <w:rPr>
                      <w:rFonts w:hint="eastAsia"/>
                      <w:color w:val="000000"/>
                      <w:szCs w:val="21"/>
                    </w:rPr>
                    <w:t>类别</w:t>
                  </w:r>
                </w:p>
              </w:tc>
              <w:tc>
                <w:tcPr>
                  <w:tcW w:w="1924" w:type="dxa"/>
                  <w:vAlign w:val="center"/>
                </w:tcPr>
                <w:p w14:paraId="4284108B">
                  <w:pPr>
                    <w:snapToGrid w:val="0"/>
                    <w:jc w:val="center"/>
                    <w:rPr>
                      <w:color w:val="000000"/>
                      <w:szCs w:val="21"/>
                    </w:rPr>
                  </w:pPr>
                  <w:r>
                    <w:rPr>
                      <w:rFonts w:hint="eastAsia"/>
                      <w:color w:val="000000"/>
                      <w:szCs w:val="21"/>
                    </w:rPr>
                    <w:t>物料名称</w:t>
                  </w:r>
                </w:p>
              </w:tc>
              <w:tc>
                <w:tcPr>
                  <w:tcW w:w="1514" w:type="dxa"/>
                  <w:vAlign w:val="center"/>
                </w:tcPr>
                <w:p w14:paraId="6B27E77A">
                  <w:pPr>
                    <w:snapToGrid w:val="0"/>
                    <w:jc w:val="center"/>
                    <w:rPr>
                      <w:color w:val="000000"/>
                      <w:szCs w:val="21"/>
                    </w:rPr>
                  </w:pPr>
                  <w:r>
                    <w:rPr>
                      <w:rFonts w:hint="eastAsia"/>
                      <w:color w:val="000000"/>
                      <w:szCs w:val="21"/>
                    </w:rPr>
                    <w:t>贮存方式</w:t>
                  </w:r>
                </w:p>
              </w:tc>
              <w:tc>
                <w:tcPr>
                  <w:tcW w:w="1312" w:type="dxa"/>
                  <w:vAlign w:val="center"/>
                </w:tcPr>
                <w:p w14:paraId="4EB58B32">
                  <w:pPr>
                    <w:snapToGrid w:val="0"/>
                    <w:jc w:val="center"/>
                    <w:rPr>
                      <w:color w:val="000000"/>
                      <w:szCs w:val="21"/>
                    </w:rPr>
                  </w:pPr>
                  <w:r>
                    <w:rPr>
                      <w:rFonts w:hint="eastAsia"/>
                      <w:color w:val="000000"/>
                      <w:szCs w:val="21"/>
                    </w:rPr>
                    <w:t>最大贮存量t</w:t>
                  </w:r>
                </w:p>
              </w:tc>
              <w:tc>
                <w:tcPr>
                  <w:tcW w:w="1348" w:type="dxa"/>
                  <w:vAlign w:val="center"/>
                </w:tcPr>
                <w:p w14:paraId="43DA88CE">
                  <w:pPr>
                    <w:snapToGrid w:val="0"/>
                    <w:jc w:val="center"/>
                    <w:rPr>
                      <w:color w:val="000000"/>
                      <w:szCs w:val="21"/>
                    </w:rPr>
                  </w:pPr>
                  <w:r>
                    <w:rPr>
                      <w:rFonts w:hint="eastAsia"/>
                      <w:color w:val="000000"/>
                      <w:szCs w:val="21"/>
                    </w:rPr>
                    <w:t>贮存场所</w:t>
                  </w:r>
                </w:p>
              </w:tc>
            </w:tr>
            <w:tr w14:paraId="129DAE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682" w:type="dxa"/>
                  <w:vAlign w:val="center"/>
                </w:tcPr>
                <w:p w14:paraId="7068FCFD">
                  <w:pPr>
                    <w:snapToGrid w:val="0"/>
                    <w:jc w:val="center"/>
                    <w:rPr>
                      <w:color w:val="000000"/>
                      <w:szCs w:val="21"/>
                    </w:rPr>
                  </w:pPr>
                  <w:r>
                    <w:rPr>
                      <w:rFonts w:hint="eastAsia"/>
                      <w:color w:val="000000"/>
                      <w:szCs w:val="21"/>
                    </w:rPr>
                    <w:t>1</w:t>
                  </w:r>
                </w:p>
              </w:tc>
              <w:tc>
                <w:tcPr>
                  <w:tcW w:w="1297" w:type="dxa"/>
                  <w:vMerge w:val="restart"/>
                  <w:vAlign w:val="center"/>
                </w:tcPr>
                <w:p w14:paraId="362CB702">
                  <w:pPr>
                    <w:snapToGrid w:val="0"/>
                    <w:jc w:val="center"/>
                    <w:rPr>
                      <w:color w:val="000000"/>
                      <w:szCs w:val="21"/>
                    </w:rPr>
                  </w:pPr>
                  <w:r>
                    <w:rPr>
                      <w:rFonts w:hint="eastAsia"/>
                      <w:color w:val="000000"/>
                      <w:szCs w:val="21"/>
                    </w:rPr>
                    <w:t>原料</w:t>
                  </w:r>
                </w:p>
              </w:tc>
              <w:tc>
                <w:tcPr>
                  <w:tcW w:w="1924" w:type="dxa"/>
                  <w:vAlign w:val="center"/>
                </w:tcPr>
                <w:p w14:paraId="1C2A2D26">
                  <w:pPr>
                    <w:snapToGrid w:val="0"/>
                    <w:jc w:val="center"/>
                    <w:rPr>
                      <w:color w:val="000000"/>
                      <w:szCs w:val="21"/>
                    </w:rPr>
                  </w:pPr>
                  <w:r>
                    <w:rPr>
                      <w:rFonts w:hint="eastAsia"/>
                      <w:color w:val="000000"/>
                      <w:szCs w:val="21"/>
                    </w:rPr>
                    <w:t>92#汽油</w:t>
                  </w:r>
                </w:p>
              </w:tc>
              <w:tc>
                <w:tcPr>
                  <w:tcW w:w="1514" w:type="dxa"/>
                  <w:vAlign w:val="center"/>
                </w:tcPr>
                <w:p w14:paraId="6867C36A">
                  <w:pPr>
                    <w:snapToGrid w:val="0"/>
                    <w:jc w:val="center"/>
                    <w:rPr>
                      <w:color w:val="000000"/>
                      <w:szCs w:val="21"/>
                    </w:rPr>
                  </w:pPr>
                  <w:r>
                    <w:rPr>
                      <w:rFonts w:hint="eastAsia"/>
                      <w:color w:val="000000"/>
                      <w:szCs w:val="21"/>
                    </w:rPr>
                    <w:t>30m³/罐，1个</w:t>
                  </w:r>
                </w:p>
              </w:tc>
              <w:tc>
                <w:tcPr>
                  <w:tcW w:w="1312" w:type="dxa"/>
                  <w:vAlign w:val="center"/>
                </w:tcPr>
                <w:p w14:paraId="7B7D5A2B">
                  <w:pPr>
                    <w:snapToGrid w:val="0"/>
                    <w:jc w:val="center"/>
                    <w:rPr>
                      <w:color w:val="000000"/>
                      <w:szCs w:val="21"/>
                    </w:rPr>
                  </w:pPr>
                  <w:r>
                    <w:rPr>
                      <w:rFonts w:hint="eastAsia"/>
                      <w:color w:val="000000"/>
                      <w:szCs w:val="21"/>
                    </w:rPr>
                    <w:t>19.494</w:t>
                  </w:r>
                </w:p>
              </w:tc>
              <w:tc>
                <w:tcPr>
                  <w:tcW w:w="1348" w:type="dxa"/>
                  <w:vMerge w:val="restart"/>
                  <w:vAlign w:val="center"/>
                </w:tcPr>
                <w:p w14:paraId="6732359C">
                  <w:pPr>
                    <w:snapToGrid w:val="0"/>
                    <w:jc w:val="center"/>
                    <w:rPr>
                      <w:color w:val="000000"/>
                      <w:szCs w:val="21"/>
                    </w:rPr>
                  </w:pPr>
                  <w:r>
                    <w:rPr>
                      <w:rFonts w:hint="eastAsia"/>
                      <w:color w:val="000000"/>
                      <w:szCs w:val="21"/>
                    </w:rPr>
                    <w:t>储罐区，</w:t>
                  </w:r>
                  <w:r>
                    <w:rPr>
                      <w:rFonts w:hint="eastAsia"/>
                      <w:bCs/>
                      <w:color w:val="000000"/>
                      <w:sz w:val="24"/>
                    </w:rPr>
                    <w:t>防渗油罐</w:t>
                  </w:r>
                </w:p>
              </w:tc>
            </w:tr>
            <w:tr w14:paraId="512D2E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682" w:type="dxa"/>
                  <w:vAlign w:val="center"/>
                </w:tcPr>
                <w:p w14:paraId="47D2062A">
                  <w:pPr>
                    <w:snapToGrid w:val="0"/>
                    <w:jc w:val="center"/>
                    <w:rPr>
                      <w:rFonts w:hint="eastAsia"/>
                      <w:color w:val="000000"/>
                      <w:szCs w:val="21"/>
                    </w:rPr>
                  </w:pPr>
                  <w:r>
                    <w:rPr>
                      <w:rFonts w:hint="eastAsia"/>
                      <w:color w:val="000000"/>
                      <w:szCs w:val="21"/>
                    </w:rPr>
                    <w:t>2</w:t>
                  </w:r>
                </w:p>
              </w:tc>
              <w:tc>
                <w:tcPr>
                  <w:tcW w:w="1297" w:type="dxa"/>
                  <w:vMerge w:val="continue"/>
                  <w:vAlign w:val="center"/>
                </w:tcPr>
                <w:p w14:paraId="1434316B">
                  <w:pPr>
                    <w:snapToGrid w:val="0"/>
                    <w:jc w:val="center"/>
                    <w:rPr>
                      <w:rFonts w:hint="eastAsia"/>
                      <w:color w:val="000000"/>
                      <w:szCs w:val="21"/>
                    </w:rPr>
                  </w:pPr>
                </w:p>
              </w:tc>
              <w:tc>
                <w:tcPr>
                  <w:tcW w:w="1924" w:type="dxa"/>
                  <w:vAlign w:val="center"/>
                </w:tcPr>
                <w:p w14:paraId="4BA72CA2">
                  <w:pPr>
                    <w:snapToGrid w:val="0"/>
                    <w:jc w:val="center"/>
                    <w:rPr>
                      <w:rFonts w:hint="eastAsia"/>
                      <w:color w:val="000000"/>
                      <w:szCs w:val="21"/>
                    </w:rPr>
                  </w:pPr>
                  <w:r>
                    <w:rPr>
                      <w:rFonts w:hint="eastAsia"/>
                      <w:color w:val="000000"/>
                      <w:szCs w:val="21"/>
                    </w:rPr>
                    <w:t>95#汽油</w:t>
                  </w:r>
                </w:p>
              </w:tc>
              <w:tc>
                <w:tcPr>
                  <w:tcW w:w="1514" w:type="dxa"/>
                  <w:vAlign w:val="center"/>
                </w:tcPr>
                <w:p w14:paraId="76E61AE7">
                  <w:pPr>
                    <w:snapToGrid w:val="0"/>
                    <w:jc w:val="center"/>
                    <w:rPr>
                      <w:color w:val="000000"/>
                      <w:szCs w:val="21"/>
                    </w:rPr>
                  </w:pPr>
                  <w:r>
                    <w:rPr>
                      <w:rFonts w:hint="eastAsia"/>
                      <w:color w:val="000000"/>
                      <w:szCs w:val="21"/>
                    </w:rPr>
                    <w:t>25m³/罐，1个</w:t>
                  </w:r>
                </w:p>
              </w:tc>
              <w:tc>
                <w:tcPr>
                  <w:tcW w:w="1312" w:type="dxa"/>
                  <w:vAlign w:val="center"/>
                </w:tcPr>
                <w:p w14:paraId="66DB2501">
                  <w:pPr>
                    <w:snapToGrid w:val="0"/>
                    <w:jc w:val="center"/>
                    <w:rPr>
                      <w:rFonts w:hint="eastAsia"/>
                      <w:color w:val="000000"/>
                      <w:szCs w:val="21"/>
                    </w:rPr>
                  </w:pPr>
                  <w:r>
                    <w:rPr>
                      <w:rFonts w:hint="eastAsia"/>
                      <w:color w:val="000000"/>
                      <w:szCs w:val="21"/>
                    </w:rPr>
                    <w:t>16.313</w:t>
                  </w:r>
                </w:p>
              </w:tc>
              <w:tc>
                <w:tcPr>
                  <w:tcW w:w="1348" w:type="dxa"/>
                  <w:vMerge w:val="continue"/>
                  <w:vAlign w:val="center"/>
                </w:tcPr>
                <w:p w14:paraId="5AA83323">
                  <w:pPr>
                    <w:snapToGrid w:val="0"/>
                    <w:jc w:val="center"/>
                    <w:rPr>
                      <w:color w:val="000000"/>
                      <w:szCs w:val="21"/>
                    </w:rPr>
                  </w:pPr>
                </w:p>
              </w:tc>
            </w:tr>
            <w:tr w14:paraId="73113A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682" w:type="dxa"/>
                  <w:vAlign w:val="center"/>
                </w:tcPr>
                <w:p w14:paraId="2D7C825C">
                  <w:pPr>
                    <w:snapToGrid w:val="0"/>
                    <w:jc w:val="center"/>
                    <w:rPr>
                      <w:rFonts w:hint="eastAsia"/>
                      <w:color w:val="000000"/>
                      <w:szCs w:val="21"/>
                    </w:rPr>
                  </w:pPr>
                  <w:r>
                    <w:rPr>
                      <w:rFonts w:hint="eastAsia"/>
                      <w:color w:val="000000"/>
                      <w:szCs w:val="21"/>
                    </w:rPr>
                    <w:t>3</w:t>
                  </w:r>
                </w:p>
              </w:tc>
              <w:tc>
                <w:tcPr>
                  <w:tcW w:w="1297" w:type="dxa"/>
                  <w:vMerge w:val="continue"/>
                  <w:vAlign w:val="center"/>
                </w:tcPr>
                <w:p w14:paraId="1A443E65">
                  <w:pPr>
                    <w:snapToGrid w:val="0"/>
                    <w:jc w:val="center"/>
                    <w:rPr>
                      <w:rFonts w:hint="eastAsia"/>
                      <w:color w:val="000000"/>
                      <w:szCs w:val="21"/>
                    </w:rPr>
                  </w:pPr>
                </w:p>
              </w:tc>
              <w:tc>
                <w:tcPr>
                  <w:tcW w:w="1924" w:type="dxa"/>
                  <w:vAlign w:val="center"/>
                </w:tcPr>
                <w:p w14:paraId="7A010CEA">
                  <w:pPr>
                    <w:snapToGrid w:val="0"/>
                    <w:jc w:val="center"/>
                    <w:rPr>
                      <w:rFonts w:hint="eastAsia"/>
                      <w:color w:val="000000"/>
                      <w:szCs w:val="21"/>
                    </w:rPr>
                  </w:pPr>
                  <w:r>
                    <w:rPr>
                      <w:rFonts w:hint="eastAsia"/>
                      <w:color w:val="000000"/>
                      <w:szCs w:val="21"/>
                    </w:rPr>
                    <w:t>95#汽油</w:t>
                  </w:r>
                </w:p>
              </w:tc>
              <w:tc>
                <w:tcPr>
                  <w:tcW w:w="1514" w:type="dxa"/>
                  <w:vAlign w:val="center"/>
                </w:tcPr>
                <w:p w14:paraId="30802361">
                  <w:pPr>
                    <w:snapToGrid w:val="0"/>
                    <w:jc w:val="center"/>
                    <w:rPr>
                      <w:color w:val="000000"/>
                      <w:szCs w:val="21"/>
                    </w:rPr>
                  </w:pPr>
                  <w:r>
                    <w:rPr>
                      <w:rFonts w:hint="eastAsia"/>
                      <w:color w:val="000000"/>
                      <w:szCs w:val="21"/>
                    </w:rPr>
                    <w:t>20m³/罐，1个</w:t>
                  </w:r>
                </w:p>
              </w:tc>
              <w:tc>
                <w:tcPr>
                  <w:tcW w:w="1312" w:type="dxa"/>
                  <w:vAlign w:val="center"/>
                </w:tcPr>
                <w:p w14:paraId="3A9E8BE3">
                  <w:pPr>
                    <w:snapToGrid w:val="0"/>
                    <w:jc w:val="center"/>
                    <w:rPr>
                      <w:color w:val="000000"/>
                      <w:szCs w:val="21"/>
                    </w:rPr>
                  </w:pPr>
                  <w:r>
                    <w:rPr>
                      <w:rFonts w:hint="eastAsia"/>
                      <w:color w:val="000000"/>
                      <w:szCs w:val="21"/>
                    </w:rPr>
                    <w:t>13.05</w:t>
                  </w:r>
                </w:p>
              </w:tc>
              <w:tc>
                <w:tcPr>
                  <w:tcW w:w="1348" w:type="dxa"/>
                  <w:vMerge w:val="continue"/>
                  <w:vAlign w:val="center"/>
                </w:tcPr>
                <w:p w14:paraId="729244C7">
                  <w:pPr>
                    <w:snapToGrid w:val="0"/>
                    <w:jc w:val="center"/>
                    <w:rPr>
                      <w:color w:val="000000"/>
                      <w:szCs w:val="21"/>
                    </w:rPr>
                  </w:pPr>
                </w:p>
              </w:tc>
            </w:tr>
            <w:tr w14:paraId="63E3E5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682" w:type="dxa"/>
                  <w:vAlign w:val="center"/>
                </w:tcPr>
                <w:p w14:paraId="48E712A3">
                  <w:pPr>
                    <w:snapToGrid w:val="0"/>
                    <w:jc w:val="center"/>
                    <w:rPr>
                      <w:color w:val="000000"/>
                      <w:szCs w:val="21"/>
                    </w:rPr>
                  </w:pPr>
                  <w:r>
                    <w:rPr>
                      <w:rFonts w:hint="eastAsia"/>
                      <w:color w:val="000000"/>
                      <w:szCs w:val="21"/>
                    </w:rPr>
                    <w:t>4</w:t>
                  </w:r>
                </w:p>
              </w:tc>
              <w:tc>
                <w:tcPr>
                  <w:tcW w:w="1297" w:type="dxa"/>
                  <w:vMerge w:val="continue"/>
                  <w:vAlign w:val="center"/>
                </w:tcPr>
                <w:p w14:paraId="2A493011">
                  <w:pPr>
                    <w:snapToGrid w:val="0"/>
                    <w:jc w:val="center"/>
                    <w:rPr>
                      <w:color w:val="000000"/>
                      <w:szCs w:val="21"/>
                    </w:rPr>
                  </w:pPr>
                </w:p>
              </w:tc>
              <w:tc>
                <w:tcPr>
                  <w:tcW w:w="1924" w:type="dxa"/>
                  <w:vAlign w:val="center"/>
                </w:tcPr>
                <w:p w14:paraId="227A8AD1">
                  <w:pPr>
                    <w:snapToGrid w:val="0"/>
                    <w:jc w:val="center"/>
                    <w:rPr>
                      <w:color w:val="000000"/>
                      <w:szCs w:val="21"/>
                    </w:rPr>
                  </w:pPr>
                  <w:r>
                    <w:rPr>
                      <w:rFonts w:hint="eastAsia"/>
                      <w:color w:val="000000"/>
                      <w:szCs w:val="21"/>
                    </w:rPr>
                    <w:t>柴油</w:t>
                  </w:r>
                </w:p>
              </w:tc>
              <w:tc>
                <w:tcPr>
                  <w:tcW w:w="1514" w:type="dxa"/>
                  <w:vAlign w:val="center"/>
                </w:tcPr>
                <w:p w14:paraId="6E0F49CD">
                  <w:pPr>
                    <w:snapToGrid w:val="0"/>
                    <w:jc w:val="center"/>
                    <w:rPr>
                      <w:color w:val="000000"/>
                      <w:szCs w:val="21"/>
                    </w:rPr>
                  </w:pPr>
                  <w:r>
                    <w:rPr>
                      <w:rFonts w:hint="eastAsia"/>
                      <w:color w:val="000000"/>
                      <w:szCs w:val="21"/>
                    </w:rPr>
                    <w:t>30m³/罐，1个</w:t>
                  </w:r>
                </w:p>
              </w:tc>
              <w:tc>
                <w:tcPr>
                  <w:tcW w:w="1312" w:type="dxa"/>
                  <w:vAlign w:val="center"/>
                </w:tcPr>
                <w:p w14:paraId="22EA1700">
                  <w:pPr>
                    <w:snapToGrid w:val="0"/>
                    <w:jc w:val="center"/>
                    <w:rPr>
                      <w:color w:val="000000"/>
                      <w:szCs w:val="21"/>
                    </w:rPr>
                  </w:pPr>
                  <w:r>
                    <w:rPr>
                      <w:rFonts w:hint="eastAsia"/>
                      <w:color w:val="000000"/>
                      <w:szCs w:val="21"/>
                    </w:rPr>
                    <w:t>22.55</w:t>
                  </w:r>
                </w:p>
              </w:tc>
              <w:tc>
                <w:tcPr>
                  <w:tcW w:w="1348" w:type="dxa"/>
                  <w:vMerge w:val="continue"/>
                  <w:vAlign w:val="center"/>
                </w:tcPr>
                <w:p w14:paraId="38C22D73">
                  <w:pPr>
                    <w:snapToGrid w:val="0"/>
                    <w:jc w:val="center"/>
                    <w:rPr>
                      <w:color w:val="000000"/>
                      <w:szCs w:val="21"/>
                    </w:rPr>
                  </w:pPr>
                </w:p>
              </w:tc>
            </w:tr>
            <w:tr w14:paraId="62F32D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8077" w:type="dxa"/>
                  <w:gridSpan w:val="6"/>
                  <w:vAlign w:val="center"/>
                </w:tcPr>
                <w:p w14:paraId="4116A68B">
                  <w:pPr>
                    <w:wordWrap w:val="0"/>
                    <w:adjustRightInd w:val="0"/>
                    <w:snapToGrid w:val="0"/>
                    <w:rPr>
                      <w:rFonts w:hint="eastAsia"/>
                      <w:color w:val="000000"/>
                      <w:szCs w:val="21"/>
                    </w:rPr>
                  </w:pPr>
                  <w:r>
                    <w:rPr>
                      <w:color w:val="000000"/>
                      <w:spacing w:val="8"/>
                      <w:szCs w:val="21"/>
                    </w:rPr>
                    <w:t>备注：1）</w:t>
                  </w:r>
                  <w:r>
                    <w:rPr>
                      <w:color w:val="000000"/>
                      <w:szCs w:val="21"/>
                    </w:rPr>
                    <w:t>92</w:t>
                  </w:r>
                  <w:r>
                    <w:rPr>
                      <w:color w:val="000000"/>
                      <w:szCs w:val="21"/>
                      <w:vertAlign w:val="superscript"/>
                    </w:rPr>
                    <w:t>#</w:t>
                  </w:r>
                  <w:r>
                    <w:rPr>
                      <w:color w:val="000000"/>
                      <w:szCs w:val="21"/>
                    </w:rPr>
                    <w:t>汽油</w:t>
                  </w:r>
                  <w:r>
                    <w:rPr>
                      <w:color w:val="000000"/>
                      <w:spacing w:val="8"/>
                      <w:szCs w:val="21"/>
                    </w:rPr>
                    <w:t>密度为0.722g/mL，95</w:t>
                  </w:r>
                  <w:r>
                    <w:rPr>
                      <w:color w:val="000000"/>
                      <w:spacing w:val="8"/>
                      <w:szCs w:val="21"/>
                      <w:vertAlign w:val="superscript"/>
                    </w:rPr>
                    <w:t>#</w:t>
                  </w:r>
                  <w:r>
                    <w:rPr>
                      <w:color w:val="000000"/>
                      <w:spacing w:val="8"/>
                      <w:szCs w:val="21"/>
                    </w:rPr>
                    <w:t>汽油密度为0.725g/mL，0</w:t>
                  </w:r>
                  <w:r>
                    <w:rPr>
                      <w:color w:val="000000"/>
                      <w:spacing w:val="8"/>
                      <w:szCs w:val="21"/>
                      <w:vertAlign w:val="superscript"/>
                    </w:rPr>
                    <w:t>#</w:t>
                  </w:r>
                  <w:r>
                    <w:rPr>
                      <w:color w:val="000000"/>
                      <w:spacing w:val="8"/>
                      <w:szCs w:val="21"/>
                    </w:rPr>
                    <w:t>柴油密度为0.835g/mL；2）储罐充装系数为0.90。</w:t>
                  </w:r>
                </w:p>
              </w:tc>
            </w:tr>
          </w:tbl>
          <w:p w14:paraId="5E447B44">
            <w:pPr>
              <w:snapToGrid w:val="0"/>
              <w:spacing w:line="460" w:lineRule="exact"/>
              <w:ind w:firstLine="482" w:firstLineChars="200"/>
              <w:rPr>
                <w:b/>
                <w:bCs/>
                <w:sz w:val="24"/>
              </w:rPr>
            </w:pPr>
            <w:r>
              <w:rPr>
                <w:rFonts w:hint="eastAsia"/>
                <w:b/>
                <w:bCs/>
                <w:sz w:val="24"/>
              </w:rPr>
              <w:t>（2）</w:t>
            </w:r>
            <w:r>
              <w:rPr>
                <w:b/>
                <w:bCs/>
                <w:sz w:val="24"/>
              </w:rPr>
              <w:t>风险潜势初判</w:t>
            </w:r>
          </w:p>
          <w:p w14:paraId="586E9091">
            <w:pPr>
              <w:spacing w:line="460" w:lineRule="exact"/>
              <w:ind w:firstLine="480" w:firstLineChars="200"/>
              <w:rPr>
                <w:sz w:val="24"/>
              </w:rPr>
            </w:pPr>
            <w:r>
              <w:rPr>
                <w:sz w:val="24"/>
              </w:rPr>
              <w:t>根据《建设项目环境风险评价技术导则》（HJ169-2018）附录B，拟建项目</w:t>
            </w:r>
            <w:r>
              <w:rPr>
                <w:rFonts w:hint="eastAsia"/>
                <w:sz w:val="24"/>
              </w:rPr>
              <w:t>风险</w:t>
            </w:r>
            <w:r>
              <w:rPr>
                <w:sz w:val="24"/>
              </w:rPr>
              <w:t>物质</w:t>
            </w:r>
            <w:r>
              <w:rPr>
                <w:rFonts w:hint="eastAsia"/>
                <w:sz w:val="24"/>
              </w:rPr>
              <w:t>主要</w:t>
            </w:r>
            <w:r>
              <w:rPr>
                <w:sz w:val="24"/>
              </w:rPr>
              <w:t>有汽油、柴油2种危险物质，其中危险物质数量与临界量比值计算如下：</w:t>
            </w:r>
          </w:p>
          <w:p w14:paraId="710FB033">
            <w:pPr>
              <w:spacing w:line="460" w:lineRule="exact"/>
              <w:ind w:firstLine="480" w:firstLineChars="200"/>
              <w:rPr>
                <w:sz w:val="24"/>
              </w:rPr>
            </w:pPr>
            <w:r>
              <w:rPr>
                <w:sz w:val="24"/>
              </w:rPr>
              <w:t>当只涉及一种危险物质时，计算该物质的总量与其临界量比值，即为Q；</w:t>
            </w:r>
          </w:p>
          <w:p w14:paraId="06DDBDB5">
            <w:pPr>
              <w:spacing w:line="460" w:lineRule="exact"/>
              <w:ind w:firstLine="480" w:firstLineChars="200"/>
              <w:rPr>
                <w:sz w:val="24"/>
              </w:rPr>
            </w:pPr>
            <w:r>
              <w:rPr>
                <w:sz w:val="24"/>
              </w:rPr>
              <w:t>当存在多种危险物质时，则按下式计算物质总量与其临界量比值（Q）：</w:t>
            </w:r>
          </w:p>
          <w:p w14:paraId="79113C6C">
            <w:pPr>
              <w:ind w:firstLine="480" w:firstLineChars="200"/>
              <w:jc w:val="center"/>
              <w:rPr>
                <w:sz w:val="24"/>
              </w:rPr>
            </w:pPr>
            <w:r>
              <w:rPr>
                <w:position w:val="-38"/>
                <w:sz w:val="24"/>
              </w:rPr>
              <w:object>
                <v:shape id="_x0000_i1029" o:spt="75" type="#_x0000_t75" style="height:36pt;width:97.8pt;" o:ole="t" filled="f" o:preferrelative="t" stroked="f" coordsize="21600,21600">
                  <v:path/>
                  <v:fill on="f" focussize="0,0"/>
                  <v:stroke on="f" joinstyle="miter"/>
                  <v:imagedata r:id="rId25" o:title=""/>
                  <o:lock v:ext="edit" aspectratio="t"/>
                  <w10:wrap type="none"/>
                  <w10:anchorlock/>
                </v:shape>
                <o:OLEObject Type="Embed" ProgID="Equation.3" ShapeID="_x0000_i1029" DrawAspect="Content" ObjectID="_1468075729" r:id="rId24">
                  <o:LockedField>false</o:LockedField>
                </o:OLEObject>
              </w:object>
            </w:r>
          </w:p>
          <w:p w14:paraId="206826A0">
            <w:pPr>
              <w:spacing w:line="460" w:lineRule="exact"/>
              <w:ind w:firstLine="480" w:firstLineChars="200"/>
              <w:rPr>
                <w:sz w:val="24"/>
              </w:rPr>
            </w:pPr>
            <w:r>
              <w:rPr>
                <w:sz w:val="24"/>
              </w:rPr>
              <w:t>式中：</w:t>
            </w:r>
            <w:r>
              <w:rPr>
                <w:i/>
                <w:iCs/>
                <w:sz w:val="24"/>
              </w:rPr>
              <w:t>q</w:t>
            </w:r>
            <w:r>
              <w:rPr>
                <w:i/>
                <w:iCs/>
                <w:sz w:val="24"/>
                <w:vertAlign w:val="subscript"/>
              </w:rPr>
              <w:t>1</w:t>
            </w:r>
            <w:r>
              <w:rPr>
                <w:i/>
                <w:iCs/>
                <w:sz w:val="24"/>
              </w:rPr>
              <w:t>，q</w:t>
            </w:r>
            <w:r>
              <w:rPr>
                <w:i/>
                <w:iCs/>
                <w:sz w:val="24"/>
                <w:vertAlign w:val="subscript"/>
              </w:rPr>
              <w:t>2</w:t>
            </w:r>
            <w:r>
              <w:rPr>
                <w:i/>
                <w:iCs/>
                <w:sz w:val="24"/>
              </w:rPr>
              <w:t>，...，q</w:t>
            </w:r>
            <w:r>
              <w:rPr>
                <w:i/>
                <w:iCs/>
                <w:sz w:val="24"/>
                <w:vertAlign w:val="subscript"/>
              </w:rPr>
              <w:t>n</w:t>
            </w:r>
            <w:r>
              <w:rPr>
                <w:sz w:val="24"/>
              </w:rPr>
              <w:t>——每种危险物质的最大存在总量，t；</w:t>
            </w:r>
          </w:p>
          <w:p w14:paraId="11F15DA9">
            <w:pPr>
              <w:spacing w:line="460" w:lineRule="exact"/>
              <w:ind w:firstLine="480" w:firstLineChars="200"/>
              <w:rPr>
                <w:sz w:val="24"/>
              </w:rPr>
            </w:pPr>
            <w:r>
              <w:rPr>
                <w:i/>
                <w:iCs/>
                <w:sz w:val="24"/>
              </w:rPr>
              <w:t>Q</w:t>
            </w:r>
            <w:r>
              <w:rPr>
                <w:i/>
                <w:iCs/>
                <w:sz w:val="24"/>
                <w:vertAlign w:val="subscript"/>
              </w:rPr>
              <w:t>1</w:t>
            </w:r>
            <w:r>
              <w:rPr>
                <w:i/>
                <w:iCs/>
                <w:sz w:val="24"/>
              </w:rPr>
              <w:t>，Q</w:t>
            </w:r>
            <w:r>
              <w:rPr>
                <w:i/>
                <w:iCs/>
                <w:sz w:val="24"/>
                <w:vertAlign w:val="subscript"/>
              </w:rPr>
              <w:t>2</w:t>
            </w:r>
            <w:r>
              <w:rPr>
                <w:i/>
                <w:iCs/>
                <w:sz w:val="24"/>
              </w:rPr>
              <w:t>，...，Q</w:t>
            </w:r>
            <w:r>
              <w:rPr>
                <w:i/>
                <w:iCs/>
                <w:sz w:val="24"/>
                <w:vertAlign w:val="subscript"/>
              </w:rPr>
              <w:t>n</w:t>
            </w:r>
            <w:r>
              <w:rPr>
                <w:sz w:val="24"/>
              </w:rPr>
              <w:t>——每种危险物质的临界量，t。</w:t>
            </w:r>
          </w:p>
          <w:p w14:paraId="79F5327A">
            <w:pPr>
              <w:spacing w:line="460" w:lineRule="exact"/>
              <w:ind w:firstLine="480" w:firstLineChars="200"/>
              <w:rPr>
                <w:sz w:val="24"/>
              </w:rPr>
            </w:pPr>
            <w:r>
              <w:rPr>
                <w:sz w:val="24"/>
              </w:rPr>
              <w:t>当Q&lt;1时，该项目环境风险潜势为Ⅰ。</w:t>
            </w:r>
          </w:p>
          <w:p w14:paraId="33203294">
            <w:pPr>
              <w:spacing w:line="460" w:lineRule="exact"/>
              <w:ind w:firstLine="480" w:firstLineChars="200"/>
              <w:rPr>
                <w:sz w:val="24"/>
              </w:rPr>
            </w:pPr>
            <w:r>
              <w:rPr>
                <w:sz w:val="24"/>
              </w:rPr>
              <w:t>当Q≥1时，将Q值划分为：（1）1≤Q＜10；（2）10≤Q＜100；（3）Q≥100。</w:t>
            </w:r>
          </w:p>
          <w:p w14:paraId="4ECF1BEA">
            <w:pPr>
              <w:spacing w:line="460" w:lineRule="exact"/>
              <w:ind w:firstLine="480" w:firstLineChars="200"/>
              <w:rPr>
                <w:rFonts w:hint="eastAsia"/>
                <w:sz w:val="24"/>
              </w:rPr>
            </w:pPr>
            <w:r>
              <w:rPr>
                <w:sz w:val="24"/>
              </w:rPr>
              <w:t>拟建项目其最大贮存量和临界量见下表：</w:t>
            </w:r>
          </w:p>
          <w:p w14:paraId="5E6908AA">
            <w:pPr>
              <w:pStyle w:val="68"/>
              <w:spacing w:line="240" w:lineRule="auto"/>
              <w:rPr>
                <w:rFonts w:hint="eastAsia" w:ascii="黑体" w:hAnsi="黑体" w:eastAsia="黑体" w:cs="黑体"/>
                <w:b w:val="0"/>
                <w:bCs w:val="0"/>
                <w:szCs w:val="21"/>
              </w:rPr>
            </w:pPr>
            <w:r>
              <w:rPr>
                <w:rFonts w:hint="eastAsia" w:ascii="黑体" w:hAnsi="黑体" w:eastAsia="黑体" w:cs="黑体"/>
                <w:b w:val="0"/>
                <w:bCs w:val="0"/>
                <w:szCs w:val="21"/>
              </w:rPr>
              <w:t>表4-22  危险物质临界存储量</w:t>
            </w:r>
          </w:p>
          <w:tbl>
            <w:tblPr>
              <w:tblStyle w:val="23"/>
              <w:tblW w:w="805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79"/>
              <w:gridCol w:w="2093"/>
              <w:gridCol w:w="1514"/>
              <w:gridCol w:w="1513"/>
              <w:gridCol w:w="1459"/>
            </w:tblGrid>
            <w:tr w14:paraId="097CF6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479" w:type="dxa"/>
                  <w:vMerge w:val="restart"/>
                  <w:vAlign w:val="center"/>
                </w:tcPr>
                <w:p w14:paraId="5C8755E0">
                  <w:pPr>
                    <w:adjustRightInd w:val="0"/>
                    <w:snapToGrid w:val="0"/>
                    <w:jc w:val="center"/>
                    <w:rPr>
                      <w:szCs w:val="21"/>
                    </w:rPr>
                  </w:pPr>
                  <w:r>
                    <w:rPr>
                      <w:szCs w:val="21"/>
                    </w:rPr>
                    <w:t>危险源名称</w:t>
                  </w:r>
                </w:p>
              </w:tc>
              <w:tc>
                <w:tcPr>
                  <w:tcW w:w="2093" w:type="dxa"/>
                  <w:vMerge w:val="restart"/>
                  <w:vAlign w:val="center"/>
                </w:tcPr>
                <w:p w14:paraId="14673DCF">
                  <w:pPr>
                    <w:adjustRightInd w:val="0"/>
                    <w:snapToGrid w:val="0"/>
                    <w:jc w:val="center"/>
                    <w:rPr>
                      <w:szCs w:val="21"/>
                    </w:rPr>
                  </w:pPr>
                  <w:r>
                    <w:rPr>
                      <w:szCs w:val="21"/>
                    </w:rPr>
                    <w:t>容器数量及规格</w:t>
                  </w:r>
                </w:p>
              </w:tc>
              <w:tc>
                <w:tcPr>
                  <w:tcW w:w="1514" w:type="dxa"/>
                  <w:vMerge w:val="restart"/>
                  <w:vAlign w:val="center"/>
                </w:tcPr>
                <w:p w14:paraId="50169CB5">
                  <w:pPr>
                    <w:adjustRightInd w:val="0"/>
                    <w:snapToGrid w:val="0"/>
                    <w:jc w:val="center"/>
                    <w:rPr>
                      <w:szCs w:val="21"/>
                    </w:rPr>
                  </w:pPr>
                  <w:r>
                    <w:rPr>
                      <w:szCs w:val="21"/>
                    </w:rPr>
                    <w:t>危险物质名称</w:t>
                  </w:r>
                </w:p>
              </w:tc>
              <w:tc>
                <w:tcPr>
                  <w:tcW w:w="2972" w:type="dxa"/>
                  <w:gridSpan w:val="2"/>
                  <w:vAlign w:val="center"/>
                </w:tcPr>
                <w:p w14:paraId="719268EC">
                  <w:pPr>
                    <w:adjustRightInd w:val="0"/>
                    <w:snapToGrid w:val="0"/>
                    <w:jc w:val="center"/>
                    <w:rPr>
                      <w:szCs w:val="21"/>
                    </w:rPr>
                  </w:pPr>
                  <w:r>
                    <w:rPr>
                      <w:szCs w:val="21"/>
                    </w:rPr>
                    <w:t>贮存场所</w:t>
                  </w:r>
                </w:p>
              </w:tc>
            </w:tr>
            <w:tr w14:paraId="1E3999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479" w:type="dxa"/>
                  <w:vMerge w:val="continue"/>
                  <w:vAlign w:val="center"/>
                </w:tcPr>
                <w:p w14:paraId="581FEDF8">
                  <w:pPr>
                    <w:jc w:val="left"/>
                    <w:rPr>
                      <w:szCs w:val="21"/>
                    </w:rPr>
                  </w:pPr>
                </w:p>
              </w:tc>
              <w:tc>
                <w:tcPr>
                  <w:tcW w:w="2093" w:type="dxa"/>
                  <w:vMerge w:val="continue"/>
                  <w:vAlign w:val="center"/>
                </w:tcPr>
                <w:p w14:paraId="1F525D3F">
                  <w:pPr>
                    <w:jc w:val="left"/>
                    <w:rPr>
                      <w:szCs w:val="21"/>
                    </w:rPr>
                  </w:pPr>
                </w:p>
              </w:tc>
              <w:tc>
                <w:tcPr>
                  <w:tcW w:w="1514" w:type="dxa"/>
                  <w:vMerge w:val="continue"/>
                  <w:vAlign w:val="center"/>
                </w:tcPr>
                <w:p w14:paraId="12B17DE8">
                  <w:pPr>
                    <w:jc w:val="left"/>
                    <w:rPr>
                      <w:szCs w:val="21"/>
                    </w:rPr>
                  </w:pPr>
                </w:p>
              </w:tc>
              <w:tc>
                <w:tcPr>
                  <w:tcW w:w="1513" w:type="dxa"/>
                  <w:vAlign w:val="center"/>
                </w:tcPr>
                <w:p w14:paraId="68A74A5C">
                  <w:pPr>
                    <w:jc w:val="left"/>
                    <w:rPr>
                      <w:rFonts w:hint="eastAsia"/>
                      <w:szCs w:val="21"/>
                    </w:rPr>
                  </w:pPr>
                  <w:r>
                    <w:rPr>
                      <w:szCs w:val="21"/>
                    </w:rPr>
                    <w:t>最大贮存量</w:t>
                  </w:r>
                  <w:r>
                    <w:rPr>
                      <w:rFonts w:hint="eastAsia"/>
                      <w:szCs w:val="21"/>
                    </w:rPr>
                    <w:t>t</w:t>
                  </w:r>
                </w:p>
              </w:tc>
              <w:tc>
                <w:tcPr>
                  <w:tcW w:w="1459" w:type="dxa"/>
                  <w:vAlign w:val="center"/>
                </w:tcPr>
                <w:p w14:paraId="5012258E">
                  <w:pPr>
                    <w:jc w:val="center"/>
                    <w:rPr>
                      <w:szCs w:val="21"/>
                    </w:rPr>
                  </w:pPr>
                  <w:r>
                    <w:rPr>
                      <w:szCs w:val="21"/>
                    </w:rPr>
                    <w:t>临界量</w:t>
                  </w:r>
                </w:p>
              </w:tc>
            </w:tr>
            <w:tr w14:paraId="49D9D8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0" w:hRule="atLeast"/>
                <w:jc w:val="center"/>
              </w:trPr>
              <w:tc>
                <w:tcPr>
                  <w:tcW w:w="1479" w:type="dxa"/>
                  <w:vMerge w:val="restart"/>
                  <w:vAlign w:val="center"/>
                </w:tcPr>
                <w:p w14:paraId="12AB420E">
                  <w:pPr>
                    <w:adjustRightInd w:val="0"/>
                    <w:snapToGrid w:val="0"/>
                    <w:jc w:val="center"/>
                    <w:rPr>
                      <w:szCs w:val="21"/>
                    </w:rPr>
                  </w:pPr>
                  <w:r>
                    <w:rPr>
                      <w:rFonts w:hint="eastAsia"/>
                      <w:szCs w:val="21"/>
                    </w:rPr>
                    <w:t>埋地</w:t>
                  </w:r>
                  <w:r>
                    <w:rPr>
                      <w:szCs w:val="21"/>
                    </w:rPr>
                    <w:t>油罐</w:t>
                  </w:r>
                </w:p>
              </w:tc>
              <w:tc>
                <w:tcPr>
                  <w:tcW w:w="2093" w:type="dxa"/>
                  <w:vAlign w:val="center"/>
                </w:tcPr>
                <w:p w14:paraId="448B0109">
                  <w:pPr>
                    <w:adjustRightInd w:val="0"/>
                    <w:snapToGrid w:val="0"/>
                    <w:jc w:val="center"/>
                    <w:rPr>
                      <w:szCs w:val="21"/>
                    </w:rPr>
                  </w:pPr>
                  <w:r>
                    <w:rPr>
                      <w:szCs w:val="21"/>
                    </w:rPr>
                    <w:t>92</w:t>
                  </w:r>
                  <w:r>
                    <w:rPr>
                      <w:szCs w:val="21"/>
                      <w:vertAlign w:val="superscript"/>
                    </w:rPr>
                    <w:t>#</w:t>
                  </w:r>
                  <w:r>
                    <w:rPr>
                      <w:szCs w:val="21"/>
                    </w:rPr>
                    <w:t>汽油罐1×</w:t>
                  </w:r>
                  <w:r>
                    <w:rPr>
                      <w:rFonts w:hint="eastAsia"/>
                      <w:szCs w:val="21"/>
                    </w:rPr>
                    <w:t>30</w:t>
                  </w:r>
                  <w:r>
                    <w:rPr>
                      <w:szCs w:val="21"/>
                    </w:rPr>
                    <w:t>m</w:t>
                  </w:r>
                  <w:r>
                    <w:rPr>
                      <w:szCs w:val="21"/>
                      <w:vertAlign w:val="superscript"/>
                    </w:rPr>
                    <w:t>3</w:t>
                  </w:r>
                </w:p>
              </w:tc>
              <w:tc>
                <w:tcPr>
                  <w:tcW w:w="1514" w:type="dxa"/>
                  <w:vAlign w:val="center"/>
                </w:tcPr>
                <w:p w14:paraId="0D248962">
                  <w:pPr>
                    <w:adjustRightInd w:val="0"/>
                    <w:snapToGrid w:val="0"/>
                    <w:jc w:val="center"/>
                    <w:rPr>
                      <w:szCs w:val="21"/>
                    </w:rPr>
                  </w:pPr>
                  <w:r>
                    <w:rPr>
                      <w:szCs w:val="21"/>
                    </w:rPr>
                    <w:t>汽油</w:t>
                  </w:r>
                </w:p>
              </w:tc>
              <w:tc>
                <w:tcPr>
                  <w:tcW w:w="1513" w:type="dxa"/>
                  <w:vAlign w:val="center"/>
                </w:tcPr>
                <w:p w14:paraId="30B953B2">
                  <w:pPr>
                    <w:snapToGrid w:val="0"/>
                    <w:jc w:val="center"/>
                    <w:rPr>
                      <w:color w:val="000000"/>
                      <w:szCs w:val="21"/>
                    </w:rPr>
                  </w:pPr>
                  <w:r>
                    <w:rPr>
                      <w:rFonts w:hint="eastAsia"/>
                      <w:color w:val="000000"/>
                      <w:szCs w:val="21"/>
                    </w:rPr>
                    <w:t>19.494</w:t>
                  </w:r>
                </w:p>
              </w:tc>
              <w:tc>
                <w:tcPr>
                  <w:tcW w:w="1459" w:type="dxa"/>
                  <w:vMerge w:val="restart"/>
                  <w:vAlign w:val="center"/>
                </w:tcPr>
                <w:p w14:paraId="152E3F47">
                  <w:pPr>
                    <w:jc w:val="center"/>
                    <w:rPr>
                      <w:szCs w:val="21"/>
                    </w:rPr>
                  </w:pPr>
                  <w:r>
                    <w:rPr>
                      <w:szCs w:val="21"/>
                    </w:rPr>
                    <w:t>2500t</w:t>
                  </w:r>
                </w:p>
              </w:tc>
            </w:tr>
            <w:tr w14:paraId="50D04C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479" w:type="dxa"/>
                  <w:vMerge w:val="continue"/>
                  <w:vAlign w:val="center"/>
                </w:tcPr>
                <w:p w14:paraId="47FA8E8C">
                  <w:pPr>
                    <w:jc w:val="center"/>
                    <w:rPr>
                      <w:szCs w:val="21"/>
                    </w:rPr>
                  </w:pPr>
                </w:p>
              </w:tc>
              <w:tc>
                <w:tcPr>
                  <w:tcW w:w="2093" w:type="dxa"/>
                  <w:vAlign w:val="center"/>
                </w:tcPr>
                <w:p w14:paraId="05C5D2BE">
                  <w:pPr>
                    <w:jc w:val="center"/>
                    <w:rPr>
                      <w:szCs w:val="21"/>
                    </w:rPr>
                  </w:pPr>
                  <w:r>
                    <w:rPr>
                      <w:szCs w:val="21"/>
                    </w:rPr>
                    <w:t>95</w:t>
                  </w:r>
                  <w:r>
                    <w:rPr>
                      <w:szCs w:val="21"/>
                      <w:vertAlign w:val="superscript"/>
                    </w:rPr>
                    <w:t>#</w:t>
                  </w:r>
                  <w:r>
                    <w:rPr>
                      <w:szCs w:val="21"/>
                    </w:rPr>
                    <w:t>汽油罐1×</w:t>
                  </w:r>
                  <w:r>
                    <w:rPr>
                      <w:rFonts w:hint="eastAsia"/>
                      <w:szCs w:val="21"/>
                    </w:rPr>
                    <w:t>25</w:t>
                  </w:r>
                  <w:r>
                    <w:rPr>
                      <w:szCs w:val="21"/>
                    </w:rPr>
                    <w:t>m</w:t>
                  </w:r>
                  <w:r>
                    <w:rPr>
                      <w:szCs w:val="21"/>
                      <w:vertAlign w:val="superscript"/>
                    </w:rPr>
                    <w:t>3</w:t>
                  </w:r>
                </w:p>
              </w:tc>
              <w:tc>
                <w:tcPr>
                  <w:tcW w:w="1514" w:type="dxa"/>
                  <w:vAlign w:val="center"/>
                </w:tcPr>
                <w:p w14:paraId="2F700ADE">
                  <w:pPr>
                    <w:jc w:val="center"/>
                    <w:rPr>
                      <w:szCs w:val="21"/>
                    </w:rPr>
                  </w:pPr>
                  <w:r>
                    <w:rPr>
                      <w:szCs w:val="21"/>
                    </w:rPr>
                    <w:t>汽油</w:t>
                  </w:r>
                </w:p>
              </w:tc>
              <w:tc>
                <w:tcPr>
                  <w:tcW w:w="1513" w:type="dxa"/>
                  <w:vAlign w:val="center"/>
                </w:tcPr>
                <w:p w14:paraId="4DC7E552">
                  <w:pPr>
                    <w:snapToGrid w:val="0"/>
                    <w:jc w:val="center"/>
                    <w:rPr>
                      <w:color w:val="000000"/>
                      <w:szCs w:val="21"/>
                    </w:rPr>
                  </w:pPr>
                  <w:r>
                    <w:rPr>
                      <w:rFonts w:hint="eastAsia"/>
                      <w:color w:val="000000"/>
                      <w:szCs w:val="21"/>
                    </w:rPr>
                    <w:t>16.313</w:t>
                  </w:r>
                </w:p>
              </w:tc>
              <w:tc>
                <w:tcPr>
                  <w:tcW w:w="1459" w:type="dxa"/>
                  <w:vMerge w:val="continue"/>
                  <w:vAlign w:val="center"/>
                </w:tcPr>
                <w:p w14:paraId="5D29BB55">
                  <w:pPr>
                    <w:jc w:val="left"/>
                    <w:rPr>
                      <w:szCs w:val="21"/>
                    </w:rPr>
                  </w:pPr>
                </w:p>
              </w:tc>
            </w:tr>
            <w:tr w14:paraId="53B3D8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479" w:type="dxa"/>
                  <w:vMerge w:val="continue"/>
                  <w:vAlign w:val="center"/>
                </w:tcPr>
                <w:p w14:paraId="06A91DD0">
                  <w:pPr>
                    <w:jc w:val="center"/>
                    <w:rPr>
                      <w:szCs w:val="21"/>
                    </w:rPr>
                  </w:pPr>
                </w:p>
              </w:tc>
              <w:tc>
                <w:tcPr>
                  <w:tcW w:w="2093" w:type="dxa"/>
                  <w:vAlign w:val="center"/>
                </w:tcPr>
                <w:p w14:paraId="2E8C54E2">
                  <w:pPr>
                    <w:jc w:val="center"/>
                    <w:rPr>
                      <w:szCs w:val="21"/>
                    </w:rPr>
                  </w:pPr>
                  <w:r>
                    <w:rPr>
                      <w:szCs w:val="21"/>
                    </w:rPr>
                    <w:t>9</w:t>
                  </w:r>
                  <w:r>
                    <w:rPr>
                      <w:rFonts w:hint="eastAsia"/>
                      <w:szCs w:val="21"/>
                    </w:rPr>
                    <w:t>5</w:t>
                  </w:r>
                  <w:r>
                    <w:rPr>
                      <w:szCs w:val="21"/>
                      <w:vertAlign w:val="superscript"/>
                    </w:rPr>
                    <w:t>#</w:t>
                  </w:r>
                  <w:r>
                    <w:rPr>
                      <w:szCs w:val="21"/>
                    </w:rPr>
                    <w:t>汽油罐1×</w:t>
                  </w:r>
                  <w:r>
                    <w:rPr>
                      <w:rFonts w:hint="eastAsia"/>
                      <w:szCs w:val="21"/>
                    </w:rPr>
                    <w:t>20</w:t>
                  </w:r>
                  <w:r>
                    <w:rPr>
                      <w:szCs w:val="21"/>
                    </w:rPr>
                    <w:t>m</w:t>
                  </w:r>
                  <w:r>
                    <w:rPr>
                      <w:szCs w:val="21"/>
                      <w:vertAlign w:val="superscript"/>
                    </w:rPr>
                    <w:t>3</w:t>
                  </w:r>
                </w:p>
              </w:tc>
              <w:tc>
                <w:tcPr>
                  <w:tcW w:w="1514" w:type="dxa"/>
                  <w:vAlign w:val="center"/>
                </w:tcPr>
                <w:p w14:paraId="2FBFEECC">
                  <w:pPr>
                    <w:jc w:val="center"/>
                    <w:rPr>
                      <w:szCs w:val="21"/>
                    </w:rPr>
                  </w:pPr>
                  <w:r>
                    <w:rPr>
                      <w:szCs w:val="21"/>
                    </w:rPr>
                    <w:t>汽油</w:t>
                  </w:r>
                </w:p>
              </w:tc>
              <w:tc>
                <w:tcPr>
                  <w:tcW w:w="1513" w:type="dxa"/>
                  <w:vAlign w:val="center"/>
                </w:tcPr>
                <w:p w14:paraId="05A0720A">
                  <w:pPr>
                    <w:snapToGrid w:val="0"/>
                    <w:jc w:val="center"/>
                    <w:rPr>
                      <w:color w:val="000000"/>
                      <w:szCs w:val="21"/>
                    </w:rPr>
                  </w:pPr>
                  <w:r>
                    <w:rPr>
                      <w:rFonts w:hint="eastAsia"/>
                      <w:color w:val="000000"/>
                      <w:szCs w:val="21"/>
                    </w:rPr>
                    <w:t>13.05</w:t>
                  </w:r>
                </w:p>
              </w:tc>
              <w:tc>
                <w:tcPr>
                  <w:tcW w:w="1459" w:type="dxa"/>
                  <w:vMerge w:val="continue"/>
                  <w:vAlign w:val="center"/>
                </w:tcPr>
                <w:p w14:paraId="24A92494">
                  <w:pPr>
                    <w:jc w:val="left"/>
                    <w:rPr>
                      <w:szCs w:val="21"/>
                    </w:rPr>
                  </w:pPr>
                </w:p>
              </w:tc>
            </w:tr>
            <w:tr w14:paraId="34946D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479" w:type="dxa"/>
                  <w:vMerge w:val="continue"/>
                  <w:vAlign w:val="center"/>
                </w:tcPr>
                <w:p w14:paraId="5EA0EF67">
                  <w:pPr>
                    <w:jc w:val="center"/>
                    <w:rPr>
                      <w:szCs w:val="21"/>
                    </w:rPr>
                  </w:pPr>
                </w:p>
              </w:tc>
              <w:tc>
                <w:tcPr>
                  <w:tcW w:w="2093" w:type="dxa"/>
                  <w:vAlign w:val="center"/>
                </w:tcPr>
                <w:p w14:paraId="57BC38D4">
                  <w:pPr>
                    <w:jc w:val="center"/>
                    <w:rPr>
                      <w:szCs w:val="21"/>
                    </w:rPr>
                  </w:pPr>
                  <w:r>
                    <w:rPr>
                      <w:szCs w:val="21"/>
                    </w:rPr>
                    <w:t>0</w:t>
                  </w:r>
                  <w:r>
                    <w:rPr>
                      <w:szCs w:val="21"/>
                      <w:vertAlign w:val="superscript"/>
                    </w:rPr>
                    <w:t>#</w:t>
                  </w:r>
                  <w:r>
                    <w:rPr>
                      <w:szCs w:val="21"/>
                    </w:rPr>
                    <w:t>柴油罐</w:t>
                  </w:r>
                  <w:r>
                    <w:rPr>
                      <w:rFonts w:hint="eastAsia"/>
                      <w:szCs w:val="21"/>
                    </w:rPr>
                    <w:t>1</w:t>
                  </w:r>
                  <w:r>
                    <w:rPr>
                      <w:szCs w:val="21"/>
                    </w:rPr>
                    <w:t>×</w:t>
                  </w:r>
                  <w:r>
                    <w:rPr>
                      <w:rFonts w:hint="eastAsia"/>
                      <w:szCs w:val="21"/>
                    </w:rPr>
                    <w:t>30</w:t>
                  </w:r>
                  <w:r>
                    <w:rPr>
                      <w:szCs w:val="21"/>
                    </w:rPr>
                    <w:t>m</w:t>
                  </w:r>
                  <w:r>
                    <w:rPr>
                      <w:szCs w:val="21"/>
                      <w:vertAlign w:val="superscript"/>
                    </w:rPr>
                    <w:t>3</w:t>
                  </w:r>
                </w:p>
              </w:tc>
              <w:tc>
                <w:tcPr>
                  <w:tcW w:w="1514" w:type="dxa"/>
                  <w:vAlign w:val="center"/>
                </w:tcPr>
                <w:p w14:paraId="5FFE4DD4">
                  <w:pPr>
                    <w:jc w:val="center"/>
                    <w:rPr>
                      <w:szCs w:val="21"/>
                    </w:rPr>
                  </w:pPr>
                  <w:r>
                    <w:rPr>
                      <w:szCs w:val="21"/>
                    </w:rPr>
                    <w:t>柴油</w:t>
                  </w:r>
                </w:p>
              </w:tc>
              <w:tc>
                <w:tcPr>
                  <w:tcW w:w="1513" w:type="dxa"/>
                  <w:vAlign w:val="center"/>
                </w:tcPr>
                <w:p w14:paraId="544F15E9">
                  <w:pPr>
                    <w:snapToGrid w:val="0"/>
                    <w:jc w:val="center"/>
                    <w:rPr>
                      <w:color w:val="000000"/>
                      <w:szCs w:val="21"/>
                    </w:rPr>
                  </w:pPr>
                  <w:r>
                    <w:rPr>
                      <w:rFonts w:hint="eastAsia"/>
                      <w:color w:val="000000"/>
                      <w:szCs w:val="21"/>
                    </w:rPr>
                    <w:t>22.55</w:t>
                  </w:r>
                </w:p>
              </w:tc>
              <w:tc>
                <w:tcPr>
                  <w:tcW w:w="1459" w:type="dxa"/>
                  <w:vMerge w:val="continue"/>
                  <w:vAlign w:val="center"/>
                </w:tcPr>
                <w:p w14:paraId="068AEE51">
                  <w:pPr>
                    <w:jc w:val="left"/>
                    <w:rPr>
                      <w:szCs w:val="21"/>
                    </w:rPr>
                  </w:pPr>
                </w:p>
              </w:tc>
            </w:tr>
            <w:tr w14:paraId="55C7C5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5086" w:type="dxa"/>
                  <w:gridSpan w:val="3"/>
                  <w:vAlign w:val="center"/>
                </w:tcPr>
                <w:p w14:paraId="58116C3E">
                  <w:pPr>
                    <w:jc w:val="center"/>
                    <w:rPr>
                      <w:szCs w:val="21"/>
                    </w:rPr>
                  </w:pPr>
                  <w:r>
                    <w:rPr>
                      <w:rFonts w:hint="eastAsia"/>
                      <w:szCs w:val="21"/>
                    </w:rPr>
                    <w:t>合计</w:t>
                  </w:r>
                </w:p>
              </w:tc>
              <w:tc>
                <w:tcPr>
                  <w:tcW w:w="1513" w:type="dxa"/>
                  <w:vAlign w:val="center"/>
                </w:tcPr>
                <w:p w14:paraId="41394779">
                  <w:pPr>
                    <w:snapToGrid w:val="0"/>
                    <w:jc w:val="center"/>
                    <w:rPr>
                      <w:color w:val="000000"/>
                      <w:szCs w:val="21"/>
                    </w:rPr>
                  </w:pPr>
                  <w:r>
                    <w:rPr>
                      <w:rFonts w:hint="eastAsia"/>
                      <w:color w:val="000000"/>
                      <w:szCs w:val="21"/>
                    </w:rPr>
                    <w:t>71.407</w:t>
                  </w:r>
                </w:p>
              </w:tc>
              <w:tc>
                <w:tcPr>
                  <w:tcW w:w="1459" w:type="dxa"/>
                  <w:vMerge w:val="continue"/>
                  <w:vAlign w:val="center"/>
                </w:tcPr>
                <w:p w14:paraId="67888D58">
                  <w:pPr>
                    <w:jc w:val="left"/>
                    <w:rPr>
                      <w:szCs w:val="21"/>
                    </w:rPr>
                  </w:pPr>
                </w:p>
              </w:tc>
            </w:tr>
          </w:tbl>
          <w:p w14:paraId="58734933">
            <w:pPr>
              <w:adjustRightInd w:val="0"/>
              <w:spacing w:line="460" w:lineRule="exact"/>
              <w:ind w:firstLine="480" w:firstLineChars="200"/>
              <w:rPr>
                <w:sz w:val="24"/>
              </w:rPr>
            </w:pPr>
            <w:r>
              <w:rPr>
                <w:sz w:val="24"/>
              </w:rPr>
              <w:t>经计算：Q=（</w:t>
            </w:r>
            <w:r>
              <w:rPr>
                <w:rFonts w:hint="eastAsia"/>
                <w:sz w:val="24"/>
              </w:rPr>
              <w:t>19.494</w:t>
            </w:r>
            <w:r>
              <w:rPr>
                <w:sz w:val="24"/>
              </w:rPr>
              <w:t>+</w:t>
            </w:r>
            <w:r>
              <w:rPr>
                <w:rFonts w:hint="eastAsia"/>
                <w:sz w:val="24"/>
              </w:rPr>
              <w:t>16.313</w:t>
            </w:r>
            <w:r>
              <w:rPr>
                <w:sz w:val="24"/>
              </w:rPr>
              <w:t>+</w:t>
            </w:r>
            <w:r>
              <w:rPr>
                <w:rFonts w:hint="eastAsia"/>
                <w:sz w:val="24"/>
              </w:rPr>
              <w:t>13.05</w:t>
            </w:r>
            <w:r>
              <w:rPr>
                <w:sz w:val="24"/>
              </w:rPr>
              <w:t>+</w:t>
            </w:r>
            <w:r>
              <w:rPr>
                <w:rFonts w:hint="eastAsia"/>
                <w:sz w:val="24"/>
              </w:rPr>
              <w:t>22.55</w:t>
            </w:r>
            <w:r>
              <w:rPr>
                <w:sz w:val="24"/>
              </w:rPr>
              <w:t>）/2500=0.0</w:t>
            </w:r>
            <w:r>
              <w:rPr>
                <w:rFonts w:hint="eastAsia"/>
                <w:sz w:val="24"/>
              </w:rPr>
              <w:t>29</w:t>
            </w:r>
            <w:r>
              <w:rPr>
                <w:sz w:val="24"/>
              </w:rPr>
              <w:t>&lt;1，故</w:t>
            </w:r>
            <w:r>
              <w:rPr>
                <w:rFonts w:hint="eastAsia"/>
                <w:sz w:val="24"/>
              </w:rPr>
              <w:t>本</w:t>
            </w:r>
            <w:r>
              <w:rPr>
                <w:sz w:val="24"/>
              </w:rPr>
              <w:t>项目风险潜势为Ⅰ。</w:t>
            </w:r>
          </w:p>
          <w:p w14:paraId="1B5D0229">
            <w:pPr>
              <w:snapToGrid w:val="0"/>
              <w:spacing w:line="460" w:lineRule="exact"/>
              <w:ind w:firstLine="482" w:firstLineChars="200"/>
              <w:rPr>
                <w:b/>
                <w:sz w:val="24"/>
              </w:rPr>
            </w:pPr>
            <w:r>
              <w:rPr>
                <w:rFonts w:hint="eastAsia"/>
                <w:b/>
                <w:sz w:val="24"/>
              </w:rPr>
              <w:t>（3）风险影响途径</w:t>
            </w:r>
          </w:p>
          <w:p w14:paraId="7AA03AC1">
            <w:pPr>
              <w:snapToGrid w:val="0"/>
              <w:spacing w:line="460" w:lineRule="exact"/>
              <w:ind w:firstLine="480" w:firstLineChars="200"/>
              <w:rPr>
                <w:sz w:val="24"/>
              </w:rPr>
            </w:pPr>
            <w:r>
              <w:rPr>
                <w:rFonts w:hint="eastAsia"/>
                <w:sz w:val="24"/>
              </w:rPr>
              <w:t>拟建</w:t>
            </w:r>
            <w:r>
              <w:rPr>
                <w:sz w:val="24"/>
              </w:rPr>
              <w:t>项目主要原辅材料为汽油和柴油，均属易燃易爆危险化学品，</w:t>
            </w:r>
            <w:r>
              <w:rPr>
                <w:rFonts w:hint="eastAsia"/>
                <w:sz w:val="24"/>
              </w:rPr>
              <w:t>由江顺石油公司</w:t>
            </w:r>
            <w:r>
              <w:rPr>
                <w:sz w:val="24"/>
              </w:rPr>
              <w:t>采用汽车运输，本次评价不涉及原料运输过程的风险评价。</w:t>
            </w:r>
          </w:p>
          <w:p w14:paraId="4912F6D7">
            <w:pPr>
              <w:snapToGrid w:val="0"/>
              <w:spacing w:line="460" w:lineRule="exact"/>
              <w:ind w:firstLine="480" w:firstLineChars="200"/>
              <w:rPr>
                <w:sz w:val="24"/>
              </w:rPr>
            </w:pPr>
            <w:r>
              <w:rPr>
                <w:sz w:val="24"/>
              </w:rPr>
              <w:t>项目在油品销售过程中，根据项目加油及工艺设计参数和设备性能，拟建项目运行系统潜在风险事故主要为：</w:t>
            </w:r>
          </w:p>
          <w:p w14:paraId="29097AE3">
            <w:pPr>
              <w:snapToGrid w:val="0"/>
              <w:spacing w:line="460" w:lineRule="exact"/>
              <w:ind w:firstLine="480" w:firstLineChars="200"/>
              <w:rPr>
                <w:sz w:val="24"/>
              </w:rPr>
            </w:pPr>
            <w:r>
              <w:rPr>
                <w:sz w:val="24"/>
              </w:rPr>
              <w:t>①加油机发生泄漏、火灾、爆炸。</w:t>
            </w:r>
          </w:p>
          <w:p w14:paraId="3C29A3B8">
            <w:pPr>
              <w:adjustRightInd w:val="0"/>
              <w:snapToGrid w:val="0"/>
              <w:spacing w:line="460" w:lineRule="exact"/>
              <w:ind w:firstLine="480" w:firstLineChars="200"/>
              <w:rPr>
                <w:sz w:val="24"/>
              </w:rPr>
            </w:pPr>
            <w:r>
              <w:rPr>
                <w:sz w:val="24"/>
              </w:rPr>
              <w:t>②储罐区发生泄漏、火灾、爆炸。</w:t>
            </w:r>
          </w:p>
          <w:p w14:paraId="53BB821B">
            <w:pPr>
              <w:pStyle w:val="68"/>
              <w:spacing w:line="240" w:lineRule="auto"/>
              <w:rPr>
                <w:rFonts w:hint="eastAsia" w:ascii="黑体" w:hAnsi="黑体" w:eastAsia="黑体" w:cs="黑体"/>
                <w:b w:val="0"/>
                <w:bCs w:val="0"/>
                <w:szCs w:val="21"/>
              </w:rPr>
            </w:pPr>
            <w:r>
              <w:rPr>
                <w:rFonts w:hint="eastAsia" w:ascii="黑体" w:hAnsi="黑体" w:eastAsia="黑体" w:cs="黑体"/>
                <w:b w:val="0"/>
                <w:bCs w:val="0"/>
                <w:szCs w:val="21"/>
              </w:rPr>
              <w:t>表4-23  本项目主要环境风险特征</w:t>
            </w:r>
          </w:p>
          <w:tbl>
            <w:tblPr>
              <w:tblStyle w:val="23"/>
              <w:tblW w:w="8078"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653"/>
              <w:gridCol w:w="2400"/>
              <w:gridCol w:w="3037"/>
            </w:tblGrid>
            <w:tr w14:paraId="27E7BF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988" w:type="dxa"/>
                  <w:vAlign w:val="center"/>
                </w:tcPr>
                <w:p w14:paraId="58AC9BBB">
                  <w:pPr>
                    <w:adjustRightInd w:val="0"/>
                    <w:snapToGrid w:val="0"/>
                    <w:jc w:val="center"/>
                    <w:rPr>
                      <w:szCs w:val="21"/>
                    </w:rPr>
                  </w:pPr>
                  <w:r>
                    <w:rPr>
                      <w:rFonts w:hint="eastAsia"/>
                      <w:szCs w:val="21"/>
                    </w:rPr>
                    <w:t>序号</w:t>
                  </w:r>
                </w:p>
              </w:tc>
              <w:tc>
                <w:tcPr>
                  <w:tcW w:w="1653" w:type="dxa"/>
                  <w:vAlign w:val="center"/>
                </w:tcPr>
                <w:p w14:paraId="3084F57D">
                  <w:pPr>
                    <w:adjustRightInd w:val="0"/>
                    <w:snapToGrid w:val="0"/>
                    <w:jc w:val="center"/>
                    <w:rPr>
                      <w:szCs w:val="21"/>
                    </w:rPr>
                  </w:pPr>
                  <w:r>
                    <w:rPr>
                      <w:rFonts w:hint="eastAsia"/>
                      <w:szCs w:val="21"/>
                    </w:rPr>
                    <w:t>风险类型</w:t>
                  </w:r>
                </w:p>
              </w:tc>
              <w:tc>
                <w:tcPr>
                  <w:tcW w:w="2400" w:type="dxa"/>
                  <w:vAlign w:val="center"/>
                </w:tcPr>
                <w:p w14:paraId="5DD82CF1">
                  <w:pPr>
                    <w:adjustRightInd w:val="0"/>
                    <w:snapToGrid w:val="0"/>
                    <w:jc w:val="center"/>
                    <w:rPr>
                      <w:szCs w:val="21"/>
                    </w:rPr>
                  </w:pPr>
                  <w:r>
                    <w:rPr>
                      <w:rFonts w:hint="eastAsia"/>
                      <w:szCs w:val="21"/>
                    </w:rPr>
                    <w:t>危害</w:t>
                  </w:r>
                </w:p>
              </w:tc>
              <w:tc>
                <w:tcPr>
                  <w:tcW w:w="3037" w:type="dxa"/>
                  <w:vAlign w:val="center"/>
                </w:tcPr>
                <w:p w14:paraId="62F01952">
                  <w:pPr>
                    <w:adjustRightInd w:val="0"/>
                    <w:snapToGrid w:val="0"/>
                    <w:jc w:val="center"/>
                    <w:rPr>
                      <w:szCs w:val="21"/>
                    </w:rPr>
                  </w:pPr>
                  <w:r>
                    <w:rPr>
                      <w:rFonts w:hint="eastAsia"/>
                      <w:szCs w:val="21"/>
                    </w:rPr>
                    <w:t>原因分析</w:t>
                  </w:r>
                </w:p>
              </w:tc>
            </w:tr>
            <w:tr w14:paraId="08CEDD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01" w:hRule="atLeast"/>
              </w:trPr>
              <w:tc>
                <w:tcPr>
                  <w:tcW w:w="988" w:type="dxa"/>
                  <w:vAlign w:val="center"/>
                </w:tcPr>
                <w:p w14:paraId="65AD0D05">
                  <w:pPr>
                    <w:adjustRightInd w:val="0"/>
                    <w:snapToGrid w:val="0"/>
                    <w:jc w:val="center"/>
                    <w:rPr>
                      <w:szCs w:val="21"/>
                    </w:rPr>
                  </w:pPr>
                  <w:r>
                    <w:rPr>
                      <w:rFonts w:hint="eastAsia"/>
                      <w:szCs w:val="21"/>
                    </w:rPr>
                    <w:t>1</w:t>
                  </w:r>
                </w:p>
              </w:tc>
              <w:tc>
                <w:tcPr>
                  <w:tcW w:w="1653" w:type="dxa"/>
                  <w:vAlign w:val="center"/>
                </w:tcPr>
                <w:p w14:paraId="70B541CB">
                  <w:pPr>
                    <w:adjustRightInd w:val="0"/>
                    <w:snapToGrid w:val="0"/>
                    <w:jc w:val="center"/>
                    <w:rPr>
                      <w:rFonts w:hint="eastAsia"/>
                      <w:szCs w:val="21"/>
                    </w:rPr>
                  </w:pPr>
                  <w:r>
                    <w:rPr>
                      <w:rFonts w:hint="eastAsia"/>
                      <w:szCs w:val="21"/>
                    </w:rPr>
                    <w:t>溢油</w:t>
                  </w:r>
                </w:p>
                <w:p w14:paraId="1FEC5421">
                  <w:pPr>
                    <w:adjustRightInd w:val="0"/>
                    <w:snapToGrid w:val="0"/>
                    <w:jc w:val="center"/>
                    <w:rPr>
                      <w:szCs w:val="21"/>
                    </w:rPr>
                  </w:pPr>
                  <w:r>
                    <w:rPr>
                      <w:rFonts w:hint="eastAsia"/>
                      <w:szCs w:val="21"/>
                    </w:rPr>
                    <w:t>（跑、冒、漏）</w:t>
                  </w:r>
                </w:p>
              </w:tc>
              <w:tc>
                <w:tcPr>
                  <w:tcW w:w="2400" w:type="dxa"/>
                  <w:vAlign w:val="center"/>
                </w:tcPr>
                <w:p w14:paraId="7E80A5DC">
                  <w:pPr>
                    <w:adjustRightInd w:val="0"/>
                    <w:snapToGrid w:val="0"/>
                    <w:jc w:val="center"/>
                    <w:rPr>
                      <w:szCs w:val="21"/>
                    </w:rPr>
                  </w:pPr>
                  <w:r>
                    <w:rPr>
                      <w:rFonts w:hint="eastAsia"/>
                      <w:szCs w:val="21"/>
                    </w:rPr>
                    <w:t>污染地表水、地下水、土壤，引起火灾爆炸，污染环境空气</w:t>
                  </w:r>
                </w:p>
              </w:tc>
              <w:tc>
                <w:tcPr>
                  <w:tcW w:w="3037" w:type="dxa"/>
                  <w:vAlign w:val="center"/>
                </w:tcPr>
                <w:p w14:paraId="14938AAE">
                  <w:pPr>
                    <w:adjustRightInd w:val="0"/>
                    <w:snapToGrid w:val="0"/>
                    <w:jc w:val="center"/>
                    <w:rPr>
                      <w:szCs w:val="21"/>
                    </w:rPr>
                  </w:pPr>
                  <w:r>
                    <w:rPr>
                      <w:rFonts w:hint="eastAsia"/>
                      <w:szCs w:val="21"/>
                    </w:rPr>
                    <w:t>油罐及泵、管道破损；阀门壳、盖孔泄漏或阀杆损坏；油罐及管道受腐蚀；油罐液泛、突沸、渗漏、操作错误</w:t>
                  </w:r>
                </w:p>
              </w:tc>
            </w:tr>
            <w:tr w14:paraId="28AA4A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988" w:type="dxa"/>
                  <w:vAlign w:val="center"/>
                </w:tcPr>
                <w:p w14:paraId="58EDFE1F">
                  <w:pPr>
                    <w:adjustRightInd w:val="0"/>
                    <w:snapToGrid w:val="0"/>
                    <w:jc w:val="center"/>
                    <w:rPr>
                      <w:szCs w:val="21"/>
                    </w:rPr>
                  </w:pPr>
                  <w:r>
                    <w:rPr>
                      <w:rFonts w:hint="eastAsia"/>
                      <w:szCs w:val="21"/>
                    </w:rPr>
                    <w:t>2</w:t>
                  </w:r>
                </w:p>
              </w:tc>
              <w:tc>
                <w:tcPr>
                  <w:tcW w:w="1653" w:type="dxa"/>
                  <w:vAlign w:val="center"/>
                </w:tcPr>
                <w:p w14:paraId="3C72B683">
                  <w:pPr>
                    <w:adjustRightInd w:val="0"/>
                    <w:snapToGrid w:val="0"/>
                    <w:jc w:val="center"/>
                    <w:rPr>
                      <w:szCs w:val="21"/>
                    </w:rPr>
                  </w:pPr>
                  <w:r>
                    <w:rPr>
                      <w:rFonts w:hint="eastAsia"/>
                      <w:szCs w:val="21"/>
                    </w:rPr>
                    <w:t>火灾爆炸</w:t>
                  </w:r>
                </w:p>
              </w:tc>
              <w:tc>
                <w:tcPr>
                  <w:tcW w:w="2400" w:type="dxa"/>
                  <w:vAlign w:val="center"/>
                </w:tcPr>
                <w:p w14:paraId="31141BF8">
                  <w:pPr>
                    <w:adjustRightInd w:val="0"/>
                    <w:snapToGrid w:val="0"/>
                    <w:jc w:val="center"/>
                    <w:rPr>
                      <w:szCs w:val="21"/>
                    </w:rPr>
                  </w:pPr>
                  <w:r>
                    <w:rPr>
                      <w:rFonts w:hint="eastAsia"/>
                      <w:szCs w:val="21"/>
                    </w:rPr>
                    <w:t>财产损失、人员伤亡、污染大气环境及水环境</w:t>
                  </w:r>
                </w:p>
              </w:tc>
              <w:tc>
                <w:tcPr>
                  <w:tcW w:w="3037" w:type="dxa"/>
                  <w:vAlign w:val="center"/>
                </w:tcPr>
                <w:p w14:paraId="4BB42261">
                  <w:pPr>
                    <w:adjustRightInd w:val="0"/>
                    <w:snapToGrid w:val="0"/>
                    <w:jc w:val="center"/>
                    <w:rPr>
                      <w:szCs w:val="21"/>
                    </w:rPr>
                  </w:pPr>
                  <w:r>
                    <w:rPr>
                      <w:rFonts w:hint="eastAsia"/>
                      <w:szCs w:val="21"/>
                    </w:rPr>
                    <w:t>油品泄漏、存在机械、高温、电器、化学火源、静电</w:t>
                  </w:r>
                </w:p>
              </w:tc>
            </w:tr>
          </w:tbl>
          <w:p w14:paraId="12B94ED7">
            <w:pPr>
              <w:adjustRightInd w:val="0"/>
              <w:snapToGrid w:val="0"/>
              <w:spacing w:line="360" w:lineRule="auto"/>
              <w:ind w:firstLine="482" w:firstLineChars="200"/>
              <w:rPr>
                <w:rFonts w:hint="eastAsia"/>
                <w:b/>
                <w:bCs/>
                <w:sz w:val="24"/>
              </w:rPr>
            </w:pPr>
            <w:r>
              <w:rPr>
                <w:rFonts w:hint="eastAsia"/>
                <w:b/>
                <w:bCs/>
                <w:sz w:val="24"/>
              </w:rPr>
              <w:t>（4）环境风险防范措施</w:t>
            </w:r>
          </w:p>
          <w:p w14:paraId="7A709A82">
            <w:pPr>
              <w:adjustRightInd w:val="0"/>
              <w:snapToGrid w:val="0"/>
              <w:spacing w:line="360" w:lineRule="auto"/>
              <w:ind w:firstLine="482" w:firstLineChars="200"/>
              <w:rPr>
                <w:rFonts w:hint="eastAsia"/>
                <w:b/>
                <w:bCs/>
                <w:sz w:val="24"/>
              </w:rPr>
            </w:pPr>
            <w:r>
              <w:rPr>
                <w:rFonts w:hint="eastAsia"/>
                <w:b/>
                <w:bCs/>
                <w:sz w:val="24"/>
              </w:rPr>
              <w:t>罐区风险防范措施：</w:t>
            </w:r>
          </w:p>
          <w:p w14:paraId="5BF4751E">
            <w:pPr>
              <w:adjustRightInd w:val="0"/>
              <w:spacing w:line="360" w:lineRule="auto"/>
              <w:ind w:firstLine="480" w:firstLineChars="200"/>
              <w:rPr>
                <w:sz w:val="24"/>
              </w:rPr>
            </w:pPr>
            <w:r>
              <w:rPr>
                <w:rFonts w:hint="eastAsia"/>
                <w:sz w:val="24"/>
              </w:rPr>
              <w:t>①</w:t>
            </w:r>
            <w:r>
              <w:rPr>
                <w:sz w:val="24"/>
              </w:rPr>
              <w:t>储油罐设有高液位报警功能的液位计，避免卸油时计量失误使罐内液位过高造成冒油。</w:t>
            </w:r>
          </w:p>
          <w:p w14:paraId="6F42418E">
            <w:pPr>
              <w:adjustRightInd w:val="0"/>
              <w:spacing w:line="360" w:lineRule="auto"/>
              <w:ind w:firstLine="480" w:firstLineChars="200"/>
              <w:rPr>
                <w:sz w:val="24"/>
              </w:rPr>
            </w:pPr>
            <w:r>
              <w:rPr>
                <w:rFonts w:hint="eastAsia"/>
                <w:sz w:val="24"/>
              </w:rPr>
              <w:t>②</w:t>
            </w:r>
            <w:r>
              <w:rPr>
                <w:sz w:val="24"/>
              </w:rPr>
              <w:t>汽油罐和柴油罐均采取</w:t>
            </w:r>
            <w:r>
              <w:rPr>
                <w:rFonts w:hint="eastAsia"/>
                <w:sz w:val="24"/>
              </w:rPr>
              <w:t>埋地卧式单层钢制油罐</w:t>
            </w:r>
            <w:r>
              <w:rPr>
                <w:sz w:val="24"/>
              </w:rPr>
              <w:t>，</w:t>
            </w:r>
            <w:r>
              <w:rPr>
                <w:rFonts w:hint="eastAsia"/>
                <w:sz w:val="24"/>
              </w:rPr>
              <w:t>同时设有防渗罐池1个，</w:t>
            </w:r>
            <w:r>
              <w:rPr>
                <w:sz w:val="24"/>
              </w:rPr>
              <w:t>符合防渗规定。</w:t>
            </w:r>
          </w:p>
          <w:p w14:paraId="38A5DA20">
            <w:pPr>
              <w:adjustRightInd w:val="0"/>
              <w:spacing w:line="360" w:lineRule="auto"/>
              <w:ind w:firstLine="480" w:firstLineChars="200"/>
              <w:rPr>
                <w:rFonts w:hint="eastAsia"/>
                <w:sz w:val="24"/>
              </w:rPr>
            </w:pPr>
            <w:r>
              <w:rPr>
                <w:rFonts w:hint="eastAsia"/>
                <w:sz w:val="24"/>
              </w:rPr>
              <w:t>③油罐间距满足规范要求；</w:t>
            </w:r>
          </w:p>
          <w:p w14:paraId="39760B9B">
            <w:pPr>
              <w:adjustRightInd w:val="0"/>
              <w:spacing w:line="360" w:lineRule="auto"/>
              <w:ind w:firstLine="480" w:firstLineChars="200"/>
              <w:rPr>
                <w:sz w:val="24"/>
              </w:rPr>
            </w:pPr>
            <w:r>
              <w:rPr>
                <w:rFonts w:hint="eastAsia"/>
                <w:sz w:val="24"/>
              </w:rPr>
              <w:t>④汽</w:t>
            </w:r>
            <w:r>
              <w:rPr>
                <w:sz w:val="24"/>
              </w:rPr>
              <w:t>油罐</w:t>
            </w:r>
            <w:r>
              <w:rPr>
                <w:rFonts w:hint="eastAsia"/>
                <w:sz w:val="24"/>
              </w:rPr>
              <w:t>共</w:t>
            </w:r>
            <w:r>
              <w:rPr>
                <w:sz w:val="24"/>
              </w:rPr>
              <w:t>设置</w:t>
            </w:r>
            <w:r>
              <w:rPr>
                <w:rFonts w:hint="eastAsia"/>
                <w:sz w:val="24"/>
              </w:rPr>
              <w:t>2根</w:t>
            </w:r>
            <w:r>
              <w:rPr>
                <w:sz w:val="24"/>
              </w:rPr>
              <w:t>通气立管，</w:t>
            </w:r>
            <w:r>
              <w:rPr>
                <w:rFonts w:hint="eastAsia"/>
                <w:sz w:val="24"/>
              </w:rPr>
              <w:t>柴油罐</w:t>
            </w:r>
            <w:r>
              <w:rPr>
                <w:sz w:val="24"/>
              </w:rPr>
              <w:t>设置</w:t>
            </w:r>
            <w:r>
              <w:rPr>
                <w:rFonts w:hint="eastAsia"/>
                <w:sz w:val="24"/>
              </w:rPr>
              <w:t>1根</w:t>
            </w:r>
            <w:r>
              <w:rPr>
                <w:sz w:val="24"/>
              </w:rPr>
              <w:t>通气立管</w:t>
            </w:r>
            <w:r>
              <w:rPr>
                <w:rFonts w:hint="eastAsia"/>
                <w:sz w:val="24"/>
              </w:rPr>
              <w:t>，通气立管</w:t>
            </w:r>
            <w:r>
              <w:rPr>
                <w:sz w:val="24"/>
              </w:rPr>
              <w:t>高出地面4m，并安装阻火器。</w:t>
            </w:r>
          </w:p>
          <w:p w14:paraId="64C6C98D">
            <w:pPr>
              <w:adjustRightInd w:val="0"/>
              <w:spacing w:line="360" w:lineRule="auto"/>
              <w:ind w:firstLine="480" w:firstLineChars="200"/>
              <w:rPr>
                <w:rFonts w:hint="eastAsia"/>
                <w:sz w:val="24"/>
              </w:rPr>
            </w:pPr>
            <w:r>
              <w:rPr>
                <w:rFonts w:hint="eastAsia"/>
                <w:sz w:val="24"/>
              </w:rPr>
              <w:t>⑤油罐进行防雷、防静电设置。</w:t>
            </w:r>
          </w:p>
          <w:p w14:paraId="0240321C">
            <w:pPr>
              <w:adjustRightInd w:val="0"/>
              <w:snapToGrid w:val="0"/>
              <w:spacing w:line="360" w:lineRule="auto"/>
              <w:ind w:firstLine="482" w:firstLineChars="200"/>
              <w:rPr>
                <w:rFonts w:hint="eastAsia"/>
                <w:b/>
                <w:bCs/>
                <w:sz w:val="24"/>
              </w:rPr>
            </w:pPr>
            <w:r>
              <w:rPr>
                <w:rFonts w:hint="eastAsia"/>
                <w:b/>
                <w:bCs/>
                <w:sz w:val="24"/>
              </w:rPr>
              <w:t>卸油作业风险防范措施</w:t>
            </w:r>
          </w:p>
          <w:p w14:paraId="3ABF423A">
            <w:pPr>
              <w:adjustRightInd w:val="0"/>
              <w:spacing w:line="360" w:lineRule="auto"/>
              <w:ind w:firstLine="480" w:firstLineChars="200"/>
              <w:rPr>
                <w:rFonts w:hint="eastAsia"/>
                <w:sz w:val="24"/>
              </w:rPr>
            </w:pPr>
            <w:r>
              <w:rPr>
                <w:rFonts w:hint="eastAsia"/>
                <w:sz w:val="24"/>
              </w:rPr>
              <w:t>①制定卸油作业规范，对员工进行培训，要求员工严格按照卸油作业规范卸油；</w:t>
            </w:r>
          </w:p>
          <w:p w14:paraId="4EC1EC20">
            <w:pPr>
              <w:adjustRightInd w:val="0"/>
              <w:spacing w:line="360" w:lineRule="auto"/>
              <w:ind w:firstLine="480" w:firstLineChars="200"/>
              <w:rPr>
                <w:rFonts w:hint="eastAsia"/>
                <w:sz w:val="24"/>
              </w:rPr>
            </w:pPr>
            <w:r>
              <w:rPr>
                <w:rFonts w:hint="eastAsia"/>
                <w:sz w:val="24"/>
              </w:rPr>
              <w:t>②卸油作业采用油气回收系统，将挥发出来的油气通过回气管返回罐车；</w:t>
            </w:r>
          </w:p>
          <w:p w14:paraId="5AAE30D2">
            <w:pPr>
              <w:adjustRightInd w:val="0"/>
              <w:spacing w:line="360" w:lineRule="auto"/>
              <w:ind w:firstLine="480" w:firstLineChars="200"/>
              <w:rPr>
                <w:rFonts w:hint="eastAsia"/>
                <w:sz w:val="24"/>
              </w:rPr>
            </w:pPr>
            <w:r>
              <w:rPr>
                <w:rFonts w:hint="eastAsia"/>
                <w:sz w:val="24"/>
              </w:rPr>
              <w:t>③控制卸油速度，防止卸油过程静电产生，卸油前做好罐车静电接地，停止加油作业；</w:t>
            </w:r>
          </w:p>
          <w:p w14:paraId="3E5CAE33">
            <w:pPr>
              <w:adjustRightInd w:val="0"/>
              <w:spacing w:line="360" w:lineRule="auto"/>
              <w:ind w:firstLine="480" w:firstLineChars="200"/>
              <w:rPr>
                <w:sz w:val="24"/>
              </w:rPr>
            </w:pPr>
            <w:r>
              <w:rPr>
                <w:rFonts w:hint="eastAsia"/>
                <w:sz w:val="24"/>
              </w:rPr>
              <w:t>④卸油时有专人监督和监控设施，若出现泄漏事故，一般可在1min内关闭阀门并进行控制处理。</w:t>
            </w:r>
          </w:p>
          <w:p w14:paraId="1DB4DE7D">
            <w:pPr>
              <w:adjustRightInd w:val="0"/>
              <w:spacing w:line="360" w:lineRule="auto"/>
              <w:ind w:firstLine="482" w:firstLineChars="200"/>
              <w:jc w:val="left"/>
              <w:rPr>
                <w:rFonts w:hint="eastAsia"/>
                <w:b/>
                <w:bCs/>
                <w:sz w:val="24"/>
              </w:rPr>
            </w:pPr>
            <w:r>
              <w:rPr>
                <w:rFonts w:hint="eastAsia"/>
                <w:b/>
                <w:bCs/>
                <w:sz w:val="24"/>
              </w:rPr>
              <w:t>加油作业风险防范措施：</w:t>
            </w:r>
          </w:p>
          <w:p w14:paraId="767E3CED">
            <w:pPr>
              <w:adjustRightInd w:val="0"/>
              <w:spacing w:line="360" w:lineRule="auto"/>
              <w:ind w:firstLine="480" w:firstLineChars="200"/>
              <w:rPr>
                <w:rFonts w:hint="eastAsia"/>
                <w:sz w:val="24"/>
              </w:rPr>
            </w:pPr>
            <w:r>
              <w:rPr>
                <w:rFonts w:hint="eastAsia"/>
                <w:sz w:val="24"/>
              </w:rPr>
              <w:t>①制定加油作业规范，对员工进行培训，要求员工严格按照规范加油；</w:t>
            </w:r>
          </w:p>
          <w:p w14:paraId="05CEAE33">
            <w:pPr>
              <w:adjustRightInd w:val="0"/>
              <w:spacing w:line="360" w:lineRule="auto"/>
              <w:ind w:firstLine="480" w:firstLineChars="200"/>
              <w:rPr>
                <w:rFonts w:hint="eastAsia"/>
                <w:sz w:val="24"/>
              </w:rPr>
            </w:pPr>
            <w:r>
              <w:rPr>
                <w:rFonts w:hint="eastAsia"/>
                <w:sz w:val="24"/>
              </w:rPr>
              <w:t>②加油作业过程采用油气回收系统，控制加油油气回收系统气液比，并定期进行检测；</w:t>
            </w:r>
          </w:p>
          <w:p w14:paraId="7C96BC6A">
            <w:pPr>
              <w:adjustRightInd w:val="0"/>
              <w:spacing w:line="360" w:lineRule="auto"/>
              <w:ind w:firstLine="480" w:firstLineChars="200"/>
              <w:rPr>
                <w:rFonts w:hint="eastAsia"/>
                <w:sz w:val="24"/>
              </w:rPr>
            </w:pPr>
            <w:r>
              <w:rPr>
                <w:rFonts w:hint="eastAsia"/>
                <w:sz w:val="24"/>
              </w:rPr>
              <w:t>③控制加油速度，避免加油过程中静电发生；</w:t>
            </w:r>
          </w:p>
          <w:p w14:paraId="3E7D15D3">
            <w:pPr>
              <w:adjustRightInd w:val="0"/>
              <w:spacing w:line="360" w:lineRule="auto"/>
              <w:ind w:firstLine="480" w:firstLineChars="200"/>
              <w:rPr>
                <w:rFonts w:hint="eastAsia"/>
                <w:sz w:val="24"/>
              </w:rPr>
            </w:pPr>
            <w:r>
              <w:rPr>
                <w:rFonts w:hint="eastAsia"/>
                <w:sz w:val="24"/>
              </w:rPr>
              <w:t>④</w:t>
            </w:r>
            <w:r>
              <w:rPr>
                <w:sz w:val="24"/>
              </w:rPr>
              <w:t>油罐操作井、卸油口井、加油机底槽等可能发生油品渗漏的部位，均采用相应的防渗措施</w:t>
            </w:r>
            <w:r>
              <w:rPr>
                <w:rFonts w:hint="eastAsia"/>
                <w:sz w:val="24"/>
              </w:rPr>
              <w:t>；</w:t>
            </w:r>
          </w:p>
          <w:p w14:paraId="21A5C97A">
            <w:pPr>
              <w:adjustRightInd w:val="0"/>
              <w:spacing w:line="360" w:lineRule="auto"/>
              <w:ind w:firstLine="480" w:firstLineChars="200"/>
              <w:rPr>
                <w:rFonts w:hint="eastAsia"/>
                <w:sz w:val="24"/>
              </w:rPr>
            </w:pPr>
            <w:r>
              <w:rPr>
                <w:rFonts w:hint="eastAsia"/>
                <w:sz w:val="24"/>
              </w:rPr>
              <w:t>⑤出油管道</w:t>
            </w:r>
            <w:r>
              <w:rPr>
                <w:sz w:val="24"/>
              </w:rPr>
              <w:t>采用</w:t>
            </w:r>
            <w:r>
              <w:rPr>
                <w:rFonts w:hint="eastAsia"/>
                <w:sz w:val="24"/>
              </w:rPr>
              <w:t>双层复合管线</w:t>
            </w:r>
            <w:r>
              <w:rPr>
                <w:sz w:val="24"/>
              </w:rPr>
              <w:t>；</w:t>
            </w:r>
            <w:r>
              <w:rPr>
                <w:rFonts w:hint="eastAsia"/>
                <w:sz w:val="24"/>
              </w:rPr>
              <w:t>进油管线、通气管线和油气回收管线均采用</w:t>
            </w:r>
            <w:r>
              <w:rPr>
                <w:sz w:val="24"/>
              </w:rPr>
              <w:t>无缝钢管符合《输送流体用无缝钢管》（GB/T8163-2008）中要求</w:t>
            </w:r>
            <w:r>
              <w:rPr>
                <w:rFonts w:hint="eastAsia"/>
                <w:sz w:val="24"/>
              </w:rPr>
              <w:t>；</w:t>
            </w:r>
          </w:p>
          <w:p w14:paraId="51D2CF64">
            <w:pPr>
              <w:adjustRightInd w:val="0"/>
              <w:spacing w:line="360" w:lineRule="auto"/>
              <w:ind w:firstLine="480" w:firstLineChars="200"/>
              <w:rPr>
                <w:sz w:val="24"/>
              </w:rPr>
            </w:pPr>
            <w:r>
              <w:rPr>
                <w:rFonts w:hint="eastAsia"/>
                <w:sz w:val="24"/>
              </w:rPr>
              <w:t>⑥</w:t>
            </w:r>
            <w:r>
              <w:rPr>
                <w:sz w:val="24"/>
              </w:rPr>
              <w:t>加油软管设有拉断截止阀。</w:t>
            </w:r>
          </w:p>
          <w:p w14:paraId="0B0D48F9">
            <w:pPr>
              <w:adjustRightInd w:val="0"/>
              <w:spacing w:line="360" w:lineRule="auto"/>
              <w:ind w:firstLine="482" w:firstLineChars="200"/>
              <w:jc w:val="left"/>
              <w:rPr>
                <w:rFonts w:hint="eastAsia"/>
                <w:b/>
                <w:bCs/>
                <w:sz w:val="24"/>
              </w:rPr>
            </w:pPr>
            <w:r>
              <w:rPr>
                <w:rFonts w:hint="eastAsia"/>
                <w:b/>
                <w:bCs/>
                <w:sz w:val="24"/>
              </w:rPr>
              <w:t>其他风险防范措施</w:t>
            </w:r>
          </w:p>
          <w:p w14:paraId="631B6944">
            <w:pPr>
              <w:adjustRightInd w:val="0"/>
              <w:spacing w:line="360" w:lineRule="auto"/>
              <w:ind w:firstLine="480" w:firstLineChars="200"/>
              <w:rPr>
                <w:sz w:val="24"/>
              </w:rPr>
            </w:pPr>
            <w:r>
              <w:rPr>
                <w:rFonts w:hint="eastAsia"/>
                <w:sz w:val="24"/>
              </w:rPr>
              <w:t>①</w:t>
            </w:r>
            <w:r>
              <w:rPr>
                <w:sz w:val="24"/>
              </w:rPr>
              <w:t>加油站配备有灭火毯、消防沙箱、手提式干粉灭火器、推车式干粉灭火器、消防器材箱等，对每个工作人员进行了消防培训、加油站内设有禁止吸烟、禁止打手机的警示牌，严格禁止站内明火。</w:t>
            </w:r>
          </w:p>
          <w:p w14:paraId="0FA07A36">
            <w:pPr>
              <w:adjustRightInd w:val="0"/>
              <w:spacing w:line="360" w:lineRule="auto"/>
              <w:ind w:firstLine="480" w:firstLineChars="200"/>
              <w:rPr>
                <w:sz w:val="24"/>
              </w:rPr>
            </w:pPr>
            <w:r>
              <w:rPr>
                <w:rFonts w:hint="eastAsia"/>
                <w:sz w:val="24"/>
              </w:rPr>
              <w:t>②</w:t>
            </w:r>
            <w:r>
              <w:rPr>
                <w:sz w:val="24"/>
              </w:rPr>
              <w:t>定期对油品储存、输送、零售环节的设备、管道、阀门、法兰盘等进行检修、维护和保养。</w:t>
            </w:r>
          </w:p>
          <w:p w14:paraId="406B5602">
            <w:pPr>
              <w:adjustRightInd w:val="0"/>
              <w:spacing w:line="360" w:lineRule="auto"/>
              <w:ind w:firstLine="480" w:firstLineChars="200"/>
              <w:rPr>
                <w:sz w:val="24"/>
              </w:rPr>
            </w:pPr>
            <w:r>
              <w:rPr>
                <w:rFonts w:hint="eastAsia"/>
                <w:sz w:val="24"/>
              </w:rPr>
              <w:t>③</w:t>
            </w:r>
            <w:r>
              <w:rPr>
                <w:sz w:val="24"/>
              </w:rPr>
              <w:t>每天对站内电气设备、照明设施，油罐区的油罐口、量油口、卸油口、阀门、人孔等油罐附件以及卸、输油管线、防雷防静电接地接线状况等巡查不少于2次，并做好记录，一经发现油品渗漏等问题立即报告和处理。</w:t>
            </w:r>
          </w:p>
          <w:p w14:paraId="14334D69">
            <w:pPr>
              <w:adjustRightInd w:val="0"/>
              <w:spacing w:line="360" w:lineRule="auto"/>
              <w:ind w:firstLine="454"/>
              <w:rPr>
                <w:sz w:val="24"/>
              </w:rPr>
            </w:pPr>
            <w:r>
              <w:rPr>
                <w:rFonts w:hint="eastAsia"/>
                <w:sz w:val="24"/>
              </w:rPr>
              <w:t>④</w:t>
            </w:r>
            <w:r>
              <w:rPr>
                <w:sz w:val="24"/>
              </w:rPr>
              <w:t>企业注重对员工的培训和学习，开展了安全教育和消防演练，使员工了解油品易燃、易爆、易挥发、易产生静电等基本特性，了解油品火灾的特点，熟练掌握各种消防器材的使用方法和基本灭火技能。</w:t>
            </w:r>
          </w:p>
          <w:p w14:paraId="6C0BEEAC">
            <w:pPr>
              <w:adjustRightInd w:val="0"/>
              <w:spacing w:line="360" w:lineRule="auto"/>
              <w:ind w:firstLine="454"/>
              <w:rPr>
                <w:rFonts w:hint="eastAsia"/>
                <w:sz w:val="24"/>
              </w:rPr>
            </w:pPr>
            <w:r>
              <w:rPr>
                <w:rFonts w:hint="eastAsia"/>
                <w:sz w:val="24"/>
              </w:rPr>
              <w:t>⑤建议项目编制突发环境污染事故应急预案；定期组织环境风险事故演练。</w:t>
            </w:r>
          </w:p>
          <w:p w14:paraId="2CE73364">
            <w:pPr>
              <w:adjustRightInd w:val="0"/>
              <w:spacing w:line="360" w:lineRule="auto"/>
              <w:ind w:firstLine="454"/>
              <w:rPr>
                <w:rFonts w:hint="eastAsia"/>
                <w:sz w:val="24"/>
              </w:rPr>
            </w:pPr>
            <w:r>
              <w:rPr>
                <w:rFonts w:hint="eastAsia"/>
                <w:sz w:val="24"/>
              </w:rPr>
              <w:t>⑥加强风险应急知识的宣传和培训。</w:t>
            </w:r>
          </w:p>
          <w:p w14:paraId="5A9AF04F">
            <w:pPr>
              <w:adjustRightInd w:val="0"/>
              <w:spacing w:line="360" w:lineRule="auto"/>
              <w:ind w:firstLine="482" w:firstLineChars="200"/>
              <w:rPr>
                <w:rFonts w:hint="eastAsia"/>
                <w:b/>
                <w:bCs/>
                <w:sz w:val="24"/>
              </w:rPr>
            </w:pPr>
            <w:r>
              <w:rPr>
                <w:rFonts w:hint="eastAsia"/>
                <w:b/>
                <w:bCs/>
                <w:sz w:val="24"/>
              </w:rPr>
              <w:t>（5）风险事故应急预案</w:t>
            </w:r>
          </w:p>
          <w:p w14:paraId="012B7AAB">
            <w:pPr>
              <w:adjustRightInd w:val="0"/>
              <w:spacing w:line="360" w:lineRule="auto"/>
              <w:ind w:firstLine="482" w:firstLineChars="200"/>
              <w:rPr>
                <w:b/>
                <w:bCs/>
                <w:sz w:val="24"/>
              </w:rPr>
            </w:pPr>
            <w:r>
              <w:rPr>
                <w:b/>
                <w:bCs/>
                <w:sz w:val="24"/>
              </w:rPr>
              <w:t>应急反应计划</w:t>
            </w:r>
          </w:p>
          <w:p w14:paraId="3FDF8D44">
            <w:pPr>
              <w:adjustRightInd w:val="0"/>
              <w:spacing w:line="360" w:lineRule="auto"/>
              <w:ind w:firstLine="480" w:firstLineChars="200"/>
              <w:rPr>
                <w:sz w:val="24"/>
              </w:rPr>
            </w:pPr>
            <w:r>
              <w:rPr>
                <w:sz w:val="24"/>
              </w:rPr>
              <w:t>加油站是易燃易爆场所，属于重点防火部门，对加油站的安全管理应以预防为主，严密防范，从严管理，要把安全管理的切入点放在防范火灾和爆炸之上。为了及时有序的展开应急救援工作，最大限度地减少人员伤亡，财产损失和环境污染等后果。该加油站在正式投入运行前应尽快着手组建事故应急救援工作领导小组，全面负责整个站区危险化学品事故的应急救援组织工作。应急预案应采取统一指挥、分级负责、区域为主、单位自救、社会援救的原则。</w:t>
            </w:r>
          </w:p>
          <w:p w14:paraId="6797EAAB">
            <w:pPr>
              <w:adjustRightInd w:val="0"/>
              <w:spacing w:line="360" w:lineRule="auto"/>
              <w:ind w:firstLine="480" w:firstLineChars="200"/>
              <w:rPr>
                <w:sz w:val="24"/>
              </w:rPr>
            </w:pPr>
            <w:r>
              <w:rPr>
                <w:sz w:val="24"/>
              </w:rPr>
              <w:t>当该站发生泄漏或火灾爆炸后，应根据现场事故情况，建立警戒区域，并迅速将警戒区内事故处理无关人员疏散至安全地点。火灾、爆炸、有毒物质泄漏扩散等危险化学品事故的应急处置现场均应设洗消站，对应急处置过程中收集的泄漏物、消防废水等进行集中处理，对应急处置人员用过的器具进行洗消。应急救援结束后，由应急救援领导小组根据所发生危险事故的危害和影响，组建事故调查组，彻底查清事故原因，明确事故责任，总结经验教训，并根据引发事故的直接原因和间接原因，提出整改建议和措施，形成事故调查报告。</w:t>
            </w:r>
          </w:p>
          <w:p w14:paraId="2FBDB854">
            <w:pPr>
              <w:adjustRightInd w:val="0"/>
              <w:spacing w:line="360" w:lineRule="auto"/>
              <w:ind w:firstLine="480" w:firstLineChars="200"/>
              <w:rPr>
                <w:sz w:val="24"/>
              </w:rPr>
            </w:pPr>
            <w:r>
              <w:rPr>
                <w:sz w:val="24"/>
              </w:rPr>
              <w:t>拟建项目应急预案分应急监测预案和事故救援应急预案。</w:t>
            </w:r>
          </w:p>
          <w:p w14:paraId="3394B25D">
            <w:pPr>
              <w:adjustRightInd w:val="0"/>
              <w:spacing w:line="360" w:lineRule="auto"/>
              <w:ind w:firstLine="482" w:firstLineChars="200"/>
              <w:rPr>
                <w:b/>
                <w:bCs/>
                <w:sz w:val="24"/>
              </w:rPr>
            </w:pPr>
            <w:r>
              <w:rPr>
                <w:b/>
                <w:bCs/>
                <w:sz w:val="24"/>
              </w:rPr>
              <w:t>应急预案</w:t>
            </w:r>
          </w:p>
          <w:p w14:paraId="09E4914C">
            <w:pPr>
              <w:adjustRightInd w:val="0"/>
              <w:spacing w:line="360" w:lineRule="auto"/>
              <w:ind w:firstLine="480" w:firstLineChars="200"/>
              <w:rPr>
                <w:sz w:val="24"/>
              </w:rPr>
            </w:pPr>
            <w:r>
              <w:rPr>
                <w:sz w:val="24"/>
              </w:rPr>
              <w:t>应急预案是在贯彻预防为主的前提下，对建设项目可能出现的突发性事故，为及时控制危害源，抢救遇害人员，指导项目周边居民对毒物的防护或危险环境的组织撤离，为减轻和消除危害后果而组织社会救援活动的预想方案。</w:t>
            </w:r>
          </w:p>
          <w:p w14:paraId="1188ACC3">
            <w:pPr>
              <w:adjustRightInd w:val="0"/>
              <w:spacing w:line="360" w:lineRule="auto"/>
              <w:ind w:firstLine="480" w:firstLineChars="200"/>
              <w:rPr>
                <w:rFonts w:hint="eastAsia"/>
                <w:sz w:val="24"/>
              </w:rPr>
            </w:pPr>
            <w:r>
              <w:rPr>
                <w:sz w:val="24"/>
              </w:rPr>
              <w:t>根据《国家突发公众事件总体应急预案》、《国家安全事故灾难应急预案》、《国务院关于进一步加强安全生产工作的决定》、《生产经营单位安全生产事故应急预案编制导则》以及最新环境风险控制的要求，通过对污染事故的风险评价，该加油站应制定重大泄漏事故发生后的事故报警求助、事故紧急处理、事故隐患的消除及突发性事故应急方法等，并进行演练。在实施抢险中，应急救援人员按照预案所设定的分工任务，实施扑救。具体应急预案内容见表</w:t>
            </w:r>
            <w:r>
              <w:rPr>
                <w:rFonts w:hint="eastAsia"/>
                <w:sz w:val="24"/>
              </w:rPr>
              <w:t>4</w:t>
            </w:r>
            <w:r>
              <w:rPr>
                <w:sz w:val="24"/>
              </w:rPr>
              <w:t>-2</w:t>
            </w:r>
            <w:r>
              <w:rPr>
                <w:rFonts w:hint="eastAsia"/>
                <w:sz w:val="24"/>
              </w:rPr>
              <w:t>4</w:t>
            </w:r>
            <w:r>
              <w:rPr>
                <w:sz w:val="24"/>
              </w:rPr>
              <w:t>。</w:t>
            </w:r>
          </w:p>
          <w:p w14:paraId="25571652">
            <w:pPr>
              <w:pStyle w:val="68"/>
              <w:spacing w:line="240" w:lineRule="auto"/>
              <w:rPr>
                <w:rFonts w:hint="eastAsia" w:ascii="黑体" w:hAnsi="黑体" w:eastAsia="黑体" w:cs="黑体"/>
                <w:b w:val="0"/>
                <w:bCs w:val="0"/>
                <w:szCs w:val="21"/>
              </w:rPr>
            </w:pPr>
            <w:r>
              <w:rPr>
                <w:rFonts w:hint="eastAsia" w:ascii="黑体" w:hAnsi="黑体" w:eastAsia="黑体" w:cs="黑体"/>
                <w:b w:val="0"/>
                <w:bCs w:val="0"/>
                <w:szCs w:val="21"/>
              </w:rPr>
              <w:t>表4-24  应急预案内容</w:t>
            </w:r>
          </w:p>
          <w:tbl>
            <w:tblPr>
              <w:tblStyle w:val="23"/>
              <w:tblW w:w="811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20"/>
              <w:gridCol w:w="1889"/>
              <w:gridCol w:w="5610"/>
            </w:tblGrid>
            <w:tr w14:paraId="44591C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19" w:hRule="atLeast"/>
                <w:jc w:val="center"/>
              </w:trPr>
              <w:tc>
                <w:tcPr>
                  <w:tcW w:w="620" w:type="dxa"/>
                  <w:vAlign w:val="center"/>
                </w:tcPr>
                <w:p w14:paraId="36423B50">
                  <w:pPr>
                    <w:jc w:val="center"/>
                    <w:rPr>
                      <w:szCs w:val="21"/>
                    </w:rPr>
                  </w:pPr>
                  <w:r>
                    <w:rPr>
                      <w:szCs w:val="21"/>
                    </w:rPr>
                    <w:t>序号</w:t>
                  </w:r>
                </w:p>
              </w:tc>
              <w:tc>
                <w:tcPr>
                  <w:tcW w:w="1889" w:type="dxa"/>
                  <w:vAlign w:val="center"/>
                </w:tcPr>
                <w:p w14:paraId="2B334C2D">
                  <w:pPr>
                    <w:jc w:val="center"/>
                    <w:rPr>
                      <w:szCs w:val="21"/>
                    </w:rPr>
                  </w:pPr>
                  <w:r>
                    <w:rPr>
                      <w:szCs w:val="21"/>
                    </w:rPr>
                    <w:t>项目</w:t>
                  </w:r>
                </w:p>
              </w:tc>
              <w:tc>
                <w:tcPr>
                  <w:tcW w:w="5610" w:type="dxa"/>
                  <w:vAlign w:val="center"/>
                </w:tcPr>
                <w:p w14:paraId="3188EE8E">
                  <w:pPr>
                    <w:jc w:val="center"/>
                    <w:rPr>
                      <w:szCs w:val="21"/>
                    </w:rPr>
                  </w:pPr>
                  <w:r>
                    <w:rPr>
                      <w:szCs w:val="21"/>
                    </w:rPr>
                    <w:t>内容及要求</w:t>
                  </w:r>
                </w:p>
              </w:tc>
            </w:tr>
            <w:tr w14:paraId="003DFD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19" w:hRule="atLeast"/>
                <w:jc w:val="center"/>
              </w:trPr>
              <w:tc>
                <w:tcPr>
                  <w:tcW w:w="620" w:type="dxa"/>
                  <w:vAlign w:val="center"/>
                </w:tcPr>
                <w:p w14:paraId="34269DF5">
                  <w:pPr>
                    <w:jc w:val="center"/>
                    <w:rPr>
                      <w:szCs w:val="21"/>
                    </w:rPr>
                  </w:pPr>
                  <w:r>
                    <w:rPr>
                      <w:szCs w:val="21"/>
                    </w:rPr>
                    <w:t>1</w:t>
                  </w:r>
                </w:p>
              </w:tc>
              <w:tc>
                <w:tcPr>
                  <w:tcW w:w="1889" w:type="dxa"/>
                  <w:vAlign w:val="center"/>
                </w:tcPr>
                <w:p w14:paraId="4F34C739">
                  <w:pPr>
                    <w:jc w:val="center"/>
                    <w:rPr>
                      <w:szCs w:val="21"/>
                    </w:rPr>
                  </w:pPr>
                  <w:r>
                    <w:rPr>
                      <w:szCs w:val="21"/>
                    </w:rPr>
                    <w:t>应急计划区</w:t>
                  </w:r>
                </w:p>
              </w:tc>
              <w:tc>
                <w:tcPr>
                  <w:tcW w:w="5610" w:type="dxa"/>
                  <w:vAlign w:val="center"/>
                </w:tcPr>
                <w:p w14:paraId="2DAF7BC9">
                  <w:pPr>
                    <w:jc w:val="center"/>
                    <w:rPr>
                      <w:szCs w:val="21"/>
                    </w:rPr>
                  </w:pPr>
                  <w:r>
                    <w:rPr>
                      <w:szCs w:val="21"/>
                    </w:rPr>
                    <w:t>确定危险同标：加油站区域、环境风险保护目标</w:t>
                  </w:r>
                </w:p>
              </w:tc>
            </w:tr>
            <w:tr w14:paraId="5BCFC2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79" w:hRule="atLeast"/>
                <w:jc w:val="center"/>
              </w:trPr>
              <w:tc>
                <w:tcPr>
                  <w:tcW w:w="620" w:type="dxa"/>
                  <w:vAlign w:val="center"/>
                </w:tcPr>
                <w:p w14:paraId="274A8D21">
                  <w:pPr>
                    <w:jc w:val="center"/>
                    <w:rPr>
                      <w:szCs w:val="21"/>
                    </w:rPr>
                  </w:pPr>
                  <w:r>
                    <w:rPr>
                      <w:szCs w:val="21"/>
                    </w:rPr>
                    <w:t>2</w:t>
                  </w:r>
                </w:p>
              </w:tc>
              <w:tc>
                <w:tcPr>
                  <w:tcW w:w="1889" w:type="dxa"/>
                  <w:vAlign w:val="center"/>
                </w:tcPr>
                <w:p w14:paraId="170D2249">
                  <w:pPr>
                    <w:jc w:val="center"/>
                    <w:rPr>
                      <w:szCs w:val="21"/>
                    </w:rPr>
                  </w:pPr>
                  <w:r>
                    <w:rPr>
                      <w:szCs w:val="21"/>
                    </w:rPr>
                    <w:t>应急组织机构、人员</w:t>
                  </w:r>
                </w:p>
              </w:tc>
              <w:tc>
                <w:tcPr>
                  <w:tcW w:w="5610" w:type="dxa"/>
                  <w:vAlign w:val="center"/>
                </w:tcPr>
                <w:p w14:paraId="015BC6CB">
                  <w:pPr>
                    <w:jc w:val="center"/>
                    <w:rPr>
                      <w:szCs w:val="21"/>
                    </w:rPr>
                  </w:pPr>
                  <w:r>
                    <w:rPr>
                      <w:szCs w:val="21"/>
                    </w:rPr>
                    <w:t>当地应急组织机构、人员</w:t>
                  </w:r>
                </w:p>
              </w:tc>
            </w:tr>
            <w:tr w14:paraId="14E9C8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79" w:hRule="atLeast"/>
                <w:jc w:val="center"/>
              </w:trPr>
              <w:tc>
                <w:tcPr>
                  <w:tcW w:w="620" w:type="dxa"/>
                  <w:vAlign w:val="center"/>
                </w:tcPr>
                <w:p w14:paraId="59921420">
                  <w:pPr>
                    <w:jc w:val="center"/>
                    <w:rPr>
                      <w:szCs w:val="21"/>
                    </w:rPr>
                  </w:pPr>
                  <w:r>
                    <w:rPr>
                      <w:szCs w:val="21"/>
                    </w:rPr>
                    <w:t>3</w:t>
                  </w:r>
                </w:p>
              </w:tc>
              <w:tc>
                <w:tcPr>
                  <w:tcW w:w="1889" w:type="dxa"/>
                  <w:vAlign w:val="center"/>
                </w:tcPr>
                <w:p w14:paraId="0F64428A">
                  <w:pPr>
                    <w:jc w:val="center"/>
                    <w:rPr>
                      <w:szCs w:val="21"/>
                    </w:rPr>
                  </w:pPr>
                  <w:r>
                    <w:rPr>
                      <w:szCs w:val="21"/>
                    </w:rPr>
                    <w:t>预案分级响应条件</w:t>
                  </w:r>
                </w:p>
              </w:tc>
              <w:tc>
                <w:tcPr>
                  <w:tcW w:w="5610" w:type="dxa"/>
                  <w:vAlign w:val="center"/>
                </w:tcPr>
                <w:p w14:paraId="40305329">
                  <w:pPr>
                    <w:jc w:val="center"/>
                    <w:rPr>
                      <w:szCs w:val="21"/>
                    </w:rPr>
                  </w:pPr>
                  <w:r>
                    <w:rPr>
                      <w:szCs w:val="21"/>
                    </w:rPr>
                    <w:t>规定预案的级别及分级响应程序</w:t>
                  </w:r>
                </w:p>
              </w:tc>
            </w:tr>
            <w:tr w14:paraId="53EB46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79" w:hRule="atLeast"/>
                <w:jc w:val="center"/>
              </w:trPr>
              <w:tc>
                <w:tcPr>
                  <w:tcW w:w="620" w:type="dxa"/>
                  <w:vAlign w:val="center"/>
                </w:tcPr>
                <w:p w14:paraId="2789076B">
                  <w:pPr>
                    <w:jc w:val="center"/>
                    <w:rPr>
                      <w:szCs w:val="21"/>
                    </w:rPr>
                  </w:pPr>
                  <w:r>
                    <w:rPr>
                      <w:szCs w:val="21"/>
                    </w:rPr>
                    <w:t>4</w:t>
                  </w:r>
                </w:p>
              </w:tc>
              <w:tc>
                <w:tcPr>
                  <w:tcW w:w="1889" w:type="dxa"/>
                  <w:vAlign w:val="center"/>
                </w:tcPr>
                <w:p w14:paraId="6D455FF6">
                  <w:pPr>
                    <w:jc w:val="center"/>
                    <w:rPr>
                      <w:szCs w:val="21"/>
                    </w:rPr>
                  </w:pPr>
                  <w:r>
                    <w:rPr>
                      <w:szCs w:val="21"/>
                    </w:rPr>
                    <w:t>应急救援保障</w:t>
                  </w:r>
                </w:p>
              </w:tc>
              <w:tc>
                <w:tcPr>
                  <w:tcW w:w="5610" w:type="dxa"/>
                  <w:vAlign w:val="center"/>
                </w:tcPr>
                <w:p w14:paraId="3CED9DF9">
                  <w:pPr>
                    <w:jc w:val="center"/>
                    <w:rPr>
                      <w:szCs w:val="21"/>
                    </w:rPr>
                  </w:pPr>
                  <w:r>
                    <w:rPr>
                      <w:szCs w:val="21"/>
                    </w:rPr>
                    <w:t>应急设施，设备与器材等</w:t>
                  </w:r>
                </w:p>
              </w:tc>
            </w:tr>
            <w:tr w14:paraId="1F03B0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79" w:hRule="atLeast"/>
                <w:jc w:val="center"/>
              </w:trPr>
              <w:tc>
                <w:tcPr>
                  <w:tcW w:w="620" w:type="dxa"/>
                  <w:vAlign w:val="center"/>
                </w:tcPr>
                <w:p w14:paraId="5B91DE7F">
                  <w:pPr>
                    <w:jc w:val="center"/>
                    <w:rPr>
                      <w:szCs w:val="21"/>
                    </w:rPr>
                  </w:pPr>
                  <w:r>
                    <w:rPr>
                      <w:szCs w:val="21"/>
                    </w:rPr>
                    <w:t>5</w:t>
                  </w:r>
                </w:p>
              </w:tc>
              <w:tc>
                <w:tcPr>
                  <w:tcW w:w="1889" w:type="dxa"/>
                  <w:vAlign w:val="center"/>
                </w:tcPr>
                <w:p w14:paraId="202D93A7">
                  <w:pPr>
                    <w:jc w:val="center"/>
                    <w:rPr>
                      <w:szCs w:val="21"/>
                    </w:rPr>
                  </w:pPr>
                  <w:r>
                    <w:rPr>
                      <w:szCs w:val="21"/>
                    </w:rPr>
                    <w:t>报警、通讯联络方式</w:t>
                  </w:r>
                </w:p>
              </w:tc>
              <w:tc>
                <w:tcPr>
                  <w:tcW w:w="5610" w:type="dxa"/>
                  <w:vAlign w:val="center"/>
                </w:tcPr>
                <w:p w14:paraId="2313268D">
                  <w:pPr>
                    <w:jc w:val="center"/>
                    <w:rPr>
                      <w:szCs w:val="21"/>
                    </w:rPr>
                  </w:pPr>
                  <w:r>
                    <w:rPr>
                      <w:szCs w:val="21"/>
                    </w:rPr>
                    <w:t>规定应急状态下的报警方式、通知方式、交通管制</w:t>
                  </w:r>
                </w:p>
              </w:tc>
            </w:tr>
            <w:tr w14:paraId="3302C9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59" w:hRule="atLeast"/>
                <w:jc w:val="center"/>
              </w:trPr>
              <w:tc>
                <w:tcPr>
                  <w:tcW w:w="620" w:type="dxa"/>
                  <w:vAlign w:val="center"/>
                </w:tcPr>
                <w:p w14:paraId="2A9CBDF6">
                  <w:pPr>
                    <w:jc w:val="center"/>
                    <w:rPr>
                      <w:szCs w:val="21"/>
                    </w:rPr>
                  </w:pPr>
                  <w:r>
                    <w:rPr>
                      <w:szCs w:val="21"/>
                    </w:rPr>
                    <w:t>6</w:t>
                  </w:r>
                </w:p>
              </w:tc>
              <w:tc>
                <w:tcPr>
                  <w:tcW w:w="1889" w:type="dxa"/>
                  <w:vAlign w:val="center"/>
                </w:tcPr>
                <w:p w14:paraId="412E7F82">
                  <w:pPr>
                    <w:jc w:val="center"/>
                    <w:rPr>
                      <w:szCs w:val="21"/>
                    </w:rPr>
                  </w:pPr>
                  <w:r>
                    <w:rPr>
                      <w:szCs w:val="21"/>
                    </w:rPr>
                    <w:t>应急环境监测、抢险、</w:t>
                  </w:r>
                </w:p>
                <w:p w14:paraId="37CA939B">
                  <w:pPr>
                    <w:jc w:val="center"/>
                    <w:rPr>
                      <w:szCs w:val="21"/>
                    </w:rPr>
                  </w:pPr>
                  <w:r>
                    <w:rPr>
                      <w:szCs w:val="21"/>
                    </w:rPr>
                    <w:t>救援及控制措施</w:t>
                  </w:r>
                </w:p>
              </w:tc>
              <w:tc>
                <w:tcPr>
                  <w:tcW w:w="5610" w:type="dxa"/>
                  <w:vAlign w:val="center"/>
                </w:tcPr>
                <w:p w14:paraId="20EE36B9">
                  <w:pPr>
                    <w:jc w:val="center"/>
                    <w:rPr>
                      <w:szCs w:val="21"/>
                    </w:rPr>
                  </w:pPr>
                  <w:r>
                    <w:rPr>
                      <w:szCs w:val="21"/>
                    </w:rPr>
                    <w:t>由专业队伍负责对事故现场进行现状监测，对事故性质参数与、后果进行评估，为指挥部门提供决策依据</w:t>
                  </w:r>
                </w:p>
              </w:tc>
            </w:tr>
            <w:tr w14:paraId="5A8FBE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59" w:hRule="atLeast"/>
                <w:jc w:val="center"/>
              </w:trPr>
              <w:tc>
                <w:tcPr>
                  <w:tcW w:w="620" w:type="dxa"/>
                  <w:vAlign w:val="center"/>
                </w:tcPr>
                <w:p w14:paraId="609C2988">
                  <w:pPr>
                    <w:jc w:val="center"/>
                    <w:rPr>
                      <w:szCs w:val="21"/>
                    </w:rPr>
                  </w:pPr>
                  <w:r>
                    <w:rPr>
                      <w:szCs w:val="21"/>
                    </w:rPr>
                    <w:t>7</w:t>
                  </w:r>
                </w:p>
              </w:tc>
              <w:tc>
                <w:tcPr>
                  <w:tcW w:w="1889" w:type="dxa"/>
                  <w:vAlign w:val="center"/>
                </w:tcPr>
                <w:p w14:paraId="41967664">
                  <w:pPr>
                    <w:jc w:val="center"/>
                    <w:rPr>
                      <w:szCs w:val="21"/>
                    </w:rPr>
                  </w:pPr>
                  <w:r>
                    <w:rPr>
                      <w:szCs w:val="21"/>
                    </w:rPr>
                    <w:t>心急监测、防护措施、</w:t>
                  </w:r>
                </w:p>
                <w:p w14:paraId="1882C1F3">
                  <w:pPr>
                    <w:jc w:val="center"/>
                    <w:rPr>
                      <w:szCs w:val="21"/>
                    </w:rPr>
                  </w:pPr>
                  <w:r>
                    <w:rPr>
                      <w:szCs w:val="21"/>
                    </w:rPr>
                    <w:t>清除泄漏措施和器材</w:t>
                  </w:r>
                </w:p>
              </w:tc>
              <w:tc>
                <w:tcPr>
                  <w:tcW w:w="5610" w:type="dxa"/>
                  <w:vAlign w:val="center"/>
                </w:tcPr>
                <w:p w14:paraId="70CDA575">
                  <w:pPr>
                    <w:jc w:val="center"/>
                    <w:rPr>
                      <w:szCs w:val="21"/>
                    </w:rPr>
                  </w:pPr>
                  <w:r>
                    <w:rPr>
                      <w:szCs w:val="21"/>
                    </w:rPr>
                    <w:t>事故现场、邻近区域、控制防火区域，控制和清除污染措施及相应设备</w:t>
                  </w:r>
                </w:p>
              </w:tc>
            </w:tr>
            <w:tr w14:paraId="438F4F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28" w:hRule="atLeast"/>
                <w:jc w:val="center"/>
              </w:trPr>
              <w:tc>
                <w:tcPr>
                  <w:tcW w:w="620" w:type="dxa"/>
                  <w:vAlign w:val="center"/>
                </w:tcPr>
                <w:p w14:paraId="34E4B0BC">
                  <w:pPr>
                    <w:jc w:val="center"/>
                    <w:rPr>
                      <w:szCs w:val="21"/>
                    </w:rPr>
                  </w:pPr>
                  <w:r>
                    <w:rPr>
                      <w:szCs w:val="21"/>
                    </w:rPr>
                    <w:t>8</w:t>
                  </w:r>
                </w:p>
              </w:tc>
              <w:tc>
                <w:tcPr>
                  <w:tcW w:w="1889" w:type="dxa"/>
                  <w:vAlign w:val="center"/>
                </w:tcPr>
                <w:p w14:paraId="05EEE9FB">
                  <w:pPr>
                    <w:jc w:val="center"/>
                    <w:rPr>
                      <w:szCs w:val="21"/>
                    </w:rPr>
                  </w:pPr>
                  <w:r>
                    <w:rPr>
                      <w:szCs w:val="21"/>
                    </w:rPr>
                    <w:t>人员紧急撤离、疏散，应急剂量控制、撤离组织计划</w:t>
                  </w:r>
                </w:p>
              </w:tc>
              <w:tc>
                <w:tcPr>
                  <w:tcW w:w="5610" w:type="dxa"/>
                  <w:vAlign w:val="center"/>
                </w:tcPr>
                <w:p w14:paraId="1E590726">
                  <w:pPr>
                    <w:jc w:val="center"/>
                    <w:rPr>
                      <w:szCs w:val="21"/>
                    </w:rPr>
                  </w:pPr>
                  <w:r>
                    <w:rPr>
                      <w:szCs w:val="21"/>
                    </w:rPr>
                    <w:t>事故现场、加油站临近区、受事故影响的区域人员及公众对毒物应急剂量控制规定，撤离组织计划及救护，医疗救护与公众健康</w:t>
                  </w:r>
                </w:p>
              </w:tc>
            </w:tr>
            <w:tr w14:paraId="1A3446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59" w:hRule="atLeast"/>
                <w:jc w:val="center"/>
              </w:trPr>
              <w:tc>
                <w:tcPr>
                  <w:tcW w:w="620" w:type="dxa"/>
                  <w:vAlign w:val="center"/>
                </w:tcPr>
                <w:p w14:paraId="41A2983C">
                  <w:pPr>
                    <w:jc w:val="center"/>
                    <w:rPr>
                      <w:szCs w:val="21"/>
                    </w:rPr>
                  </w:pPr>
                  <w:r>
                    <w:rPr>
                      <w:szCs w:val="21"/>
                    </w:rPr>
                    <w:t>9</w:t>
                  </w:r>
                </w:p>
              </w:tc>
              <w:tc>
                <w:tcPr>
                  <w:tcW w:w="1889" w:type="dxa"/>
                  <w:vAlign w:val="center"/>
                </w:tcPr>
                <w:p w14:paraId="4EABB244">
                  <w:pPr>
                    <w:jc w:val="center"/>
                    <w:rPr>
                      <w:szCs w:val="21"/>
                    </w:rPr>
                  </w:pPr>
                  <w:r>
                    <w:rPr>
                      <w:szCs w:val="21"/>
                    </w:rPr>
                    <w:t>事故心急救援关闭</w:t>
                  </w:r>
                </w:p>
                <w:p w14:paraId="6649CF1B">
                  <w:pPr>
                    <w:jc w:val="center"/>
                    <w:rPr>
                      <w:szCs w:val="21"/>
                    </w:rPr>
                  </w:pPr>
                  <w:r>
                    <w:rPr>
                      <w:szCs w:val="21"/>
                    </w:rPr>
                    <w:t>程序与恢复措施</w:t>
                  </w:r>
                </w:p>
              </w:tc>
              <w:tc>
                <w:tcPr>
                  <w:tcW w:w="5610" w:type="dxa"/>
                  <w:vAlign w:val="center"/>
                </w:tcPr>
                <w:p w14:paraId="25F4C0FA">
                  <w:pPr>
                    <w:jc w:val="center"/>
                    <w:rPr>
                      <w:szCs w:val="21"/>
                    </w:rPr>
                  </w:pPr>
                  <w:r>
                    <w:rPr>
                      <w:szCs w:val="21"/>
                    </w:rPr>
                    <w:t>规定应急状态终止程序、事故现场善后处理，恢复措施邻近区域解除事故警戒及善后恢复措施</w:t>
                  </w:r>
                </w:p>
              </w:tc>
            </w:tr>
            <w:tr w14:paraId="537950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79" w:hRule="atLeast"/>
                <w:jc w:val="center"/>
              </w:trPr>
              <w:tc>
                <w:tcPr>
                  <w:tcW w:w="620" w:type="dxa"/>
                  <w:vAlign w:val="center"/>
                </w:tcPr>
                <w:p w14:paraId="2F63DABB">
                  <w:pPr>
                    <w:jc w:val="center"/>
                    <w:rPr>
                      <w:szCs w:val="21"/>
                    </w:rPr>
                  </w:pPr>
                  <w:r>
                    <w:rPr>
                      <w:szCs w:val="21"/>
                    </w:rPr>
                    <w:t>10</w:t>
                  </w:r>
                </w:p>
              </w:tc>
              <w:tc>
                <w:tcPr>
                  <w:tcW w:w="1889" w:type="dxa"/>
                  <w:vAlign w:val="center"/>
                </w:tcPr>
                <w:p w14:paraId="0DD9AFC6">
                  <w:pPr>
                    <w:jc w:val="center"/>
                    <w:rPr>
                      <w:szCs w:val="21"/>
                    </w:rPr>
                  </w:pPr>
                  <w:r>
                    <w:rPr>
                      <w:szCs w:val="21"/>
                    </w:rPr>
                    <w:t>心急培训计划</w:t>
                  </w:r>
                </w:p>
              </w:tc>
              <w:tc>
                <w:tcPr>
                  <w:tcW w:w="5610" w:type="dxa"/>
                  <w:vAlign w:val="center"/>
                </w:tcPr>
                <w:p w14:paraId="3C8A2189">
                  <w:pPr>
                    <w:jc w:val="center"/>
                    <w:rPr>
                      <w:szCs w:val="21"/>
                    </w:rPr>
                  </w:pPr>
                  <w:r>
                    <w:rPr>
                      <w:szCs w:val="21"/>
                    </w:rPr>
                    <w:t>应急计划制定后，平时安排人员培训与演练</w:t>
                  </w:r>
                </w:p>
              </w:tc>
            </w:tr>
            <w:tr w14:paraId="5C1549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39" w:hRule="atLeast"/>
                <w:jc w:val="center"/>
              </w:trPr>
              <w:tc>
                <w:tcPr>
                  <w:tcW w:w="620" w:type="dxa"/>
                  <w:vAlign w:val="center"/>
                </w:tcPr>
                <w:p w14:paraId="2ED0AFBE">
                  <w:pPr>
                    <w:jc w:val="center"/>
                    <w:rPr>
                      <w:szCs w:val="21"/>
                    </w:rPr>
                  </w:pPr>
                  <w:r>
                    <w:rPr>
                      <w:szCs w:val="21"/>
                    </w:rPr>
                    <w:t>11</w:t>
                  </w:r>
                </w:p>
              </w:tc>
              <w:tc>
                <w:tcPr>
                  <w:tcW w:w="1889" w:type="dxa"/>
                  <w:vAlign w:val="center"/>
                </w:tcPr>
                <w:p w14:paraId="21FA3B0C">
                  <w:pPr>
                    <w:jc w:val="center"/>
                    <w:rPr>
                      <w:szCs w:val="21"/>
                    </w:rPr>
                  </w:pPr>
                  <w:r>
                    <w:rPr>
                      <w:szCs w:val="21"/>
                    </w:rPr>
                    <w:t>公众教育和信息</w:t>
                  </w:r>
                </w:p>
              </w:tc>
              <w:tc>
                <w:tcPr>
                  <w:tcW w:w="5610" w:type="dxa"/>
                  <w:vAlign w:val="center"/>
                </w:tcPr>
                <w:p w14:paraId="207EBDDA">
                  <w:pPr>
                    <w:jc w:val="center"/>
                    <w:rPr>
                      <w:szCs w:val="21"/>
                    </w:rPr>
                  </w:pPr>
                  <w:r>
                    <w:rPr>
                      <w:szCs w:val="21"/>
                    </w:rPr>
                    <w:t>对站邻近地区开展公众教育、培训和发布有关安全自救知识</w:t>
                  </w:r>
                </w:p>
              </w:tc>
            </w:tr>
          </w:tbl>
          <w:p w14:paraId="29A48687">
            <w:pPr>
              <w:adjustRightInd w:val="0"/>
              <w:spacing w:line="360" w:lineRule="auto"/>
              <w:ind w:firstLine="482" w:firstLineChars="200"/>
              <w:rPr>
                <w:b/>
                <w:bCs/>
                <w:sz w:val="24"/>
              </w:rPr>
            </w:pPr>
            <w:r>
              <w:rPr>
                <w:b/>
                <w:bCs/>
                <w:sz w:val="24"/>
              </w:rPr>
              <w:t>应急监测</w:t>
            </w:r>
          </w:p>
          <w:p w14:paraId="4AA4906B">
            <w:pPr>
              <w:adjustRightInd w:val="0"/>
              <w:spacing w:line="360" w:lineRule="auto"/>
              <w:ind w:firstLine="480" w:firstLineChars="200"/>
              <w:jc w:val="left"/>
              <w:rPr>
                <w:sz w:val="24"/>
              </w:rPr>
            </w:pPr>
            <w:r>
              <w:rPr>
                <w:sz w:val="24"/>
              </w:rPr>
              <w:t>为有效预测和控制风险事故发生后带来的环境污染，一旦在加油站发生事故泄漏后，应立即启动站内应急响应工作流程，即一方面立即组织实施应急程序，另一方面根据险情发展态势及时上报险情，请求相关机构提供技术援助支持，对加油站周围及可能影响区域开展应急监测工作。</w:t>
            </w:r>
          </w:p>
          <w:p w14:paraId="1D123C0D">
            <w:pPr>
              <w:adjustRightInd w:val="0"/>
              <w:spacing w:line="360" w:lineRule="auto"/>
              <w:ind w:firstLine="480" w:firstLineChars="200"/>
              <w:rPr>
                <w:sz w:val="24"/>
              </w:rPr>
            </w:pPr>
            <w:r>
              <w:rPr>
                <w:sz w:val="24"/>
              </w:rPr>
              <w:t>环境应急监测人员负责监控事故现场有毒、有害，易燃爆气体浓度，合理安排现场操作人员的工作进程：负责对周边环境空气进行监测，为事故性质、参数和后果进行评估，并提出相应的建议，为指挥部门提供决策依据，也为整个事故处置工作的安全运行提供技术保障。具体监测方案见表</w:t>
            </w:r>
            <w:r>
              <w:rPr>
                <w:rFonts w:hint="eastAsia"/>
                <w:sz w:val="24"/>
              </w:rPr>
              <w:t>4</w:t>
            </w:r>
            <w:r>
              <w:rPr>
                <w:sz w:val="24"/>
              </w:rPr>
              <w:t>-2</w:t>
            </w:r>
            <w:r>
              <w:rPr>
                <w:rFonts w:hint="eastAsia"/>
                <w:sz w:val="24"/>
              </w:rPr>
              <w:t>5</w:t>
            </w:r>
            <w:r>
              <w:rPr>
                <w:sz w:val="24"/>
              </w:rPr>
              <w:t>。</w:t>
            </w:r>
          </w:p>
          <w:p w14:paraId="059AF8E1">
            <w:pPr>
              <w:pStyle w:val="68"/>
              <w:spacing w:line="240" w:lineRule="auto"/>
              <w:rPr>
                <w:rFonts w:hint="eastAsia" w:ascii="黑体" w:hAnsi="黑体" w:eastAsia="黑体" w:cs="黑体"/>
                <w:b w:val="0"/>
                <w:bCs w:val="0"/>
                <w:szCs w:val="21"/>
              </w:rPr>
            </w:pPr>
            <w:r>
              <w:rPr>
                <w:rFonts w:hint="eastAsia" w:ascii="黑体" w:hAnsi="黑体" w:eastAsia="黑体" w:cs="黑体"/>
                <w:b w:val="0"/>
                <w:bCs w:val="0"/>
                <w:szCs w:val="21"/>
              </w:rPr>
              <w:t>表4-25  风险事故应急监测方案</w:t>
            </w:r>
          </w:p>
          <w:tbl>
            <w:tblPr>
              <w:tblStyle w:val="23"/>
              <w:tblW w:w="811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94"/>
              <w:gridCol w:w="1320"/>
              <w:gridCol w:w="2179"/>
              <w:gridCol w:w="2564"/>
              <w:gridCol w:w="760"/>
            </w:tblGrid>
            <w:tr w14:paraId="664672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294" w:type="dxa"/>
                  <w:vAlign w:val="center"/>
                </w:tcPr>
                <w:p w14:paraId="29B04121">
                  <w:pPr>
                    <w:snapToGrid w:val="0"/>
                    <w:jc w:val="center"/>
                    <w:rPr>
                      <w:szCs w:val="21"/>
                    </w:rPr>
                  </w:pPr>
                  <w:r>
                    <w:rPr>
                      <w:szCs w:val="21"/>
                    </w:rPr>
                    <w:t>事故类型</w:t>
                  </w:r>
                </w:p>
              </w:tc>
              <w:tc>
                <w:tcPr>
                  <w:tcW w:w="1320" w:type="dxa"/>
                  <w:vAlign w:val="center"/>
                </w:tcPr>
                <w:p w14:paraId="3EB88969">
                  <w:pPr>
                    <w:snapToGrid w:val="0"/>
                    <w:jc w:val="center"/>
                    <w:rPr>
                      <w:szCs w:val="21"/>
                    </w:rPr>
                  </w:pPr>
                  <w:r>
                    <w:rPr>
                      <w:szCs w:val="21"/>
                    </w:rPr>
                    <w:t>影响环节</w:t>
                  </w:r>
                </w:p>
              </w:tc>
              <w:tc>
                <w:tcPr>
                  <w:tcW w:w="2179" w:type="dxa"/>
                  <w:vAlign w:val="center"/>
                </w:tcPr>
                <w:p w14:paraId="32D7B51F">
                  <w:pPr>
                    <w:snapToGrid w:val="0"/>
                    <w:jc w:val="center"/>
                    <w:rPr>
                      <w:szCs w:val="21"/>
                    </w:rPr>
                  </w:pPr>
                  <w:r>
                    <w:rPr>
                      <w:szCs w:val="21"/>
                    </w:rPr>
                    <w:t>监测因子</w:t>
                  </w:r>
                </w:p>
              </w:tc>
              <w:tc>
                <w:tcPr>
                  <w:tcW w:w="2564" w:type="dxa"/>
                  <w:vAlign w:val="center"/>
                </w:tcPr>
                <w:p w14:paraId="53440EC0">
                  <w:pPr>
                    <w:snapToGrid w:val="0"/>
                    <w:jc w:val="center"/>
                    <w:rPr>
                      <w:szCs w:val="21"/>
                    </w:rPr>
                  </w:pPr>
                  <w:r>
                    <w:rPr>
                      <w:szCs w:val="21"/>
                    </w:rPr>
                    <w:t>监测位置</w:t>
                  </w:r>
                </w:p>
              </w:tc>
              <w:tc>
                <w:tcPr>
                  <w:tcW w:w="760" w:type="dxa"/>
                  <w:vAlign w:val="center"/>
                </w:tcPr>
                <w:p w14:paraId="19DBED35">
                  <w:pPr>
                    <w:snapToGrid w:val="0"/>
                    <w:jc w:val="center"/>
                    <w:rPr>
                      <w:szCs w:val="21"/>
                    </w:rPr>
                  </w:pPr>
                  <w:r>
                    <w:rPr>
                      <w:szCs w:val="21"/>
                    </w:rPr>
                    <w:t>备注</w:t>
                  </w:r>
                </w:p>
              </w:tc>
            </w:tr>
            <w:tr w14:paraId="127BD6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294" w:type="dxa"/>
                  <w:vMerge w:val="restart"/>
                  <w:vAlign w:val="center"/>
                </w:tcPr>
                <w:p w14:paraId="7E208381">
                  <w:pPr>
                    <w:snapToGrid w:val="0"/>
                    <w:jc w:val="center"/>
                    <w:rPr>
                      <w:szCs w:val="21"/>
                    </w:rPr>
                  </w:pPr>
                  <w:r>
                    <w:rPr>
                      <w:szCs w:val="21"/>
                    </w:rPr>
                    <w:t>泄漏</w:t>
                  </w:r>
                </w:p>
              </w:tc>
              <w:tc>
                <w:tcPr>
                  <w:tcW w:w="1320" w:type="dxa"/>
                  <w:vAlign w:val="center"/>
                </w:tcPr>
                <w:p w14:paraId="1AD30C27">
                  <w:pPr>
                    <w:snapToGrid w:val="0"/>
                    <w:jc w:val="center"/>
                    <w:rPr>
                      <w:szCs w:val="21"/>
                    </w:rPr>
                  </w:pPr>
                  <w:r>
                    <w:rPr>
                      <w:szCs w:val="21"/>
                    </w:rPr>
                    <w:t>地表水</w:t>
                  </w:r>
                </w:p>
              </w:tc>
              <w:tc>
                <w:tcPr>
                  <w:tcW w:w="2179" w:type="dxa"/>
                  <w:vAlign w:val="center"/>
                </w:tcPr>
                <w:p w14:paraId="2226D110">
                  <w:pPr>
                    <w:snapToGrid w:val="0"/>
                    <w:jc w:val="center"/>
                    <w:rPr>
                      <w:szCs w:val="21"/>
                    </w:rPr>
                  </w:pPr>
                  <w:r>
                    <w:rPr>
                      <w:szCs w:val="21"/>
                    </w:rPr>
                    <w:t>COD、SS、石油类</w:t>
                  </w:r>
                </w:p>
              </w:tc>
              <w:tc>
                <w:tcPr>
                  <w:tcW w:w="2564" w:type="dxa"/>
                  <w:vAlign w:val="center"/>
                </w:tcPr>
                <w:p w14:paraId="38BB60C5">
                  <w:pPr>
                    <w:snapToGrid w:val="0"/>
                    <w:jc w:val="center"/>
                    <w:rPr>
                      <w:szCs w:val="21"/>
                    </w:rPr>
                  </w:pPr>
                  <w:r>
                    <w:rPr>
                      <w:szCs w:val="21"/>
                    </w:rPr>
                    <w:t>建议在加油站附近的地表水体设点监测</w:t>
                  </w:r>
                </w:p>
              </w:tc>
              <w:tc>
                <w:tcPr>
                  <w:tcW w:w="760" w:type="dxa"/>
                  <w:vAlign w:val="center"/>
                </w:tcPr>
                <w:p w14:paraId="6925B80A">
                  <w:pPr>
                    <w:snapToGrid w:val="0"/>
                    <w:jc w:val="center"/>
                    <w:rPr>
                      <w:szCs w:val="21"/>
                    </w:rPr>
                  </w:pPr>
                  <w:r>
                    <w:rPr>
                      <w:szCs w:val="21"/>
                    </w:rPr>
                    <w:t>/</w:t>
                  </w:r>
                </w:p>
              </w:tc>
            </w:tr>
            <w:tr w14:paraId="26FF98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76" w:hRule="atLeast"/>
                <w:jc w:val="center"/>
              </w:trPr>
              <w:tc>
                <w:tcPr>
                  <w:tcW w:w="1294" w:type="dxa"/>
                  <w:vMerge w:val="continue"/>
                  <w:vAlign w:val="center"/>
                </w:tcPr>
                <w:p w14:paraId="2967F9ED">
                  <w:pPr>
                    <w:jc w:val="center"/>
                    <w:rPr>
                      <w:szCs w:val="21"/>
                    </w:rPr>
                  </w:pPr>
                </w:p>
              </w:tc>
              <w:tc>
                <w:tcPr>
                  <w:tcW w:w="1320" w:type="dxa"/>
                  <w:vAlign w:val="center"/>
                </w:tcPr>
                <w:p w14:paraId="64A95572">
                  <w:pPr>
                    <w:jc w:val="center"/>
                    <w:rPr>
                      <w:szCs w:val="21"/>
                    </w:rPr>
                  </w:pPr>
                  <w:r>
                    <w:rPr>
                      <w:szCs w:val="21"/>
                    </w:rPr>
                    <w:t>地下水</w:t>
                  </w:r>
                </w:p>
              </w:tc>
              <w:tc>
                <w:tcPr>
                  <w:tcW w:w="2179" w:type="dxa"/>
                  <w:vAlign w:val="center"/>
                </w:tcPr>
                <w:p w14:paraId="45FADC23">
                  <w:pPr>
                    <w:jc w:val="center"/>
                    <w:rPr>
                      <w:szCs w:val="21"/>
                    </w:rPr>
                  </w:pPr>
                  <w:r>
                    <w:rPr>
                      <w:szCs w:val="21"/>
                    </w:rPr>
                    <w:t>石油类</w:t>
                  </w:r>
                </w:p>
              </w:tc>
              <w:tc>
                <w:tcPr>
                  <w:tcW w:w="2564" w:type="dxa"/>
                  <w:vAlign w:val="center"/>
                </w:tcPr>
                <w:p w14:paraId="28D9DF9F">
                  <w:pPr>
                    <w:jc w:val="center"/>
                    <w:rPr>
                      <w:szCs w:val="21"/>
                    </w:rPr>
                  </w:pPr>
                  <w:r>
                    <w:rPr>
                      <w:szCs w:val="21"/>
                    </w:rPr>
                    <w:t>跟踪监测井</w:t>
                  </w:r>
                </w:p>
              </w:tc>
              <w:tc>
                <w:tcPr>
                  <w:tcW w:w="760" w:type="dxa"/>
                  <w:vAlign w:val="center"/>
                </w:tcPr>
                <w:p w14:paraId="1855208D">
                  <w:pPr>
                    <w:jc w:val="center"/>
                    <w:rPr>
                      <w:szCs w:val="21"/>
                    </w:rPr>
                  </w:pPr>
                  <w:r>
                    <w:rPr>
                      <w:szCs w:val="21"/>
                    </w:rPr>
                    <w:t>/</w:t>
                  </w:r>
                </w:p>
              </w:tc>
            </w:tr>
            <w:tr w14:paraId="36C2B0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76" w:hRule="atLeast"/>
                <w:jc w:val="center"/>
              </w:trPr>
              <w:tc>
                <w:tcPr>
                  <w:tcW w:w="1294" w:type="dxa"/>
                  <w:vMerge w:val="continue"/>
                  <w:vAlign w:val="center"/>
                </w:tcPr>
                <w:p w14:paraId="2B1C0695">
                  <w:pPr>
                    <w:jc w:val="center"/>
                    <w:rPr>
                      <w:szCs w:val="21"/>
                    </w:rPr>
                  </w:pPr>
                </w:p>
              </w:tc>
              <w:tc>
                <w:tcPr>
                  <w:tcW w:w="1320" w:type="dxa"/>
                  <w:vAlign w:val="center"/>
                </w:tcPr>
                <w:p w14:paraId="2E20E627">
                  <w:pPr>
                    <w:jc w:val="center"/>
                    <w:rPr>
                      <w:szCs w:val="21"/>
                    </w:rPr>
                  </w:pPr>
                  <w:r>
                    <w:rPr>
                      <w:szCs w:val="21"/>
                    </w:rPr>
                    <w:t>环境空气</w:t>
                  </w:r>
                </w:p>
              </w:tc>
              <w:tc>
                <w:tcPr>
                  <w:tcW w:w="2179" w:type="dxa"/>
                  <w:vAlign w:val="center"/>
                </w:tcPr>
                <w:p w14:paraId="1677F073">
                  <w:pPr>
                    <w:jc w:val="center"/>
                    <w:rPr>
                      <w:szCs w:val="21"/>
                    </w:rPr>
                  </w:pPr>
                  <w:r>
                    <w:rPr>
                      <w:szCs w:val="21"/>
                    </w:rPr>
                    <w:t>非甲烷总烃</w:t>
                  </w:r>
                </w:p>
              </w:tc>
              <w:tc>
                <w:tcPr>
                  <w:tcW w:w="2564" w:type="dxa"/>
                  <w:vAlign w:val="center"/>
                </w:tcPr>
                <w:p w14:paraId="12BE97FF">
                  <w:pPr>
                    <w:jc w:val="center"/>
                    <w:rPr>
                      <w:szCs w:val="21"/>
                    </w:rPr>
                  </w:pPr>
                  <w:r>
                    <w:rPr>
                      <w:szCs w:val="21"/>
                    </w:rPr>
                    <w:t>场界下风向10m处</w:t>
                  </w:r>
                </w:p>
              </w:tc>
              <w:tc>
                <w:tcPr>
                  <w:tcW w:w="760" w:type="dxa"/>
                  <w:vAlign w:val="center"/>
                </w:tcPr>
                <w:p w14:paraId="57B74689">
                  <w:pPr>
                    <w:jc w:val="center"/>
                    <w:rPr>
                      <w:szCs w:val="21"/>
                    </w:rPr>
                  </w:pPr>
                  <w:r>
                    <w:rPr>
                      <w:szCs w:val="21"/>
                    </w:rPr>
                    <w:t>/</w:t>
                  </w:r>
                </w:p>
              </w:tc>
            </w:tr>
            <w:tr w14:paraId="6F922E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35" w:hRule="atLeast"/>
                <w:jc w:val="center"/>
              </w:trPr>
              <w:tc>
                <w:tcPr>
                  <w:tcW w:w="1294" w:type="dxa"/>
                  <w:vMerge w:val="continue"/>
                  <w:vAlign w:val="center"/>
                </w:tcPr>
                <w:p w14:paraId="15E83513">
                  <w:pPr>
                    <w:jc w:val="center"/>
                    <w:rPr>
                      <w:szCs w:val="21"/>
                    </w:rPr>
                  </w:pPr>
                </w:p>
              </w:tc>
              <w:tc>
                <w:tcPr>
                  <w:tcW w:w="1320" w:type="dxa"/>
                  <w:vAlign w:val="center"/>
                </w:tcPr>
                <w:p w14:paraId="7E703139">
                  <w:pPr>
                    <w:jc w:val="center"/>
                    <w:rPr>
                      <w:szCs w:val="21"/>
                    </w:rPr>
                  </w:pPr>
                  <w:r>
                    <w:rPr>
                      <w:rFonts w:hint="eastAsia"/>
                      <w:szCs w:val="21"/>
                    </w:rPr>
                    <w:t>土壤</w:t>
                  </w:r>
                </w:p>
              </w:tc>
              <w:tc>
                <w:tcPr>
                  <w:tcW w:w="2179" w:type="dxa"/>
                  <w:vAlign w:val="center"/>
                </w:tcPr>
                <w:p w14:paraId="2919BD77">
                  <w:pPr>
                    <w:jc w:val="center"/>
                    <w:rPr>
                      <w:szCs w:val="21"/>
                    </w:rPr>
                  </w:pPr>
                  <w:r>
                    <w:rPr>
                      <w:rFonts w:hint="eastAsia"/>
                      <w:szCs w:val="21"/>
                    </w:rPr>
                    <w:t>石油烃</w:t>
                  </w:r>
                </w:p>
              </w:tc>
              <w:tc>
                <w:tcPr>
                  <w:tcW w:w="2564" w:type="dxa"/>
                  <w:vAlign w:val="center"/>
                </w:tcPr>
                <w:p w14:paraId="16F52C06">
                  <w:pPr>
                    <w:jc w:val="center"/>
                    <w:rPr>
                      <w:szCs w:val="21"/>
                    </w:rPr>
                  </w:pPr>
                  <w:r>
                    <w:rPr>
                      <w:rFonts w:hint="eastAsia"/>
                      <w:szCs w:val="21"/>
                      <w:lang w:eastAsia="zh-CN"/>
                    </w:rPr>
                    <w:t>泄漏</w:t>
                  </w:r>
                  <w:r>
                    <w:rPr>
                      <w:rFonts w:hint="eastAsia"/>
                      <w:szCs w:val="21"/>
                    </w:rPr>
                    <w:t>位置附近</w:t>
                  </w:r>
                </w:p>
              </w:tc>
              <w:tc>
                <w:tcPr>
                  <w:tcW w:w="760" w:type="dxa"/>
                  <w:vAlign w:val="center"/>
                </w:tcPr>
                <w:p w14:paraId="78C3A89D">
                  <w:pPr>
                    <w:jc w:val="center"/>
                    <w:rPr>
                      <w:szCs w:val="21"/>
                    </w:rPr>
                  </w:pPr>
                </w:p>
              </w:tc>
            </w:tr>
          </w:tbl>
          <w:p w14:paraId="5C830CDD">
            <w:pPr>
              <w:adjustRightInd w:val="0"/>
              <w:spacing w:line="360" w:lineRule="auto"/>
              <w:ind w:firstLine="482" w:firstLineChars="200"/>
              <w:rPr>
                <w:rFonts w:hint="eastAsia"/>
                <w:b/>
                <w:bCs/>
                <w:sz w:val="24"/>
              </w:rPr>
            </w:pPr>
            <w:r>
              <w:rPr>
                <w:rFonts w:hint="eastAsia"/>
                <w:b/>
                <w:bCs/>
                <w:sz w:val="24"/>
              </w:rPr>
              <w:t>（6）风险评估及应急预案要求</w:t>
            </w:r>
          </w:p>
          <w:p w14:paraId="581F5C53">
            <w:pPr>
              <w:adjustRightInd w:val="0"/>
              <w:spacing w:line="360" w:lineRule="auto"/>
              <w:ind w:firstLine="480" w:firstLineChars="200"/>
              <w:jc w:val="left"/>
              <w:rPr>
                <w:sz w:val="24"/>
              </w:rPr>
            </w:pPr>
            <w:r>
              <w:rPr>
                <w:rFonts w:hint="eastAsia"/>
                <w:sz w:val="24"/>
              </w:rPr>
              <w:t>拟建项目应建立环境风险防控和应急措施制度，明确环境风险防控的重点岗位的责任人或责任机构，定期巡检和维护责任制度落实。企业注重安全生产方面的工作，组织人员在安全生产、环境风险管理等方面进行较为详细的规定，并编制较完备的管理制度。</w:t>
            </w:r>
            <w:r>
              <w:rPr>
                <w:sz w:val="24"/>
              </w:rPr>
              <w:t>建设单位应根据相关规范要求编制突发环境事件风险评估和突发环境事件应急预案，并在项目建成投产前报当地环保主管部门备案。</w:t>
            </w:r>
          </w:p>
          <w:p w14:paraId="29A8D2EF">
            <w:pPr>
              <w:pStyle w:val="2"/>
              <w:rPr>
                <w:rFonts w:hint="eastAsia"/>
              </w:rPr>
            </w:pPr>
          </w:p>
          <w:p w14:paraId="4A114589">
            <w:pPr>
              <w:rPr>
                <w:rFonts w:hint="eastAsia"/>
              </w:rPr>
            </w:pPr>
          </w:p>
          <w:p w14:paraId="5965C5E3">
            <w:pPr>
              <w:pStyle w:val="2"/>
              <w:rPr>
                <w:rFonts w:hint="eastAsia"/>
              </w:rPr>
            </w:pPr>
          </w:p>
          <w:p w14:paraId="6E27A054">
            <w:pPr>
              <w:pStyle w:val="2"/>
              <w:rPr>
                <w:rFonts w:hint="eastAsia"/>
              </w:rPr>
            </w:pPr>
          </w:p>
          <w:p w14:paraId="1B88351C">
            <w:pPr>
              <w:pStyle w:val="2"/>
              <w:rPr>
                <w:rFonts w:hint="eastAsia"/>
              </w:rPr>
            </w:pPr>
          </w:p>
          <w:p w14:paraId="13840549">
            <w:pPr>
              <w:pStyle w:val="2"/>
              <w:rPr>
                <w:rFonts w:hint="eastAsia"/>
              </w:rPr>
            </w:pPr>
          </w:p>
          <w:p w14:paraId="3E78D038">
            <w:pPr>
              <w:pStyle w:val="2"/>
              <w:rPr>
                <w:rFonts w:hint="eastAsia"/>
              </w:rPr>
            </w:pPr>
          </w:p>
          <w:p w14:paraId="6AE05BF9">
            <w:pPr>
              <w:pStyle w:val="2"/>
              <w:rPr>
                <w:rFonts w:hint="eastAsia"/>
              </w:rPr>
            </w:pPr>
          </w:p>
          <w:p w14:paraId="6516C9D5">
            <w:pPr>
              <w:pStyle w:val="2"/>
              <w:rPr>
                <w:rFonts w:hint="eastAsia"/>
              </w:rPr>
            </w:pPr>
          </w:p>
          <w:p w14:paraId="39633D92">
            <w:pPr>
              <w:pStyle w:val="2"/>
              <w:rPr>
                <w:rFonts w:hint="eastAsia"/>
              </w:rPr>
            </w:pPr>
          </w:p>
          <w:p w14:paraId="3A85F5E5">
            <w:pPr>
              <w:pStyle w:val="2"/>
              <w:rPr>
                <w:rFonts w:hint="eastAsia"/>
              </w:rPr>
            </w:pPr>
          </w:p>
          <w:p w14:paraId="13D1345C">
            <w:pPr>
              <w:pStyle w:val="2"/>
              <w:rPr>
                <w:rFonts w:hint="eastAsia"/>
              </w:rPr>
            </w:pPr>
          </w:p>
          <w:p w14:paraId="1C5EB132">
            <w:pPr>
              <w:pStyle w:val="2"/>
              <w:rPr>
                <w:rFonts w:hint="eastAsia"/>
              </w:rPr>
            </w:pPr>
          </w:p>
          <w:p w14:paraId="4680D342">
            <w:pPr>
              <w:pStyle w:val="2"/>
              <w:rPr>
                <w:rFonts w:hint="eastAsia"/>
              </w:rPr>
            </w:pPr>
          </w:p>
          <w:p w14:paraId="665E5251">
            <w:pPr>
              <w:pStyle w:val="2"/>
              <w:rPr>
                <w:rFonts w:hint="eastAsia"/>
              </w:rPr>
            </w:pPr>
          </w:p>
          <w:p w14:paraId="312288BA">
            <w:pPr>
              <w:pStyle w:val="2"/>
              <w:rPr>
                <w:rFonts w:hint="eastAsia"/>
              </w:rPr>
            </w:pPr>
          </w:p>
          <w:p w14:paraId="560264E4">
            <w:pPr>
              <w:pStyle w:val="2"/>
              <w:rPr>
                <w:rFonts w:hint="eastAsia"/>
              </w:rPr>
            </w:pPr>
          </w:p>
          <w:p w14:paraId="19E26D78">
            <w:pPr>
              <w:pStyle w:val="2"/>
              <w:rPr>
                <w:rFonts w:hint="eastAsia"/>
              </w:rPr>
            </w:pPr>
          </w:p>
          <w:p w14:paraId="170ED362">
            <w:pPr>
              <w:pStyle w:val="2"/>
              <w:rPr>
                <w:rFonts w:hint="eastAsia"/>
              </w:rPr>
            </w:pPr>
          </w:p>
          <w:p w14:paraId="17D0CE8A">
            <w:pPr>
              <w:pStyle w:val="2"/>
              <w:rPr>
                <w:rFonts w:hint="eastAsia"/>
              </w:rPr>
            </w:pPr>
          </w:p>
          <w:p w14:paraId="0CCA7EB2">
            <w:pPr>
              <w:pStyle w:val="2"/>
              <w:rPr>
                <w:rFonts w:hint="eastAsia"/>
              </w:rPr>
            </w:pPr>
          </w:p>
          <w:p w14:paraId="7369B376">
            <w:pPr>
              <w:pStyle w:val="2"/>
              <w:rPr>
                <w:rFonts w:hint="eastAsia"/>
              </w:rPr>
            </w:pPr>
          </w:p>
          <w:p w14:paraId="573A22FD">
            <w:pPr>
              <w:pStyle w:val="2"/>
              <w:rPr>
                <w:rFonts w:hint="eastAsia"/>
              </w:rPr>
            </w:pPr>
          </w:p>
          <w:p w14:paraId="216CA0FB">
            <w:pPr>
              <w:pStyle w:val="2"/>
              <w:rPr>
                <w:rFonts w:hint="eastAsia"/>
              </w:rPr>
            </w:pPr>
          </w:p>
        </w:tc>
      </w:tr>
    </w:tbl>
    <w:p w14:paraId="5B1D2FCF">
      <w:pPr>
        <w:adjustRightInd w:val="0"/>
        <w:snapToGrid w:val="0"/>
        <w:spacing w:line="360" w:lineRule="auto"/>
        <w:rPr>
          <w:rFonts w:hint="eastAsia" w:ascii="宋体" w:cs="宋体"/>
          <w:b/>
          <w:kern w:val="0"/>
          <w:sz w:val="28"/>
          <w:szCs w:val="28"/>
        </w:rPr>
        <w:sectPr>
          <w:pgSz w:w="11907" w:h="16840"/>
          <w:pgMar w:top="1701" w:right="1531" w:bottom="2127" w:left="1531" w:header="851" w:footer="851" w:gutter="0"/>
          <w:cols w:space="720" w:num="1"/>
          <w:docGrid w:linePitch="312" w:charSpace="0"/>
        </w:sectPr>
      </w:pPr>
    </w:p>
    <w:p w14:paraId="244E53D1">
      <w:pPr>
        <w:pStyle w:val="21"/>
        <w:jc w:val="center"/>
        <w:outlineLvl w:val="0"/>
        <w:rPr>
          <w:rFonts w:ascii="黑体" w:hAnsi="黑体" w:eastAsia="黑体"/>
          <w:snapToGrid w:val="0"/>
          <w:sz w:val="30"/>
          <w:szCs w:val="30"/>
        </w:rPr>
      </w:pPr>
      <w:r>
        <w:rPr>
          <w:rFonts w:hint="eastAsia" w:ascii="黑体" w:hAnsi="黑体" w:eastAsia="黑体"/>
          <w:snapToGrid w:val="0"/>
          <w:sz w:val="30"/>
          <w:szCs w:val="30"/>
        </w:rPr>
        <w:t>五、</w:t>
      </w:r>
      <w:bookmarkStart w:id="4" w:name="_Hlk54167917"/>
      <w:r>
        <w:rPr>
          <w:rFonts w:hint="eastAsia" w:ascii="黑体" w:hAnsi="黑体" w:eastAsia="黑体"/>
          <w:snapToGrid w:val="0"/>
          <w:sz w:val="30"/>
          <w:szCs w:val="30"/>
        </w:rPr>
        <w:t>环境保护措施监督检查清单</w:t>
      </w:r>
      <w:bookmarkEnd w:id="4"/>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12"/>
        <w:gridCol w:w="1701"/>
        <w:gridCol w:w="1418"/>
        <w:gridCol w:w="2383"/>
        <w:gridCol w:w="2186"/>
      </w:tblGrid>
      <w:tr w14:paraId="028825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12" w:type="dxa"/>
            <w:tcBorders>
              <w:tl2br w:val="single" w:color="auto" w:sz="4" w:space="0"/>
            </w:tcBorders>
          </w:tcPr>
          <w:p w14:paraId="666AB9BB">
            <w:pPr>
              <w:adjustRightInd w:val="0"/>
              <w:snapToGrid w:val="0"/>
              <w:jc w:val="right"/>
              <w:rPr>
                <w:sz w:val="24"/>
              </w:rPr>
            </w:pPr>
            <w:r>
              <w:rPr>
                <w:sz w:val="24"/>
              </w:rPr>
              <w:t>内容</w:t>
            </w:r>
          </w:p>
          <w:p w14:paraId="466D4784">
            <w:pPr>
              <w:adjustRightInd w:val="0"/>
              <w:snapToGrid w:val="0"/>
              <w:rPr>
                <w:sz w:val="24"/>
              </w:rPr>
            </w:pPr>
            <w:r>
              <w:rPr>
                <w:sz w:val="24"/>
              </w:rPr>
              <w:t>要素</w:t>
            </w:r>
          </w:p>
        </w:tc>
        <w:tc>
          <w:tcPr>
            <w:tcW w:w="1701" w:type="dxa"/>
            <w:vAlign w:val="center"/>
          </w:tcPr>
          <w:p w14:paraId="19EA824C">
            <w:pPr>
              <w:adjustRightInd w:val="0"/>
              <w:snapToGrid w:val="0"/>
              <w:jc w:val="center"/>
              <w:rPr>
                <w:sz w:val="24"/>
              </w:rPr>
            </w:pPr>
            <w:r>
              <w:rPr>
                <w:sz w:val="24"/>
              </w:rPr>
              <w:t>排放口(编号、</w:t>
            </w:r>
          </w:p>
          <w:p w14:paraId="7F1032B6">
            <w:pPr>
              <w:adjustRightInd w:val="0"/>
              <w:snapToGrid w:val="0"/>
              <w:jc w:val="center"/>
              <w:rPr>
                <w:sz w:val="24"/>
              </w:rPr>
            </w:pPr>
            <w:r>
              <w:rPr>
                <w:sz w:val="24"/>
              </w:rPr>
              <w:t>名称)/污染源</w:t>
            </w:r>
          </w:p>
        </w:tc>
        <w:tc>
          <w:tcPr>
            <w:tcW w:w="1418" w:type="dxa"/>
            <w:vAlign w:val="center"/>
          </w:tcPr>
          <w:p w14:paraId="1F52F2C0">
            <w:pPr>
              <w:adjustRightInd w:val="0"/>
              <w:snapToGrid w:val="0"/>
              <w:jc w:val="center"/>
              <w:rPr>
                <w:sz w:val="24"/>
              </w:rPr>
            </w:pPr>
            <w:r>
              <w:rPr>
                <w:sz w:val="24"/>
              </w:rPr>
              <w:t>污染物项目</w:t>
            </w:r>
          </w:p>
        </w:tc>
        <w:tc>
          <w:tcPr>
            <w:tcW w:w="2383" w:type="dxa"/>
            <w:vAlign w:val="center"/>
          </w:tcPr>
          <w:p w14:paraId="38E9235E">
            <w:pPr>
              <w:adjustRightInd w:val="0"/>
              <w:snapToGrid w:val="0"/>
              <w:jc w:val="center"/>
              <w:rPr>
                <w:sz w:val="24"/>
              </w:rPr>
            </w:pPr>
            <w:r>
              <w:rPr>
                <w:sz w:val="24"/>
              </w:rPr>
              <w:t>环境保护措施</w:t>
            </w:r>
          </w:p>
        </w:tc>
        <w:tc>
          <w:tcPr>
            <w:tcW w:w="2186" w:type="dxa"/>
            <w:vAlign w:val="center"/>
          </w:tcPr>
          <w:p w14:paraId="756751AC">
            <w:pPr>
              <w:adjustRightInd w:val="0"/>
              <w:snapToGrid w:val="0"/>
              <w:jc w:val="center"/>
              <w:rPr>
                <w:sz w:val="24"/>
              </w:rPr>
            </w:pPr>
            <w:r>
              <w:rPr>
                <w:sz w:val="24"/>
              </w:rPr>
              <w:t>执行标准</w:t>
            </w:r>
          </w:p>
        </w:tc>
      </w:tr>
      <w:tr w14:paraId="64723C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67" w:hRule="atLeast"/>
          <w:jc w:val="center"/>
        </w:trPr>
        <w:tc>
          <w:tcPr>
            <w:tcW w:w="1112" w:type="dxa"/>
            <w:vMerge w:val="restart"/>
            <w:vAlign w:val="center"/>
          </w:tcPr>
          <w:p w14:paraId="739690C9">
            <w:pPr>
              <w:adjustRightInd w:val="0"/>
              <w:snapToGrid w:val="0"/>
              <w:jc w:val="center"/>
              <w:rPr>
                <w:sz w:val="24"/>
              </w:rPr>
            </w:pPr>
            <w:r>
              <w:rPr>
                <w:sz w:val="24"/>
              </w:rPr>
              <w:t>大气环境</w:t>
            </w:r>
          </w:p>
        </w:tc>
        <w:tc>
          <w:tcPr>
            <w:tcW w:w="1701" w:type="dxa"/>
            <w:vAlign w:val="center"/>
          </w:tcPr>
          <w:p w14:paraId="7320E978">
            <w:pPr>
              <w:adjustRightInd w:val="0"/>
              <w:snapToGrid w:val="0"/>
              <w:jc w:val="center"/>
              <w:rPr>
                <w:sz w:val="24"/>
              </w:rPr>
            </w:pPr>
            <w:r>
              <w:rPr>
                <w:rFonts w:hint="eastAsia"/>
                <w:sz w:val="24"/>
              </w:rPr>
              <w:t>加油区、油罐区</w:t>
            </w:r>
          </w:p>
        </w:tc>
        <w:tc>
          <w:tcPr>
            <w:tcW w:w="1418" w:type="dxa"/>
            <w:vAlign w:val="center"/>
          </w:tcPr>
          <w:p w14:paraId="7A178DB2">
            <w:pPr>
              <w:adjustRightInd w:val="0"/>
              <w:snapToGrid w:val="0"/>
              <w:jc w:val="center"/>
              <w:rPr>
                <w:sz w:val="24"/>
              </w:rPr>
            </w:pPr>
            <w:r>
              <w:rPr>
                <w:sz w:val="24"/>
              </w:rPr>
              <w:t>非甲烷总烃</w:t>
            </w:r>
          </w:p>
        </w:tc>
        <w:tc>
          <w:tcPr>
            <w:tcW w:w="2383" w:type="dxa"/>
            <w:vAlign w:val="center"/>
          </w:tcPr>
          <w:p w14:paraId="43FFDCE8">
            <w:pPr>
              <w:adjustRightInd w:val="0"/>
              <w:snapToGrid w:val="0"/>
              <w:jc w:val="center"/>
              <w:rPr>
                <w:sz w:val="24"/>
              </w:rPr>
            </w:pPr>
            <w:r>
              <w:rPr>
                <w:sz w:val="24"/>
              </w:rPr>
              <w:t>采</w:t>
            </w:r>
            <w:r>
              <w:rPr>
                <w:color w:val="000000"/>
                <w:sz w:val="24"/>
              </w:rPr>
              <w:t>用密闭卸油方式、油罐</w:t>
            </w:r>
            <w:r>
              <w:rPr>
                <w:rFonts w:hint="eastAsia"/>
                <w:color w:val="000000"/>
                <w:sz w:val="24"/>
              </w:rPr>
              <w:t>埋地</w:t>
            </w:r>
            <w:r>
              <w:rPr>
                <w:color w:val="000000"/>
                <w:sz w:val="24"/>
              </w:rPr>
              <w:t>设置；油气加（卸）油设置</w:t>
            </w:r>
            <w:r>
              <w:rPr>
                <w:rFonts w:hint="eastAsia"/>
                <w:color w:val="000000"/>
                <w:sz w:val="24"/>
              </w:rPr>
              <w:t>一次、二次油气</w:t>
            </w:r>
            <w:r>
              <w:rPr>
                <w:color w:val="000000"/>
                <w:sz w:val="24"/>
              </w:rPr>
              <w:t>回收系统；设置设</w:t>
            </w:r>
            <w:r>
              <w:rPr>
                <w:rFonts w:hint="eastAsia"/>
                <w:color w:val="000000"/>
                <w:sz w:val="24"/>
              </w:rPr>
              <w:t>3</w:t>
            </w:r>
            <w:r>
              <w:rPr>
                <w:color w:val="000000"/>
                <w:sz w:val="24"/>
              </w:rPr>
              <w:t>根通气立管，</w:t>
            </w:r>
            <w:r>
              <w:rPr>
                <w:rFonts w:hint="eastAsia"/>
                <w:color w:val="000000"/>
                <w:sz w:val="24"/>
              </w:rPr>
              <w:t>其中汽油罐共用2根通气立管，柴油罐单独设置1根通气立管，</w:t>
            </w:r>
            <w:r>
              <w:rPr>
                <w:color w:val="000000"/>
                <w:sz w:val="24"/>
              </w:rPr>
              <w:t>高度≥4m</w:t>
            </w:r>
          </w:p>
        </w:tc>
        <w:tc>
          <w:tcPr>
            <w:tcW w:w="2186" w:type="dxa"/>
            <w:vAlign w:val="center"/>
          </w:tcPr>
          <w:p w14:paraId="0094B929">
            <w:pPr>
              <w:adjustRightInd w:val="0"/>
              <w:snapToGrid w:val="0"/>
              <w:jc w:val="center"/>
              <w:rPr>
                <w:sz w:val="24"/>
              </w:rPr>
            </w:pPr>
            <w:r>
              <w:rPr>
                <w:rFonts w:hint="eastAsia"/>
                <w:sz w:val="24"/>
              </w:rPr>
              <w:t>厂界非甲烷总烃执行</w:t>
            </w:r>
            <w:r>
              <w:rPr>
                <w:sz w:val="24"/>
              </w:rPr>
              <w:t>《加油站大气污染物排放标准》（GB20952-2020）</w:t>
            </w:r>
          </w:p>
        </w:tc>
      </w:tr>
      <w:tr w14:paraId="092D26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12" w:type="dxa"/>
            <w:vMerge w:val="continue"/>
            <w:vAlign w:val="center"/>
          </w:tcPr>
          <w:p w14:paraId="086E25FC">
            <w:pPr>
              <w:adjustRightInd w:val="0"/>
              <w:snapToGrid w:val="0"/>
              <w:jc w:val="center"/>
              <w:rPr>
                <w:sz w:val="24"/>
              </w:rPr>
            </w:pPr>
          </w:p>
        </w:tc>
        <w:tc>
          <w:tcPr>
            <w:tcW w:w="1701" w:type="dxa"/>
            <w:vAlign w:val="center"/>
          </w:tcPr>
          <w:p w14:paraId="44B1314B">
            <w:pPr>
              <w:adjustRightInd w:val="0"/>
              <w:snapToGrid w:val="0"/>
              <w:jc w:val="center"/>
              <w:rPr>
                <w:sz w:val="24"/>
              </w:rPr>
            </w:pPr>
            <w:r>
              <w:rPr>
                <w:sz w:val="24"/>
              </w:rPr>
              <w:t>柴油发电机无组织排放</w:t>
            </w:r>
          </w:p>
        </w:tc>
        <w:tc>
          <w:tcPr>
            <w:tcW w:w="1418" w:type="dxa"/>
            <w:vAlign w:val="center"/>
          </w:tcPr>
          <w:p w14:paraId="13EEF234">
            <w:pPr>
              <w:adjustRightInd w:val="0"/>
              <w:snapToGrid w:val="0"/>
              <w:jc w:val="center"/>
              <w:rPr>
                <w:sz w:val="24"/>
              </w:rPr>
            </w:pPr>
            <w:r>
              <w:rPr>
                <w:sz w:val="24"/>
              </w:rPr>
              <w:t>NOx、THC</w:t>
            </w:r>
          </w:p>
        </w:tc>
        <w:tc>
          <w:tcPr>
            <w:tcW w:w="2383" w:type="dxa"/>
            <w:vAlign w:val="center"/>
          </w:tcPr>
          <w:p w14:paraId="2405F802">
            <w:pPr>
              <w:adjustRightInd w:val="0"/>
              <w:snapToGrid w:val="0"/>
              <w:jc w:val="center"/>
              <w:rPr>
                <w:sz w:val="24"/>
              </w:rPr>
            </w:pPr>
            <w:r>
              <w:rPr>
                <w:sz w:val="24"/>
              </w:rPr>
              <w:t>设置专用管道引至站房屋顶排放</w:t>
            </w:r>
          </w:p>
        </w:tc>
        <w:tc>
          <w:tcPr>
            <w:tcW w:w="2186" w:type="dxa"/>
            <w:vAlign w:val="center"/>
          </w:tcPr>
          <w:p w14:paraId="4ACD8475">
            <w:pPr>
              <w:adjustRightInd w:val="0"/>
              <w:snapToGrid w:val="0"/>
              <w:jc w:val="center"/>
              <w:rPr>
                <w:sz w:val="24"/>
              </w:rPr>
            </w:pPr>
            <w:r>
              <w:rPr>
                <w:sz w:val="24"/>
              </w:rPr>
              <w:t>/</w:t>
            </w:r>
          </w:p>
        </w:tc>
      </w:tr>
      <w:tr w14:paraId="3CBC59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12" w:type="dxa"/>
            <w:vMerge w:val="restart"/>
            <w:vAlign w:val="center"/>
          </w:tcPr>
          <w:p w14:paraId="09E18367">
            <w:pPr>
              <w:adjustRightInd w:val="0"/>
              <w:snapToGrid w:val="0"/>
              <w:jc w:val="center"/>
              <w:rPr>
                <w:sz w:val="24"/>
              </w:rPr>
            </w:pPr>
            <w:r>
              <w:rPr>
                <w:sz w:val="24"/>
              </w:rPr>
              <w:t>地表水环境</w:t>
            </w:r>
          </w:p>
        </w:tc>
        <w:tc>
          <w:tcPr>
            <w:tcW w:w="1701" w:type="dxa"/>
            <w:vAlign w:val="center"/>
          </w:tcPr>
          <w:p w14:paraId="402552A7">
            <w:pPr>
              <w:adjustRightInd w:val="0"/>
              <w:snapToGrid w:val="0"/>
              <w:jc w:val="center"/>
              <w:rPr>
                <w:sz w:val="24"/>
              </w:rPr>
            </w:pPr>
            <w:r>
              <w:rPr>
                <w:sz w:val="24"/>
              </w:rPr>
              <w:t>生活污水</w:t>
            </w:r>
          </w:p>
        </w:tc>
        <w:tc>
          <w:tcPr>
            <w:tcW w:w="1418" w:type="dxa"/>
            <w:vAlign w:val="center"/>
          </w:tcPr>
          <w:p w14:paraId="02BA7C5A">
            <w:pPr>
              <w:adjustRightInd w:val="0"/>
              <w:snapToGrid w:val="0"/>
              <w:jc w:val="center"/>
              <w:rPr>
                <w:sz w:val="24"/>
              </w:rPr>
            </w:pPr>
            <w:r>
              <w:rPr>
                <w:rFonts w:hint="eastAsia"/>
                <w:sz w:val="24"/>
              </w:rPr>
              <w:t>pH、</w:t>
            </w:r>
            <w:r>
              <w:rPr>
                <w:sz w:val="24"/>
              </w:rPr>
              <w:t>COD、BOD</w:t>
            </w:r>
            <w:r>
              <w:rPr>
                <w:sz w:val="24"/>
                <w:vertAlign w:val="subscript"/>
              </w:rPr>
              <w:t>5</w:t>
            </w:r>
            <w:r>
              <w:rPr>
                <w:sz w:val="24"/>
              </w:rPr>
              <w:t>、SS、氨氮</w:t>
            </w:r>
          </w:p>
        </w:tc>
        <w:tc>
          <w:tcPr>
            <w:tcW w:w="2383" w:type="dxa"/>
            <w:vAlign w:val="center"/>
          </w:tcPr>
          <w:p w14:paraId="26A09E8D">
            <w:pPr>
              <w:adjustRightInd w:val="0"/>
              <w:snapToGrid w:val="0"/>
              <w:jc w:val="center"/>
              <w:rPr>
                <w:sz w:val="24"/>
              </w:rPr>
            </w:pPr>
            <w:r>
              <w:rPr>
                <w:rFonts w:hAnsi="宋体"/>
                <w:sz w:val="24"/>
              </w:rPr>
              <w:t>经生化池</w:t>
            </w:r>
            <w:r>
              <w:rPr>
                <w:rFonts w:hAnsi="宋体"/>
                <w:bCs/>
                <w:sz w:val="24"/>
              </w:rPr>
              <w:t>（</w:t>
            </w:r>
            <w:r>
              <w:rPr>
                <w:rFonts w:hint="eastAsia" w:hAnsi="宋体"/>
                <w:bCs/>
                <w:sz w:val="24"/>
              </w:rPr>
              <w:t>容积</w:t>
            </w:r>
            <w:r>
              <w:rPr>
                <w:bCs/>
                <w:sz w:val="24"/>
              </w:rPr>
              <w:t>5m</w:t>
            </w:r>
            <w:r>
              <w:rPr>
                <w:bCs/>
                <w:sz w:val="24"/>
                <w:vertAlign w:val="superscript"/>
              </w:rPr>
              <w:t>3</w:t>
            </w:r>
            <w:r>
              <w:rPr>
                <w:rFonts w:hAnsi="宋体"/>
                <w:bCs/>
                <w:sz w:val="24"/>
              </w:rPr>
              <w:t>）</w:t>
            </w:r>
            <w:r>
              <w:rPr>
                <w:rFonts w:hAnsi="宋体"/>
                <w:sz w:val="24"/>
              </w:rPr>
              <w:t>处理后</w:t>
            </w:r>
            <w:r>
              <w:rPr>
                <w:rFonts w:hAnsi="宋体"/>
                <w:bCs/>
                <w:sz w:val="24"/>
              </w:rPr>
              <w:t>达《污水综合排放标准》（</w:t>
            </w:r>
            <w:r>
              <w:rPr>
                <w:bCs/>
                <w:sz w:val="24"/>
              </w:rPr>
              <w:t>GB8978-1996</w:t>
            </w:r>
            <w:r>
              <w:rPr>
                <w:rFonts w:hAnsi="宋体"/>
                <w:bCs/>
                <w:sz w:val="24"/>
              </w:rPr>
              <w:t>）三级标准后，</w:t>
            </w:r>
            <w:r>
              <w:rPr>
                <w:rFonts w:hAnsi="宋体"/>
                <w:sz w:val="24"/>
              </w:rPr>
              <w:t>经</w:t>
            </w:r>
            <w:r>
              <w:rPr>
                <w:rFonts w:hint="eastAsia" w:hAnsi="宋体"/>
                <w:bCs/>
                <w:sz w:val="24"/>
              </w:rPr>
              <w:t>园区</w:t>
            </w:r>
            <w:r>
              <w:rPr>
                <w:rFonts w:hAnsi="宋体"/>
                <w:bCs/>
                <w:sz w:val="24"/>
              </w:rPr>
              <w:t>管网排入</w:t>
            </w:r>
            <w:r>
              <w:rPr>
                <w:rFonts w:hint="eastAsia" w:hAnsi="宋体"/>
                <w:bCs/>
                <w:sz w:val="24"/>
              </w:rPr>
              <w:t>大耍坝污水处理厂</w:t>
            </w:r>
            <w:r>
              <w:rPr>
                <w:rFonts w:hAnsi="宋体"/>
                <w:bCs/>
                <w:sz w:val="24"/>
              </w:rPr>
              <w:t>深度处理后达标排放</w:t>
            </w:r>
          </w:p>
        </w:tc>
        <w:tc>
          <w:tcPr>
            <w:tcW w:w="2186" w:type="dxa"/>
            <w:vMerge w:val="restart"/>
            <w:vAlign w:val="center"/>
          </w:tcPr>
          <w:p w14:paraId="6F529994">
            <w:pPr>
              <w:adjustRightInd w:val="0"/>
              <w:snapToGrid w:val="0"/>
              <w:jc w:val="center"/>
              <w:rPr>
                <w:rFonts w:hint="eastAsia"/>
                <w:sz w:val="24"/>
              </w:rPr>
            </w:pPr>
            <w:r>
              <w:rPr>
                <w:sz w:val="24"/>
              </w:rPr>
              <w:t>《污水综合排放标准》（GB8978-1996）</w:t>
            </w:r>
            <w:r>
              <w:rPr>
                <w:rFonts w:hint="eastAsia"/>
                <w:sz w:val="24"/>
              </w:rPr>
              <w:t>、《城镇污水处理厂污染物排放标准》（GB18918-2002）</w:t>
            </w:r>
          </w:p>
        </w:tc>
      </w:tr>
      <w:tr w14:paraId="7AD88A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12" w:type="dxa"/>
            <w:vMerge w:val="continue"/>
            <w:vAlign w:val="center"/>
          </w:tcPr>
          <w:p w14:paraId="089CD387">
            <w:pPr>
              <w:adjustRightInd w:val="0"/>
              <w:snapToGrid w:val="0"/>
              <w:jc w:val="center"/>
              <w:rPr>
                <w:sz w:val="24"/>
              </w:rPr>
            </w:pPr>
          </w:p>
        </w:tc>
        <w:tc>
          <w:tcPr>
            <w:tcW w:w="1701" w:type="dxa"/>
            <w:vAlign w:val="center"/>
          </w:tcPr>
          <w:p w14:paraId="4858A402">
            <w:pPr>
              <w:adjustRightInd w:val="0"/>
              <w:snapToGrid w:val="0"/>
              <w:jc w:val="center"/>
              <w:rPr>
                <w:rFonts w:hint="eastAsia"/>
                <w:sz w:val="24"/>
              </w:rPr>
            </w:pPr>
            <w:r>
              <w:rPr>
                <w:rFonts w:hint="eastAsia"/>
                <w:sz w:val="24"/>
              </w:rPr>
              <w:t>初期雨水</w:t>
            </w:r>
          </w:p>
        </w:tc>
        <w:tc>
          <w:tcPr>
            <w:tcW w:w="1418" w:type="dxa"/>
            <w:vMerge w:val="restart"/>
            <w:vAlign w:val="center"/>
          </w:tcPr>
          <w:p w14:paraId="286CCF70">
            <w:pPr>
              <w:adjustRightInd w:val="0"/>
              <w:snapToGrid w:val="0"/>
              <w:jc w:val="center"/>
              <w:rPr>
                <w:sz w:val="24"/>
              </w:rPr>
            </w:pPr>
            <w:r>
              <w:rPr>
                <w:sz w:val="24"/>
              </w:rPr>
              <w:t>SS、石油类</w:t>
            </w:r>
          </w:p>
        </w:tc>
        <w:tc>
          <w:tcPr>
            <w:tcW w:w="2383" w:type="dxa"/>
            <w:vMerge w:val="restart"/>
            <w:vAlign w:val="center"/>
          </w:tcPr>
          <w:p w14:paraId="21BDC0B6">
            <w:pPr>
              <w:adjustRightInd w:val="0"/>
              <w:snapToGrid w:val="0"/>
              <w:jc w:val="center"/>
              <w:rPr>
                <w:rFonts w:hint="eastAsia"/>
                <w:sz w:val="24"/>
              </w:rPr>
            </w:pPr>
            <w:r>
              <w:rPr>
                <w:sz w:val="24"/>
              </w:rPr>
              <w:t>经隔油池</w:t>
            </w:r>
            <w:r>
              <w:rPr>
                <w:rFonts w:hint="eastAsia"/>
                <w:sz w:val="24"/>
              </w:rPr>
              <w:t>（容积15m</w:t>
            </w:r>
            <w:r>
              <w:rPr>
                <w:rFonts w:hint="eastAsia"/>
                <w:sz w:val="24"/>
                <w:vertAlign w:val="superscript"/>
              </w:rPr>
              <w:t>3</w:t>
            </w:r>
            <w:r>
              <w:rPr>
                <w:rFonts w:hint="eastAsia"/>
                <w:sz w:val="24"/>
              </w:rPr>
              <w:t>）处理</w:t>
            </w:r>
            <w:r>
              <w:rPr>
                <w:sz w:val="24"/>
              </w:rPr>
              <w:t>后</w:t>
            </w:r>
            <w:r>
              <w:rPr>
                <w:rFonts w:hint="eastAsia"/>
                <w:sz w:val="24"/>
              </w:rPr>
              <w:t>达</w:t>
            </w:r>
            <w:r>
              <w:rPr>
                <w:rFonts w:hAnsi="宋体"/>
                <w:color w:val="000000"/>
                <w:sz w:val="24"/>
              </w:rPr>
              <w:t>《污水综合排放标准》（</w:t>
            </w:r>
            <w:r>
              <w:rPr>
                <w:color w:val="000000"/>
                <w:sz w:val="24"/>
              </w:rPr>
              <w:t>GB8978-1996</w:t>
            </w:r>
            <w:r>
              <w:rPr>
                <w:rFonts w:hAnsi="宋体"/>
                <w:color w:val="000000"/>
                <w:sz w:val="24"/>
              </w:rPr>
              <w:t>）三级标准</w:t>
            </w:r>
            <w:r>
              <w:rPr>
                <w:sz w:val="24"/>
              </w:rPr>
              <w:t>排入</w:t>
            </w:r>
            <w:r>
              <w:rPr>
                <w:rFonts w:hint="eastAsia"/>
                <w:sz w:val="24"/>
              </w:rPr>
              <w:t>园区污水管网；初期雨水进入隔油池前端设置切换阀，后期雨水直接进入园区雨水管网。</w:t>
            </w:r>
          </w:p>
        </w:tc>
        <w:tc>
          <w:tcPr>
            <w:tcW w:w="2186" w:type="dxa"/>
            <w:vMerge w:val="continue"/>
            <w:vAlign w:val="center"/>
          </w:tcPr>
          <w:p w14:paraId="36DFB723">
            <w:pPr>
              <w:adjustRightInd w:val="0"/>
              <w:snapToGrid w:val="0"/>
              <w:jc w:val="center"/>
              <w:rPr>
                <w:sz w:val="24"/>
              </w:rPr>
            </w:pPr>
          </w:p>
        </w:tc>
      </w:tr>
      <w:tr w14:paraId="583D9B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12" w:type="dxa"/>
            <w:vMerge w:val="continue"/>
            <w:vAlign w:val="center"/>
          </w:tcPr>
          <w:p w14:paraId="070A0AC1">
            <w:pPr>
              <w:adjustRightInd w:val="0"/>
              <w:snapToGrid w:val="0"/>
              <w:jc w:val="center"/>
              <w:rPr>
                <w:sz w:val="24"/>
              </w:rPr>
            </w:pPr>
          </w:p>
        </w:tc>
        <w:tc>
          <w:tcPr>
            <w:tcW w:w="1701" w:type="dxa"/>
            <w:vAlign w:val="center"/>
          </w:tcPr>
          <w:p w14:paraId="45100C76">
            <w:pPr>
              <w:adjustRightInd w:val="0"/>
              <w:snapToGrid w:val="0"/>
              <w:jc w:val="center"/>
              <w:rPr>
                <w:sz w:val="24"/>
              </w:rPr>
            </w:pPr>
            <w:r>
              <w:rPr>
                <w:sz w:val="24"/>
              </w:rPr>
              <w:t>场地冲洗废水</w:t>
            </w:r>
          </w:p>
        </w:tc>
        <w:tc>
          <w:tcPr>
            <w:tcW w:w="1418" w:type="dxa"/>
            <w:vMerge w:val="continue"/>
            <w:vAlign w:val="center"/>
          </w:tcPr>
          <w:p w14:paraId="30BC96AC">
            <w:pPr>
              <w:adjustRightInd w:val="0"/>
              <w:snapToGrid w:val="0"/>
              <w:jc w:val="center"/>
              <w:rPr>
                <w:sz w:val="24"/>
              </w:rPr>
            </w:pPr>
          </w:p>
        </w:tc>
        <w:tc>
          <w:tcPr>
            <w:tcW w:w="2383" w:type="dxa"/>
            <w:vMerge w:val="continue"/>
            <w:vAlign w:val="center"/>
          </w:tcPr>
          <w:p w14:paraId="4B127710">
            <w:pPr>
              <w:adjustRightInd w:val="0"/>
              <w:snapToGrid w:val="0"/>
              <w:jc w:val="center"/>
              <w:rPr>
                <w:sz w:val="24"/>
              </w:rPr>
            </w:pPr>
          </w:p>
        </w:tc>
        <w:tc>
          <w:tcPr>
            <w:tcW w:w="2186" w:type="dxa"/>
            <w:vMerge w:val="continue"/>
            <w:vAlign w:val="center"/>
          </w:tcPr>
          <w:p w14:paraId="0FDB401A">
            <w:pPr>
              <w:adjustRightInd w:val="0"/>
              <w:snapToGrid w:val="0"/>
              <w:jc w:val="center"/>
              <w:rPr>
                <w:sz w:val="24"/>
              </w:rPr>
            </w:pPr>
          </w:p>
        </w:tc>
      </w:tr>
      <w:tr w14:paraId="5D11E3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12" w:type="dxa"/>
            <w:vAlign w:val="center"/>
          </w:tcPr>
          <w:p w14:paraId="47D1BB39">
            <w:pPr>
              <w:adjustRightInd w:val="0"/>
              <w:snapToGrid w:val="0"/>
              <w:jc w:val="center"/>
              <w:rPr>
                <w:sz w:val="24"/>
              </w:rPr>
            </w:pPr>
            <w:r>
              <w:rPr>
                <w:sz w:val="24"/>
              </w:rPr>
              <w:t>声环境</w:t>
            </w:r>
          </w:p>
        </w:tc>
        <w:tc>
          <w:tcPr>
            <w:tcW w:w="1701" w:type="dxa"/>
            <w:vAlign w:val="center"/>
          </w:tcPr>
          <w:p w14:paraId="69E5B0BD">
            <w:pPr>
              <w:adjustRightInd w:val="0"/>
              <w:snapToGrid w:val="0"/>
              <w:jc w:val="center"/>
              <w:rPr>
                <w:sz w:val="24"/>
              </w:rPr>
            </w:pPr>
            <w:r>
              <w:rPr>
                <w:sz w:val="24"/>
              </w:rPr>
              <w:t>设备、运输车辆等</w:t>
            </w:r>
          </w:p>
        </w:tc>
        <w:tc>
          <w:tcPr>
            <w:tcW w:w="1418" w:type="dxa"/>
            <w:vAlign w:val="center"/>
          </w:tcPr>
          <w:p w14:paraId="492B7F3C">
            <w:pPr>
              <w:adjustRightInd w:val="0"/>
              <w:snapToGrid w:val="0"/>
              <w:jc w:val="center"/>
              <w:rPr>
                <w:sz w:val="24"/>
              </w:rPr>
            </w:pPr>
            <w:r>
              <w:rPr>
                <w:sz w:val="24"/>
              </w:rPr>
              <w:t>噪声</w:t>
            </w:r>
          </w:p>
        </w:tc>
        <w:tc>
          <w:tcPr>
            <w:tcW w:w="2383" w:type="dxa"/>
            <w:vAlign w:val="center"/>
          </w:tcPr>
          <w:p w14:paraId="451A8DD5">
            <w:pPr>
              <w:adjustRightInd w:val="0"/>
              <w:snapToGrid w:val="0"/>
              <w:jc w:val="center"/>
              <w:rPr>
                <w:sz w:val="24"/>
              </w:rPr>
            </w:pPr>
            <w:r>
              <w:rPr>
                <w:sz w:val="24"/>
              </w:rPr>
              <w:t>选用先进低噪设备，加强站内管理；加油站进出口设置禁鸣及减速标志</w:t>
            </w:r>
          </w:p>
        </w:tc>
        <w:tc>
          <w:tcPr>
            <w:tcW w:w="2186" w:type="dxa"/>
            <w:vAlign w:val="center"/>
          </w:tcPr>
          <w:p w14:paraId="59CE13B0">
            <w:pPr>
              <w:adjustRightInd w:val="0"/>
              <w:snapToGrid w:val="0"/>
              <w:jc w:val="center"/>
              <w:rPr>
                <w:sz w:val="24"/>
              </w:rPr>
            </w:pPr>
            <w:r>
              <w:rPr>
                <w:sz w:val="24"/>
              </w:rPr>
              <w:t>《工业企业厂界环境噪声排放标准》（GB12348</w:t>
            </w:r>
            <w:r>
              <w:rPr>
                <w:rFonts w:hint="eastAsia"/>
                <w:sz w:val="24"/>
              </w:rPr>
              <w:t>-</w:t>
            </w:r>
            <w:r>
              <w:rPr>
                <w:sz w:val="24"/>
              </w:rPr>
              <w:t>2008）</w:t>
            </w:r>
          </w:p>
        </w:tc>
      </w:tr>
      <w:tr w14:paraId="41B03B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12" w:type="dxa"/>
            <w:vAlign w:val="center"/>
          </w:tcPr>
          <w:p w14:paraId="44D01CFB">
            <w:pPr>
              <w:adjustRightInd w:val="0"/>
              <w:snapToGrid w:val="0"/>
              <w:jc w:val="center"/>
              <w:rPr>
                <w:sz w:val="24"/>
              </w:rPr>
            </w:pPr>
            <w:r>
              <w:rPr>
                <w:sz w:val="24"/>
              </w:rPr>
              <w:t>电磁辐射</w:t>
            </w:r>
          </w:p>
        </w:tc>
        <w:tc>
          <w:tcPr>
            <w:tcW w:w="7688" w:type="dxa"/>
            <w:gridSpan w:val="4"/>
            <w:vAlign w:val="center"/>
          </w:tcPr>
          <w:p w14:paraId="6E2E11D4">
            <w:pPr>
              <w:adjustRightInd w:val="0"/>
              <w:snapToGrid w:val="0"/>
              <w:jc w:val="center"/>
              <w:rPr>
                <w:sz w:val="24"/>
              </w:rPr>
            </w:pPr>
            <w:r>
              <w:rPr>
                <w:sz w:val="24"/>
              </w:rPr>
              <w:t>/</w:t>
            </w:r>
          </w:p>
        </w:tc>
      </w:tr>
      <w:tr w14:paraId="33A1E0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112" w:type="dxa"/>
            <w:vMerge w:val="restart"/>
            <w:vAlign w:val="center"/>
          </w:tcPr>
          <w:p w14:paraId="7F5E88DD">
            <w:pPr>
              <w:adjustRightInd w:val="0"/>
              <w:snapToGrid w:val="0"/>
              <w:jc w:val="center"/>
              <w:rPr>
                <w:sz w:val="24"/>
              </w:rPr>
            </w:pPr>
            <w:r>
              <w:rPr>
                <w:sz w:val="24"/>
              </w:rPr>
              <w:t>固体废物</w:t>
            </w:r>
          </w:p>
        </w:tc>
        <w:tc>
          <w:tcPr>
            <w:tcW w:w="7688" w:type="dxa"/>
            <w:gridSpan w:val="4"/>
            <w:vAlign w:val="center"/>
          </w:tcPr>
          <w:p w14:paraId="569CA1F2">
            <w:pPr>
              <w:adjustRightInd w:val="0"/>
              <w:snapToGrid w:val="0"/>
              <w:rPr>
                <w:sz w:val="24"/>
              </w:rPr>
            </w:pPr>
            <w:r>
              <w:rPr>
                <w:rFonts w:hint="eastAsia"/>
                <w:sz w:val="24"/>
              </w:rPr>
              <w:t>危险废物：</w:t>
            </w:r>
            <w:r>
              <w:rPr>
                <w:sz w:val="24"/>
              </w:rPr>
              <w:t>站房</w:t>
            </w:r>
            <w:r>
              <w:rPr>
                <w:rFonts w:hint="eastAsia"/>
                <w:sz w:val="24"/>
              </w:rPr>
              <w:t>西南</w:t>
            </w:r>
            <w:r>
              <w:rPr>
                <w:sz w:val="24"/>
              </w:rPr>
              <w:t>侧设置一个</w:t>
            </w:r>
            <w:r>
              <w:rPr>
                <w:rFonts w:hint="eastAsia"/>
                <w:sz w:val="24"/>
              </w:rPr>
              <w:t>5m</w:t>
            </w:r>
            <w:r>
              <w:rPr>
                <w:rFonts w:hint="eastAsia"/>
                <w:sz w:val="24"/>
                <w:vertAlign w:val="superscript"/>
              </w:rPr>
              <w:t>2</w:t>
            </w:r>
            <w:r>
              <w:rPr>
                <w:sz w:val="24"/>
              </w:rPr>
              <w:t>危险废物暂存</w:t>
            </w:r>
            <w:r>
              <w:rPr>
                <w:rFonts w:hint="eastAsia"/>
                <w:sz w:val="24"/>
              </w:rPr>
              <w:t>间</w:t>
            </w:r>
            <w:r>
              <w:rPr>
                <w:sz w:val="24"/>
              </w:rPr>
              <w:t>，设备检修废物、清罐废物、</w:t>
            </w:r>
            <w:r>
              <w:rPr>
                <w:rFonts w:hint="eastAsia"/>
                <w:sz w:val="24"/>
              </w:rPr>
              <w:t>隔油池浮油、</w:t>
            </w:r>
            <w:r>
              <w:rPr>
                <w:sz w:val="24"/>
              </w:rPr>
              <w:t>含油污泥、废含油手套及棉纱等危险废物分类暂存于危险废物暂存点，定期交有资质单位处理</w:t>
            </w:r>
          </w:p>
        </w:tc>
      </w:tr>
      <w:tr w14:paraId="639677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1112" w:type="dxa"/>
            <w:vMerge w:val="continue"/>
            <w:vAlign w:val="center"/>
          </w:tcPr>
          <w:p w14:paraId="28030F83">
            <w:pPr>
              <w:adjustRightInd w:val="0"/>
              <w:snapToGrid w:val="0"/>
              <w:jc w:val="center"/>
              <w:rPr>
                <w:sz w:val="24"/>
              </w:rPr>
            </w:pPr>
          </w:p>
        </w:tc>
        <w:tc>
          <w:tcPr>
            <w:tcW w:w="7688" w:type="dxa"/>
            <w:gridSpan w:val="4"/>
            <w:vAlign w:val="center"/>
          </w:tcPr>
          <w:p w14:paraId="5DEC5D95">
            <w:pPr>
              <w:adjustRightInd w:val="0"/>
              <w:snapToGrid w:val="0"/>
              <w:rPr>
                <w:sz w:val="24"/>
              </w:rPr>
            </w:pPr>
            <w:r>
              <w:rPr>
                <w:rFonts w:hint="eastAsia"/>
                <w:sz w:val="24"/>
              </w:rPr>
              <w:t>一般固废：生化池污泥定期清掏，交由环卫部门清运</w:t>
            </w:r>
          </w:p>
        </w:tc>
      </w:tr>
      <w:tr w14:paraId="62D9C1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1112" w:type="dxa"/>
            <w:vMerge w:val="continue"/>
            <w:vAlign w:val="center"/>
          </w:tcPr>
          <w:p w14:paraId="417CCD1A">
            <w:pPr>
              <w:adjustRightInd w:val="0"/>
              <w:snapToGrid w:val="0"/>
              <w:jc w:val="center"/>
              <w:rPr>
                <w:sz w:val="24"/>
              </w:rPr>
            </w:pPr>
          </w:p>
        </w:tc>
        <w:tc>
          <w:tcPr>
            <w:tcW w:w="7688" w:type="dxa"/>
            <w:gridSpan w:val="4"/>
            <w:vAlign w:val="center"/>
          </w:tcPr>
          <w:p w14:paraId="51102FA5">
            <w:pPr>
              <w:adjustRightInd w:val="0"/>
              <w:snapToGrid w:val="0"/>
              <w:spacing w:line="360" w:lineRule="auto"/>
              <w:jc w:val="center"/>
              <w:rPr>
                <w:rFonts w:hint="eastAsia"/>
                <w:sz w:val="24"/>
              </w:rPr>
            </w:pPr>
            <w:r>
              <w:rPr>
                <w:rFonts w:hint="eastAsia"/>
                <w:sz w:val="24"/>
              </w:rPr>
              <w:t>生活垃圾：</w:t>
            </w:r>
            <w:r>
              <w:rPr>
                <w:sz w:val="24"/>
              </w:rPr>
              <w:t>员工及</w:t>
            </w:r>
            <w:r>
              <w:rPr>
                <w:rFonts w:hint="eastAsia"/>
                <w:sz w:val="24"/>
              </w:rPr>
              <w:t>司乘人员</w:t>
            </w:r>
            <w:r>
              <w:rPr>
                <w:sz w:val="24"/>
              </w:rPr>
              <w:t>生活垃圾经垃圾桶集中收集后交</w:t>
            </w:r>
            <w:r>
              <w:rPr>
                <w:rFonts w:hint="eastAsia"/>
                <w:sz w:val="24"/>
              </w:rPr>
              <w:t>由园区</w:t>
            </w:r>
            <w:r>
              <w:rPr>
                <w:sz w:val="24"/>
              </w:rPr>
              <w:t>环卫部门</w:t>
            </w:r>
            <w:r>
              <w:rPr>
                <w:rFonts w:hint="eastAsia"/>
                <w:sz w:val="24"/>
              </w:rPr>
              <w:t>清运</w:t>
            </w:r>
          </w:p>
        </w:tc>
      </w:tr>
      <w:tr w14:paraId="730055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112" w:type="dxa"/>
            <w:vAlign w:val="center"/>
          </w:tcPr>
          <w:p w14:paraId="76AA00B8">
            <w:pPr>
              <w:adjustRightInd w:val="0"/>
              <w:snapToGrid w:val="0"/>
              <w:jc w:val="center"/>
              <w:rPr>
                <w:sz w:val="24"/>
              </w:rPr>
            </w:pPr>
            <w:r>
              <w:rPr>
                <w:sz w:val="24"/>
              </w:rPr>
              <w:t>土壤及地下水</w:t>
            </w:r>
          </w:p>
          <w:p w14:paraId="522F4268">
            <w:pPr>
              <w:adjustRightInd w:val="0"/>
              <w:snapToGrid w:val="0"/>
              <w:jc w:val="center"/>
              <w:rPr>
                <w:sz w:val="24"/>
              </w:rPr>
            </w:pPr>
            <w:r>
              <w:rPr>
                <w:sz w:val="24"/>
              </w:rPr>
              <w:t>污染防治措施</w:t>
            </w:r>
          </w:p>
        </w:tc>
        <w:tc>
          <w:tcPr>
            <w:tcW w:w="7688" w:type="dxa"/>
            <w:gridSpan w:val="4"/>
            <w:vAlign w:val="center"/>
          </w:tcPr>
          <w:p w14:paraId="6A65BAB2">
            <w:pPr>
              <w:adjustRightInd w:val="0"/>
              <w:snapToGrid w:val="0"/>
              <w:spacing w:line="360" w:lineRule="auto"/>
              <w:rPr>
                <w:sz w:val="24"/>
              </w:rPr>
            </w:pPr>
            <w:r>
              <w:rPr>
                <w:sz w:val="24"/>
              </w:rPr>
              <w:t>重点防渗区：</w:t>
            </w:r>
            <w:r>
              <w:rPr>
                <w:rFonts w:hint="eastAsia"/>
                <w:sz w:val="24"/>
              </w:rPr>
              <w:t>埋地</w:t>
            </w:r>
            <w:r>
              <w:rPr>
                <w:sz w:val="24"/>
              </w:rPr>
              <w:t>油罐区、工艺管道及危废暂存间等，防渗系数≤10</w:t>
            </w:r>
            <w:r>
              <w:rPr>
                <w:sz w:val="24"/>
                <w:vertAlign w:val="superscript"/>
              </w:rPr>
              <w:t>-10</w:t>
            </w:r>
            <w:r>
              <w:rPr>
                <w:sz w:val="24"/>
              </w:rPr>
              <w:t>cm/s；</w:t>
            </w:r>
          </w:p>
          <w:p w14:paraId="094008BF">
            <w:pPr>
              <w:adjustRightInd w:val="0"/>
              <w:snapToGrid w:val="0"/>
              <w:spacing w:line="360" w:lineRule="auto"/>
              <w:rPr>
                <w:sz w:val="24"/>
              </w:rPr>
            </w:pPr>
            <w:r>
              <w:rPr>
                <w:sz w:val="24"/>
              </w:rPr>
              <w:t>一般防渗区：生化池、加油/卸油区、隔油池等，防渗系数≤10</w:t>
            </w:r>
            <w:r>
              <w:rPr>
                <w:sz w:val="24"/>
                <w:vertAlign w:val="superscript"/>
              </w:rPr>
              <w:t>-7</w:t>
            </w:r>
            <w:r>
              <w:rPr>
                <w:sz w:val="24"/>
              </w:rPr>
              <w:t>cm/s；</w:t>
            </w:r>
          </w:p>
          <w:p w14:paraId="23343594">
            <w:pPr>
              <w:adjustRightInd w:val="0"/>
              <w:snapToGrid w:val="0"/>
              <w:spacing w:line="360" w:lineRule="auto"/>
              <w:rPr>
                <w:sz w:val="24"/>
              </w:rPr>
            </w:pPr>
            <w:r>
              <w:rPr>
                <w:sz w:val="24"/>
              </w:rPr>
              <w:t>简单防渗区：站房等办公生活区，采取地面硬化措施。</w:t>
            </w:r>
          </w:p>
        </w:tc>
      </w:tr>
      <w:tr w14:paraId="048A86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112" w:type="dxa"/>
            <w:vAlign w:val="center"/>
          </w:tcPr>
          <w:p w14:paraId="7583E9DD">
            <w:pPr>
              <w:adjustRightInd w:val="0"/>
              <w:snapToGrid w:val="0"/>
              <w:jc w:val="center"/>
              <w:rPr>
                <w:sz w:val="24"/>
              </w:rPr>
            </w:pPr>
            <w:r>
              <w:rPr>
                <w:sz w:val="24"/>
              </w:rPr>
              <w:t>生态保护措施</w:t>
            </w:r>
          </w:p>
        </w:tc>
        <w:tc>
          <w:tcPr>
            <w:tcW w:w="7688" w:type="dxa"/>
            <w:gridSpan w:val="4"/>
            <w:vAlign w:val="center"/>
          </w:tcPr>
          <w:p w14:paraId="3F042A8D">
            <w:pPr>
              <w:adjustRightInd w:val="0"/>
              <w:snapToGrid w:val="0"/>
              <w:spacing w:line="360" w:lineRule="auto"/>
              <w:jc w:val="center"/>
              <w:rPr>
                <w:sz w:val="24"/>
              </w:rPr>
            </w:pPr>
            <w:r>
              <w:rPr>
                <w:sz w:val="24"/>
              </w:rPr>
              <w:t>/</w:t>
            </w:r>
          </w:p>
        </w:tc>
      </w:tr>
      <w:tr w14:paraId="78F631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112" w:type="dxa"/>
            <w:vAlign w:val="center"/>
          </w:tcPr>
          <w:p w14:paraId="007B55E3">
            <w:pPr>
              <w:adjustRightInd w:val="0"/>
              <w:snapToGrid w:val="0"/>
              <w:jc w:val="center"/>
              <w:rPr>
                <w:spacing w:val="-8"/>
                <w:sz w:val="24"/>
              </w:rPr>
            </w:pPr>
            <w:r>
              <w:rPr>
                <w:spacing w:val="-8"/>
                <w:sz w:val="24"/>
              </w:rPr>
              <w:t>环境风险防范措施</w:t>
            </w:r>
          </w:p>
        </w:tc>
        <w:tc>
          <w:tcPr>
            <w:tcW w:w="7688" w:type="dxa"/>
            <w:gridSpan w:val="4"/>
            <w:vAlign w:val="center"/>
          </w:tcPr>
          <w:p w14:paraId="181A90E2">
            <w:pPr>
              <w:adjustRightInd w:val="0"/>
              <w:snapToGrid w:val="0"/>
              <w:spacing w:line="360" w:lineRule="auto"/>
              <w:jc w:val="center"/>
              <w:rPr>
                <w:sz w:val="24"/>
              </w:rPr>
            </w:pPr>
            <w:r>
              <w:rPr>
                <w:sz w:val="24"/>
              </w:rPr>
              <w:t>加油站配备有灭火毯、消防沙、灭火器等，对工作人员进行消防培训，油罐区进行防渗处理，加油站内设立禁止吸烟、禁止打手机的警示牌，严格禁止站内明火、电焊等作业，加油软管设置拉断截止阀；加强员工安全技术培训，提高安全防范意识</w:t>
            </w:r>
            <w:r>
              <w:rPr>
                <w:rFonts w:hint="eastAsia"/>
                <w:sz w:val="24"/>
              </w:rPr>
              <w:t>。</w:t>
            </w:r>
          </w:p>
        </w:tc>
      </w:tr>
      <w:tr w14:paraId="05A453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112" w:type="dxa"/>
            <w:vAlign w:val="center"/>
          </w:tcPr>
          <w:p w14:paraId="7E140B3B">
            <w:pPr>
              <w:adjustRightInd w:val="0"/>
              <w:snapToGrid w:val="0"/>
              <w:jc w:val="center"/>
              <w:rPr>
                <w:spacing w:val="-8"/>
                <w:sz w:val="24"/>
              </w:rPr>
            </w:pPr>
            <w:r>
              <w:rPr>
                <w:spacing w:val="-8"/>
                <w:sz w:val="24"/>
              </w:rPr>
              <w:t>其他环境管理要求</w:t>
            </w:r>
          </w:p>
        </w:tc>
        <w:tc>
          <w:tcPr>
            <w:tcW w:w="7688" w:type="dxa"/>
            <w:gridSpan w:val="4"/>
            <w:vAlign w:val="center"/>
          </w:tcPr>
          <w:p w14:paraId="7210D1D3">
            <w:pPr>
              <w:widowControl/>
              <w:adjustRightInd w:val="0"/>
              <w:snapToGrid w:val="0"/>
              <w:spacing w:line="360" w:lineRule="auto"/>
              <w:ind w:firstLine="480" w:firstLineChars="200"/>
              <w:jc w:val="left"/>
              <w:rPr>
                <w:rFonts w:hint="eastAsia" w:ascii="宋体" w:hAnsi="宋体" w:cs="宋体"/>
                <w:kern w:val="0"/>
                <w:sz w:val="24"/>
              </w:rPr>
            </w:pPr>
            <w:r>
              <w:rPr>
                <w:rFonts w:hint="eastAsia" w:ascii="宋体" w:hAnsi="宋体" w:cs="宋体"/>
                <w:kern w:val="0"/>
                <w:sz w:val="24"/>
              </w:rPr>
              <w:t>建立安全生产规章制度和措施，制定安全管理制度、岗位安全操作规程和作业安全规程，环保手续齐全，建立环境管理制度，加强管理。</w:t>
            </w:r>
          </w:p>
          <w:p w14:paraId="1EB88236">
            <w:pPr>
              <w:widowControl/>
              <w:adjustRightInd w:val="0"/>
              <w:snapToGrid w:val="0"/>
              <w:spacing w:line="360" w:lineRule="auto"/>
              <w:ind w:firstLine="480" w:firstLineChars="200"/>
              <w:jc w:val="left"/>
              <w:rPr>
                <w:rFonts w:hint="eastAsia" w:ascii="宋体" w:hAnsi="宋体" w:cs="宋体"/>
                <w:kern w:val="0"/>
                <w:sz w:val="24"/>
              </w:rPr>
            </w:pPr>
            <w:r>
              <w:rPr>
                <w:rFonts w:hint="eastAsia" w:ascii="宋体" w:hAnsi="宋体" w:cs="宋体"/>
                <w:kern w:val="0"/>
                <w:sz w:val="24"/>
              </w:rPr>
              <w:t>1、验收要求</w:t>
            </w:r>
          </w:p>
          <w:p w14:paraId="122A773C">
            <w:pPr>
              <w:widowControl/>
              <w:adjustRightInd w:val="0"/>
              <w:snapToGrid w:val="0"/>
              <w:spacing w:line="360" w:lineRule="auto"/>
              <w:ind w:firstLine="480" w:firstLineChars="200"/>
              <w:jc w:val="left"/>
              <w:rPr>
                <w:rFonts w:hint="eastAsia" w:ascii="宋体" w:hAnsi="宋体" w:cs="宋体"/>
                <w:kern w:val="0"/>
                <w:sz w:val="24"/>
              </w:rPr>
            </w:pPr>
            <w:r>
              <w:rPr>
                <w:rFonts w:hint="eastAsia" w:ascii="宋体" w:hAnsi="宋体" w:cs="宋体"/>
                <w:kern w:val="0"/>
                <w:sz w:val="24"/>
              </w:rPr>
              <w:t>根据《建设项目环境保护管理条例》（国务院令第682号）和《建设项目竣工环境保护验收暂行办法》（国环规环评〔2017〕4号）的要求，建设单位应作为竣工环境保护验收的责任主体，在建设项目竣工后对配套环境保护设施进行自主验收。</w:t>
            </w:r>
          </w:p>
          <w:p w14:paraId="5C80ED63">
            <w:pPr>
              <w:widowControl/>
              <w:adjustRightInd w:val="0"/>
              <w:snapToGrid w:val="0"/>
              <w:spacing w:line="360" w:lineRule="auto"/>
              <w:ind w:firstLine="480" w:firstLineChars="200"/>
              <w:outlineLvl w:val="3"/>
              <w:rPr>
                <w:rFonts w:hint="eastAsia" w:ascii="宋体" w:hAnsi="宋体" w:cs="宋体"/>
                <w:bCs/>
                <w:sz w:val="24"/>
              </w:rPr>
            </w:pPr>
            <w:r>
              <w:rPr>
                <w:rFonts w:hint="eastAsia" w:ascii="宋体" w:hAnsi="宋体" w:cs="宋体"/>
                <w:bCs/>
                <w:sz w:val="24"/>
              </w:rPr>
              <w:t>1.1 验收重点</w:t>
            </w:r>
          </w:p>
          <w:p w14:paraId="22EA946A">
            <w:pPr>
              <w:widowControl/>
              <w:adjustRightInd w:val="0"/>
              <w:snapToGrid w:val="0"/>
              <w:spacing w:line="360" w:lineRule="auto"/>
              <w:ind w:firstLine="480" w:firstLineChars="200"/>
              <w:jc w:val="left"/>
              <w:rPr>
                <w:rFonts w:hint="eastAsia" w:ascii="宋体" w:hAnsi="宋体" w:cs="宋体"/>
                <w:kern w:val="0"/>
                <w:sz w:val="24"/>
              </w:rPr>
            </w:pPr>
            <w:r>
              <w:rPr>
                <w:rFonts w:hint="eastAsia" w:ascii="宋体" w:hAnsi="宋体" w:cs="宋体"/>
                <w:kern w:val="0"/>
                <w:sz w:val="24"/>
              </w:rPr>
              <w:t>（1）验收范围：对照环境影响报告表及其批复文件核查项目选址、总平布置、建设内容、规模及产品、生产能力等情况是否发生变更；</w:t>
            </w:r>
          </w:p>
          <w:p w14:paraId="20ED2093">
            <w:pPr>
              <w:widowControl/>
              <w:adjustRightInd w:val="0"/>
              <w:snapToGrid w:val="0"/>
              <w:spacing w:line="360" w:lineRule="auto"/>
              <w:ind w:firstLine="480" w:firstLineChars="200"/>
              <w:jc w:val="left"/>
              <w:rPr>
                <w:rFonts w:hint="eastAsia" w:ascii="宋体" w:hAnsi="宋体" w:cs="宋体"/>
                <w:kern w:val="0"/>
                <w:sz w:val="24"/>
              </w:rPr>
            </w:pPr>
            <w:r>
              <w:rPr>
                <w:rFonts w:hint="eastAsia" w:ascii="宋体" w:hAnsi="宋体" w:cs="宋体"/>
                <w:kern w:val="0"/>
                <w:sz w:val="24"/>
              </w:rPr>
              <w:t>（2）确定验收标准：参考环评执行标准，核查项目竣工环保验收应执行的标准；</w:t>
            </w:r>
          </w:p>
          <w:p w14:paraId="44B67149">
            <w:pPr>
              <w:widowControl/>
              <w:adjustRightInd w:val="0"/>
              <w:snapToGrid w:val="0"/>
              <w:spacing w:line="360" w:lineRule="auto"/>
              <w:ind w:firstLine="480" w:firstLineChars="200"/>
              <w:jc w:val="left"/>
              <w:rPr>
                <w:rFonts w:hint="eastAsia" w:ascii="宋体" w:hAnsi="宋体" w:cs="宋体"/>
                <w:kern w:val="0"/>
                <w:sz w:val="24"/>
              </w:rPr>
            </w:pPr>
            <w:r>
              <w:rPr>
                <w:rFonts w:hint="eastAsia" w:ascii="宋体" w:hAnsi="宋体" w:cs="宋体"/>
                <w:kern w:val="0"/>
                <w:sz w:val="24"/>
              </w:rPr>
              <w:t>（3）核查验收工况：按照项目产品、原料、物料消耗情况，主体工程运行负荷情况等，核查建设项目竣工环境保护验收监测期间的工况；</w:t>
            </w:r>
          </w:p>
          <w:p w14:paraId="24030401">
            <w:pPr>
              <w:widowControl/>
              <w:adjustRightInd w:val="0"/>
              <w:snapToGrid w:val="0"/>
              <w:spacing w:line="360" w:lineRule="auto"/>
              <w:ind w:firstLine="480" w:firstLineChars="200"/>
              <w:jc w:val="left"/>
              <w:rPr>
                <w:rFonts w:hint="eastAsia" w:ascii="宋体" w:hAnsi="宋体" w:cs="宋体"/>
                <w:kern w:val="0"/>
                <w:sz w:val="24"/>
              </w:rPr>
            </w:pPr>
            <w:r>
              <w:rPr>
                <w:rFonts w:hint="eastAsia" w:ascii="宋体" w:hAnsi="宋体" w:cs="宋体"/>
                <w:kern w:val="0"/>
                <w:sz w:val="24"/>
              </w:rPr>
              <w:t>（4）核查监测结果：核查建设项目竣工环境保护设施的设计指标，判定企业环境保护设施运行的效率和企业内部污染控制水平。重点核查建设项目外排污染物的稳定达标排放情况；主要污染治理设施稳定运行及设施指标达标情况；污染物总量控制情况；敏感环境保护目标质量达标情况等；</w:t>
            </w:r>
          </w:p>
          <w:p w14:paraId="7B4D63F7">
            <w:pPr>
              <w:widowControl/>
              <w:adjustRightInd w:val="0"/>
              <w:snapToGrid w:val="0"/>
              <w:spacing w:line="360" w:lineRule="auto"/>
              <w:ind w:firstLine="480" w:firstLineChars="200"/>
              <w:jc w:val="left"/>
              <w:rPr>
                <w:rFonts w:hint="eastAsia" w:ascii="宋体" w:hAnsi="宋体" w:cs="宋体"/>
                <w:kern w:val="0"/>
                <w:sz w:val="24"/>
              </w:rPr>
            </w:pPr>
            <w:r>
              <w:rPr>
                <w:rFonts w:hint="eastAsia" w:ascii="宋体" w:hAnsi="宋体" w:cs="宋体"/>
                <w:kern w:val="0"/>
                <w:sz w:val="24"/>
              </w:rPr>
              <w:t>（5）核查验收环境管理：环境管理检查涵盖了验收监测非测试性的全部内容，验收核查应包括：建设单位在设计期、施工期执行相关的各项环保制度情况，落实环评及批复中污染防治措施情况；</w:t>
            </w:r>
          </w:p>
          <w:p w14:paraId="37320092">
            <w:pPr>
              <w:spacing w:line="360" w:lineRule="auto"/>
              <w:ind w:firstLine="480" w:firstLineChars="200"/>
              <w:rPr>
                <w:rFonts w:hint="eastAsia" w:ascii="宋体" w:hAnsi="宋体" w:cs="宋体"/>
                <w:sz w:val="24"/>
              </w:rPr>
            </w:pPr>
            <w:r>
              <w:rPr>
                <w:rFonts w:hint="eastAsia" w:ascii="宋体" w:hAnsi="宋体" w:cs="宋体"/>
                <w:kern w:val="0"/>
                <w:sz w:val="24"/>
              </w:rPr>
              <w:t>（6）现场验收检查：按照建设项目布局特点和工艺特点，安排现场检查。内容包括水、气、声和固体废物污染源及其配套的处理设施；环境风险</w:t>
            </w:r>
            <w:r>
              <w:rPr>
                <w:rFonts w:hint="eastAsia" w:ascii="宋体" w:hAnsi="宋体" w:cs="宋体"/>
                <w:sz w:val="24"/>
              </w:rPr>
              <w:t>措施的检查等。</w:t>
            </w:r>
          </w:p>
          <w:p w14:paraId="3D3223EC">
            <w:pPr>
              <w:pStyle w:val="2"/>
              <w:spacing w:line="360" w:lineRule="auto"/>
              <w:rPr>
                <w:rFonts w:hint="eastAsia"/>
                <w:sz w:val="24"/>
                <w:szCs w:val="24"/>
              </w:rPr>
            </w:pPr>
          </w:p>
          <w:p w14:paraId="34B7C904">
            <w:pPr>
              <w:pStyle w:val="2"/>
              <w:spacing w:line="360" w:lineRule="auto"/>
              <w:rPr>
                <w:rFonts w:hint="eastAsia"/>
                <w:sz w:val="24"/>
                <w:szCs w:val="24"/>
              </w:rPr>
            </w:pPr>
          </w:p>
          <w:p w14:paraId="5F757652">
            <w:pPr>
              <w:pStyle w:val="2"/>
              <w:spacing w:line="360" w:lineRule="auto"/>
              <w:rPr>
                <w:rFonts w:hint="eastAsia"/>
                <w:sz w:val="24"/>
                <w:szCs w:val="24"/>
              </w:rPr>
            </w:pPr>
          </w:p>
          <w:p w14:paraId="68CCB57C">
            <w:pPr>
              <w:pStyle w:val="2"/>
              <w:spacing w:line="360" w:lineRule="auto"/>
              <w:rPr>
                <w:rFonts w:hint="eastAsia"/>
                <w:sz w:val="24"/>
                <w:szCs w:val="24"/>
              </w:rPr>
            </w:pPr>
          </w:p>
          <w:p w14:paraId="18FC4A04">
            <w:pPr>
              <w:pStyle w:val="2"/>
              <w:spacing w:line="360" w:lineRule="auto"/>
              <w:rPr>
                <w:rFonts w:hint="eastAsia"/>
                <w:sz w:val="24"/>
                <w:szCs w:val="24"/>
              </w:rPr>
            </w:pPr>
          </w:p>
          <w:p w14:paraId="66F8E0D8">
            <w:pPr>
              <w:pStyle w:val="2"/>
              <w:spacing w:line="360" w:lineRule="auto"/>
              <w:rPr>
                <w:rFonts w:hint="eastAsia"/>
                <w:sz w:val="24"/>
                <w:szCs w:val="24"/>
              </w:rPr>
            </w:pPr>
          </w:p>
          <w:p w14:paraId="58D6188C">
            <w:pPr>
              <w:pStyle w:val="2"/>
              <w:spacing w:line="360" w:lineRule="auto"/>
              <w:rPr>
                <w:rFonts w:hint="eastAsia"/>
                <w:sz w:val="24"/>
                <w:szCs w:val="24"/>
              </w:rPr>
            </w:pPr>
          </w:p>
          <w:p w14:paraId="706B05FD">
            <w:pPr>
              <w:pStyle w:val="2"/>
              <w:spacing w:line="360" w:lineRule="auto"/>
              <w:rPr>
                <w:rFonts w:hint="eastAsia"/>
                <w:sz w:val="24"/>
                <w:szCs w:val="24"/>
              </w:rPr>
            </w:pPr>
          </w:p>
          <w:p w14:paraId="387FC423">
            <w:pPr>
              <w:pStyle w:val="2"/>
              <w:spacing w:line="360" w:lineRule="auto"/>
              <w:rPr>
                <w:rFonts w:hint="eastAsia"/>
                <w:sz w:val="24"/>
                <w:szCs w:val="24"/>
              </w:rPr>
            </w:pPr>
          </w:p>
          <w:p w14:paraId="0A313D56">
            <w:pPr>
              <w:pStyle w:val="2"/>
              <w:spacing w:line="360" w:lineRule="auto"/>
              <w:rPr>
                <w:rFonts w:hint="eastAsia"/>
                <w:sz w:val="24"/>
                <w:szCs w:val="24"/>
              </w:rPr>
            </w:pPr>
          </w:p>
          <w:p w14:paraId="18C22AF3">
            <w:pPr>
              <w:pStyle w:val="2"/>
              <w:spacing w:line="360" w:lineRule="auto"/>
              <w:rPr>
                <w:rFonts w:hint="eastAsia"/>
                <w:sz w:val="24"/>
                <w:szCs w:val="24"/>
              </w:rPr>
            </w:pPr>
          </w:p>
          <w:p w14:paraId="45E74702">
            <w:pPr>
              <w:pStyle w:val="2"/>
              <w:spacing w:line="360" w:lineRule="auto"/>
              <w:rPr>
                <w:rFonts w:hint="eastAsia"/>
                <w:sz w:val="24"/>
                <w:szCs w:val="24"/>
              </w:rPr>
            </w:pPr>
          </w:p>
          <w:p w14:paraId="52B876C6">
            <w:pPr>
              <w:pStyle w:val="2"/>
              <w:spacing w:line="360" w:lineRule="auto"/>
              <w:rPr>
                <w:rFonts w:hint="eastAsia"/>
                <w:sz w:val="24"/>
                <w:szCs w:val="24"/>
              </w:rPr>
            </w:pPr>
          </w:p>
          <w:p w14:paraId="115EB71E">
            <w:pPr>
              <w:pStyle w:val="2"/>
              <w:spacing w:line="360" w:lineRule="auto"/>
              <w:rPr>
                <w:rFonts w:hint="eastAsia"/>
                <w:sz w:val="24"/>
                <w:szCs w:val="24"/>
              </w:rPr>
            </w:pPr>
          </w:p>
        </w:tc>
      </w:tr>
    </w:tbl>
    <w:p w14:paraId="4695DF36">
      <w:pPr>
        <w:pStyle w:val="21"/>
        <w:jc w:val="center"/>
        <w:outlineLvl w:val="0"/>
        <w:rPr>
          <w:rFonts w:ascii="黑体" w:hAnsi="黑体" w:eastAsia="黑体"/>
          <w:snapToGrid w:val="0"/>
          <w:sz w:val="30"/>
          <w:szCs w:val="30"/>
        </w:rPr>
      </w:pPr>
      <w:r>
        <w:rPr>
          <w:snapToGrid w:val="0"/>
        </w:rPr>
        <w:br w:type="page"/>
      </w:r>
      <w:r>
        <w:rPr>
          <w:rFonts w:hint="eastAsia" w:ascii="黑体" w:hAnsi="黑体" w:eastAsia="黑体"/>
          <w:snapToGrid w:val="0"/>
          <w:sz w:val="30"/>
          <w:szCs w:val="30"/>
        </w:rPr>
        <w:t>六、结论</w:t>
      </w:r>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7BDBB9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vAlign w:val="center"/>
          </w:tcPr>
          <w:p w14:paraId="07014B45">
            <w:pPr>
              <w:spacing w:line="360" w:lineRule="auto"/>
              <w:ind w:firstLine="454"/>
              <w:jc w:val="center"/>
              <w:rPr>
                <w:rFonts w:hint="eastAsia" w:ascii="宋体" w:cs="宋体"/>
                <w:sz w:val="24"/>
              </w:rPr>
            </w:pPr>
            <w:r>
              <w:rPr>
                <w:rFonts w:hint="eastAsia" w:ascii="宋体" w:cs="宋体"/>
                <w:sz w:val="24"/>
              </w:rPr>
              <w:t>本项目的建设符合国家、地方的产业政策及相关规划，项目组成、选址、布局、规模和工艺合理。且项目采取的污染防治措施技术可靠、经济可行，能实现达标排放，对区域环境影响较小，环境风险可控。在建设单位认真落实各项环境治理措施的情况下，从环境保护角度分析，评价认为本项目建设可行。</w:t>
            </w:r>
          </w:p>
        </w:tc>
      </w:tr>
    </w:tbl>
    <w:p w14:paraId="7B4FB877">
      <w:pPr>
        <w:rPr>
          <w:rFonts w:ascii="宋体"/>
        </w:rPr>
        <w:sectPr>
          <w:pgSz w:w="11906" w:h="16838"/>
          <w:pgMar w:top="1701" w:right="1531" w:bottom="1701" w:left="1531" w:header="851" w:footer="851" w:gutter="0"/>
          <w:cols w:space="720" w:num="1"/>
          <w:docGrid w:linePitch="312" w:charSpace="0"/>
        </w:sectPr>
      </w:pPr>
    </w:p>
    <w:p w14:paraId="7F8BAE5B">
      <w:pPr>
        <w:pStyle w:val="21"/>
        <w:adjustRightInd w:val="0"/>
        <w:snapToGrid w:val="0"/>
        <w:spacing w:before="0" w:beforeAutospacing="0" w:after="0" w:afterAutospacing="0" w:line="360" w:lineRule="auto"/>
        <w:outlineLvl w:val="0"/>
        <w:rPr>
          <w:rFonts w:ascii="黑体" w:hAnsi="黑体" w:eastAsia="黑体"/>
          <w:snapToGrid w:val="0"/>
          <w:sz w:val="32"/>
          <w:szCs w:val="32"/>
        </w:rPr>
      </w:pPr>
      <w:r>
        <w:rPr>
          <w:rFonts w:hint="eastAsia" w:ascii="黑体" w:hAnsi="黑体" w:eastAsia="黑体"/>
          <w:snapToGrid w:val="0"/>
          <w:sz w:val="32"/>
          <w:szCs w:val="32"/>
        </w:rPr>
        <w:t>附表</w:t>
      </w:r>
    </w:p>
    <w:p w14:paraId="5150B0B4">
      <w:pPr>
        <w:pStyle w:val="21"/>
        <w:adjustRightInd w:val="0"/>
        <w:snapToGrid w:val="0"/>
        <w:spacing w:before="0" w:beforeAutospacing="0" w:after="0" w:afterAutospacing="0" w:line="360" w:lineRule="auto"/>
        <w:jc w:val="center"/>
        <w:outlineLvl w:val="0"/>
        <w:rPr>
          <w:rFonts w:hint="eastAsia" w:ascii="方正小标宋_GBK" w:hAnsi="黑体" w:eastAsia="方正小标宋_GBK"/>
          <w:snapToGrid w:val="0"/>
          <w:sz w:val="38"/>
          <w:szCs w:val="38"/>
        </w:rPr>
      </w:pPr>
      <w:r>
        <w:rPr>
          <w:rFonts w:hint="eastAsia" w:ascii="方正小标宋_GBK" w:hAnsi="黑体" w:eastAsia="方正小标宋_GBK"/>
          <w:snapToGrid w:val="0"/>
          <w:sz w:val="38"/>
          <w:szCs w:val="38"/>
        </w:rPr>
        <w:t>建设项目污染物排放量汇总表</w:t>
      </w:r>
    </w:p>
    <w:tbl>
      <w:tblPr>
        <w:tblStyle w:val="23"/>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135"/>
        <w:gridCol w:w="1513"/>
        <w:gridCol w:w="1187"/>
        <w:gridCol w:w="1713"/>
        <w:gridCol w:w="1587"/>
        <w:gridCol w:w="1700"/>
        <w:gridCol w:w="2013"/>
        <w:gridCol w:w="1352"/>
      </w:tblGrid>
      <w:tr w14:paraId="6CC1A5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88" w:type="dxa"/>
            <w:tcBorders>
              <w:tl2br w:val="single" w:color="auto" w:sz="4" w:space="0"/>
            </w:tcBorders>
            <w:tcMar>
              <w:left w:w="28" w:type="dxa"/>
              <w:right w:w="28" w:type="dxa"/>
            </w:tcMar>
            <w:vAlign w:val="center"/>
          </w:tcPr>
          <w:p w14:paraId="402CF17E">
            <w:pPr>
              <w:pStyle w:val="40"/>
              <w:spacing w:beforeLines="0" w:afterLines="0" w:line="240" w:lineRule="auto"/>
              <w:jc w:val="right"/>
              <w:rPr>
                <w:rFonts w:hint="eastAsia" w:ascii="黑体" w:hAnsi="黑体" w:eastAsia="黑体" w:cs="宋体"/>
                <w:snapToGrid w:val="0"/>
                <w:spacing w:val="-6"/>
                <w:kern w:val="21"/>
                <w:szCs w:val="21"/>
              </w:rPr>
            </w:pPr>
            <w:r>
              <w:rPr>
                <w:rFonts w:hint="eastAsia" w:ascii="黑体" w:hAnsi="黑体" w:eastAsia="黑体" w:cs="宋体"/>
                <w:snapToGrid w:val="0"/>
                <w:spacing w:val="-6"/>
                <w:kern w:val="21"/>
                <w:szCs w:val="21"/>
              </w:rPr>
              <w:t>项目</w:t>
            </w:r>
          </w:p>
          <w:p w14:paraId="19E7C790">
            <w:pPr>
              <w:pStyle w:val="40"/>
              <w:spacing w:beforeLines="0" w:afterLines="0" w:line="240" w:lineRule="auto"/>
              <w:jc w:val="left"/>
              <w:rPr>
                <w:rFonts w:hint="eastAsia" w:ascii="黑体" w:hAnsi="黑体" w:eastAsia="黑体" w:cs="宋体"/>
                <w:snapToGrid w:val="0"/>
                <w:spacing w:val="-6"/>
                <w:kern w:val="21"/>
                <w:szCs w:val="21"/>
              </w:rPr>
            </w:pPr>
            <w:r>
              <w:rPr>
                <w:rFonts w:hint="eastAsia" w:ascii="黑体" w:hAnsi="黑体" w:eastAsia="黑体" w:cs="宋体"/>
                <w:snapToGrid w:val="0"/>
                <w:spacing w:val="-6"/>
                <w:kern w:val="21"/>
                <w:szCs w:val="21"/>
              </w:rPr>
              <w:t>分类</w:t>
            </w:r>
          </w:p>
        </w:tc>
        <w:tc>
          <w:tcPr>
            <w:tcW w:w="1135" w:type="dxa"/>
            <w:tcMar>
              <w:left w:w="28" w:type="dxa"/>
              <w:right w:w="28" w:type="dxa"/>
            </w:tcMar>
            <w:vAlign w:val="center"/>
          </w:tcPr>
          <w:p w14:paraId="7969A362">
            <w:pPr>
              <w:pStyle w:val="40"/>
              <w:spacing w:beforeLines="0" w:afterLines="0" w:line="240" w:lineRule="auto"/>
              <w:rPr>
                <w:rFonts w:hint="eastAsia" w:ascii="黑体" w:hAnsi="黑体" w:eastAsia="黑体" w:cs="宋体"/>
                <w:snapToGrid w:val="0"/>
                <w:spacing w:val="-6"/>
                <w:kern w:val="21"/>
                <w:szCs w:val="21"/>
              </w:rPr>
            </w:pPr>
            <w:r>
              <w:rPr>
                <w:rFonts w:hint="eastAsia" w:ascii="黑体" w:hAnsi="黑体" w:eastAsia="黑体" w:cs="宋体"/>
                <w:snapToGrid w:val="0"/>
                <w:spacing w:val="-6"/>
                <w:kern w:val="21"/>
                <w:szCs w:val="21"/>
              </w:rPr>
              <w:t>污染物名称</w:t>
            </w:r>
          </w:p>
        </w:tc>
        <w:tc>
          <w:tcPr>
            <w:tcW w:w="1513" w:type="dxa"/>
            <w:tcMar>
              <w:left w:w="28" w:type="dxa"/>
              <w:right w:w="28" w:type="dxa"/>
            </w:tcMar>
            <w:vAlign w:val="center"/>
          </w:tcPr>
          <w:p w14:paraId="1E6FA749">
            <w:pPr>
              <w:pStyle w:val="40"/>
              <w:spacing w:beforeLines="0" w:afterLines="0" w:line="240" w:lineRule="auto"/>
              <w:rPr>
                <w:rFonts w:hint="eastAsia" w:ascii="黑体" w:hAnsi="黑体" w:eastAsia="黑体"/>
                <w:snapToGrid w:val="0"/>
                <w:spacing w:val="-6"/>
                <w:kern w:val="21"/>
                <w:szCs w:val="21"/>
              </w:rPr>
            </w:pPr>
            <w:r>
              <w:rPr>
                <w:rFonts w:ascii="黑体" w:hAnsi="黑体" w:eastAsia="黑体"/>
                <w:snapToGrid w:val="0"/>
                <w:spacing w:val="-6"/>
                <w:kern w:val="21"/>
                <w:szCs w:val="21"/>
              </w:rPr>
              <w:t>现有工程</w:t>
            </w:r>
          </w:p>
          <w:p w14:paraId="4B7BBD1A">
            <w:pPr>
              <w:pStyle w:val="40"/>
              <w:spacing w:beforeLines="0" w:afterLines="0" w:line="240" w:lineRule="auto"/>
              <w:rPr>
                <w:rFonts w:ascii="黑体" w:hAnsi="黑体" w:eastAsia="黑体"/>
                <w:snapToGrid w:val="0"/>
                <w:spacing w:val="-6"/>
                <w:kern w:val="21"/>
                <w:szCs w:val="21"/>
              </w:rPr>
            </w:pPr>
            <w:r>
              <w:rPr>
                <w:rFonts w:ascii="黑体" w:hAnsi="黑体" w:eastAsia="黑体"/>
                <w:snapToGrid w:val="0"/>
                <w:spacing w:val="-6"/>
                <w:kern w:val="21"/>
                <w:szCs w:val="21"/>
              </w:rPr>
              <w:t>排放量（固</w:t>
            </w:r>
            <w:r>
              <w:rPr>
                <w:rFonts w:hint="eastAsia" w:ascii="黑体" w:hAnsi="黑体" w:eastAsia="黑体"/>
                <w:snapToGrid w:val="0"/>
                <w:spacing w:val="-6"/>
                <w:kern w:val="21"/>
                <w:szCs w:val="21"/>
              </w:rPr>
              <w:t>体</w:t>
            </w:r>
            <w:r>
              <w:rPr>
                <w:rFonts w:ascii="黑体" w:hAnsi="黑体" w:eastAsia="黑体"/>
                <w:snapToGrid w:val="0"/>
                <w:spacing w:val="-6"/>
                <w:kern w:val="21"/>
                <w:szCs w:val="21"/>
              </w:rPr>
              <w:t>废</w:t>
            </w:r>
            <w:r>
              <w:rPr>
                <w:rFonts w:hint="eastAsia" w:ascii="黑体" w:hAnsi="黑体" w:eastAsia="黑体"/>
                <w:snapToGrid w:val="0"/>
                <w:spacing w:val="-6"/>
                <w:kern w:val="21"/>
                <w:szCs w:val="21"/>
              </w:rPr>
              <w:t>物</w:t>
            </w:r>
            <w:r>
              <w:rPr>
                <w:rFonts w:ascii="黑体" w:hAnsi="黑体" w:eastAsia="黑体"/>
                <w:snapToGrid w:val="0"/>
                <w:spacing w:val="-6"/>
                <w:kern w:val="21"/>
                <w:szCs w:val="21"/>
              </w:rPr>
              <w:t>产生量）</w:t>
            </w:r>
            <w:r>
              <w:rPr>
                <w:rFonts w:ascii="黑体" w:hAnsi="黑体" w:eastAsia="黑体"/>
                <w:snapToGrid w:val="0"/>
                <w:spacing w:val="-6"/>
                <w:kern w:val="21"/>
                <w:szCs w:val="21"/>
              </w:rPr>
              <w:fldChar w:fldCharType="begin"/>
            </w:r>
            <w:r>
              <w:rPr>
                <w:rFonts w:ascii="黑体" w:hAnsi="黑体" w:eastAsia="黑体"/>
                <w:snapToGrid w:val="0"/>
                <w:spacing w:val="-6"/>
                <w:kern w:val="21"/>
                <w:szCs w:val="21"/>
              </w:rPr>
              <w:instrText xml:space="preserve"> = 1 \* GB3 \* MERGEFORMAT </w:instrText>
            </w:r>
            <w:r>
              <w:rPr>
                <w:rFonts w:ascii="黑体" w:hAnsi="黑体" w:eastAsia="黑体"/>
                <w:snapToGrid w:val="0"/>
                <w:spacing w:val="-6"/>
                <w:kern w:val="21"/>
                <w:szCs w:val="21"/>
              </w:rPr>
              <w:fldChar w:fldCharType="separate"/>
            </w:r>
            <w:r>
              <w:rPr>
                <w:rFonts w:hint="eastAsia" w:ascii="黑体" w:hAnsi="黑体" w:eastAsia="黑体" w:cs="宋体"/>
                <w:kern w:val="2"/>
                <w:szCs w:val="21"/>
              </w:rPr>
              <w:t>①</w:t>
            </w:r>
            <w:r>
              <w:rPr>
                <w:rFonts w:ascii="黑体" w:hAnsi="黑体" w:eastAsia="黑体"/>
                <w:snapToGrid w:val="0"/>
                <w:spacing w:val="-6"/>
                <w:kern w:val="21"/>
                <w:szCs w:val="21"/>
              </w:rPr>
              <w:fldChar w:fldCharType="end"/>
            </w:r>
          </w:p>
        </w:tc>
        <w:tc>
          <w:tcPr>
            <w:tcW w:w="1187" w:type="dxa"/>
            <w:tcMar>
              <w:left w:w="28" w:type="dxa"/>
              <w:right w:w="28" w:type="dxa"/>
            </w:tcMar>
            <w:vAlign w:val="center"/>
          </w:tcPr>
          <w:p w14:paraId="7CDA9226">
            <w:pPr>
              <w:pStyle w:val="40"/>
              <w:spacing w:beforeLines="0" w:afterLines="0" w:line="240" w:lineRule="auto"/>
              <w:rPr>
                <w:rFonts w:ascii="黑体" w:hAnsi="黑体" w:eastAsia="黑体"/>
                <w:snapToGrid w:val="0"/>
                <w:spacing w:val="-6"/>
                <w:kern w:val="21"/>
                <w:szCs w:val="21"/>
              </w:rPr>
            </w:pPr>
            <w:r>
              <w:rPr>
                <w:rFonts w:ascii="黑体" w:hAnsi="黑体" w:eastAsia="黑体"/>
                <w:snapToGrid w:val="0"/>
                <w:spacing w:val="-6"/>
                <w:kern w:val="21"/>
                <w:szCs w:val="21"/>
              </w:rPr>
              <w:t>现有工程</w:t>
            </w:r>
          </w:p>
          <w:p w14:paraId="3E25B9A8">
            <w:pPr>
              <w:pStyle w:val="40"/>
              <w:spacing w:beforeLines="0" w:afterLines="0" w:line="240" w:lineRule="auto"/>
              <w:rPr>
                <w:rFonts w:ascii="黑体" w:hAnsi="黑体" w:eastAsia="黑体"/>
                <w:snapToGrid w:val="0"/>
                <w:spacing w:val="-6"/>
                <w:kern w:val="21"/>
                <w:szCs w:val="21"/>
              </w:rPr>
            </w:pPr>
            <w:r>
              <w:rPr>
                <w:rFonts w:ascii="黑体" w:hAnsi="黑体" w:eastAsia="黑体"/>
                <w:snapToGrid w:val="0"/>
                <w:spacing w:val="-6"/>
                <w:kern w:val="21"/>
                <w:szCs w:val="21"/>
              </w:rPr>
              <w:t>许可排放量</w:t>
            </w:r>
          </w:p>
          <w:p w14:paraId="14CE6FEC">
            <w:pPr>
              <w:pStyle w:val="40"/>
              <w:spacing w:beforeLines="0" w:afterLines="0"/>
              <w:rPr>
                <w:rFonts w:ascii="黑体" w:hAnsi="黑体" w:eastAsia="黑体"/>
                <w:snapToGrid w:val="0"/>
                <w:spacing w:val="-6"/>
                <w:kern w:val="21"/>
                <w:szCs w:val="21"/>
              </w:rPr>
            </w:pPr>
            <w:r>
              <w:rPr>
                <w:rFonts w:ascii="黑体" w:hAnsi="黑体" w:eastAsia="黑体"/>
                <w:snapToGrid w:val="0"/>
                <w:spacing w:val="-6"/>
                <w:kern w:val="21"/>
                <w:szCs w:val="21"/>
              </w:rPr>
              <w:fldChar w:fldCharType="begin"/>
            </w:r>
            <w:r>
              <w:rPr>
                <w:rFonts w:ascii="黑体" w:hAnsi="黑体" w:eastAsia="黑体"/>
                <w:snapToGrid w:val="0"/>
                <w:spacing w:val="-6"/>
                <w:kern w:val="21"/>
                <w:szCs w:val="21"/>
              </w:rPr>
              <w:instrText xml:space="preserve"> = 2 \* GB3 \* MERGEFORMAT </w:instrText>
            </w:r>
            <w:r>
              <w:rPr>
                <w:rFonts w:ascii="黑体" w:hAnsi="黑体" w:eastAsia="黑体"/>
                <w:snapToGrid w:val="0"/>
                <w:spacing w:val="-6"/>
                <w:kern w:val="21"/>
                <w:szCs w:val="21"/>
              </w:rPr>
              <w:fldChar w:fldCharType="separate"/>
            </w:r>
            <w:r>
              <w:rPr>
                <w:rFonts w:hint="eastAsia" w:ascii="黑体" w:hAnsi="黑体" w:eastAsia="黑体" w:cs="宋体"/>
                <w:snapToGrid w:val="0"/>
                <w:spacing w:val="-6"/>
                <w:kern w:val="21"/>
                <w:szCs w:val="21"/>
              </w:rPr>
              <w:t>②</w:t>
            </w:r>
            <w:r>
              <w:rPr>
                <w:rFonts w:ascii="黑体" w:hAnsi="黑体" w:eastAsia="黑体"/>
                <w:snapToGrid w:val="0"/>
                <w:spacing w:val="-6"/>
                <w:kern w:val="21"/>
                <w:szCs w:val="21"/>
              </w:rPr>
              <w:fldChar w:fldCharType="end"/>
            </w:r>
          </w:p>
        </w:tc>
        <w:tc>
          <w:tcPr>
            <w:tcW w:w="1713" w:type="dxa"/>
            <w:tcMar>
              <w:left w:w="28" w:type="dxa"/>
              <w:right w:w="28" w:type="dxa"/>
            </w:tcMar>
            <w:vAlign w:val="center"/>
          </w:tcPr>
          <w:p w14:paraId="22436EC6">
            <w:pPr>
              <w:pStyle w:val="40"/>
              <w:spacing w:beforeLines="0" w:afterLines="0" w:line="240" w:lineRule="auto"/>
              <w:rPr>
                <w:rFonts w:hint="eastAsia" w:ascii="黑体" w:hAnsi="黑体" w:eastAsia="黑体"/>
                <w:snapToGrid w:val="0"/>
                <w:spacing w:val="-6"/>
                <w:kern w:val="21"/>
                <w:szCs w:val="21"/>
              </w:rPr>
            </w:pPr>
            <w:r>
              <w:rPr>
                <w:rFonts w:ascii="黑体" w:hAnsi="黑体" w:eastAsia="黑体"/>
                <w:snapToGrid w:val="0"/>
                <w:spacing w:val="-6"/>
                <w:kern w:val="21"/>
                <w:szCs w:val="21"/>
              </w:rPr>
              <w:t>在建工程</w:t>
            </w:r>
          </w:p>
          <w:p w14:paraId="6C8841BB">
            <w:pPr>
              <w:pStyle w:val="40"/>
              <w:spacing w:beforeLines="0" w:afterLines="0" w:line="240" w:lineRule="auto"/>
              <w:rPr>
                <w:rFonts w:ascii="黑体" w:hAnsi="黑体" w:eastAsia="黑体"/>
                <w:snapToGrid w:val="0"/>
                <w:spacing w:val="-6"/>
                <w:kern w:val="21"/>
                <w:szCs w:val="21"/>
              </w:rPr>
            </w:pPr>
            <w:r>
              <w:rPr>
                <w:rFonts w:ascii="黑体" w:hAnsi="黑体" w:eastAsia="黑体"/>
                <w:snapToGrid w:val="0"/>
                <w:spacing w:val="-6"/>
                <w:kern w:val="21"/>
                <w:szCs w:val="21"/>
              </w:rPr>
              <w:t>排放量（固</w:t>
            </w:r>
            <w:r>
              <w:rPr>
                <w:rFonts w:hint="eastAsia" w:ascii="黑体" w:hAnsi="黑体" w:eastAsia="黑体"/>
                <w:snapToGrid w:val="0"/>
                <w:spacing w:val="-6"/>
                <w:kern w:val="21"/>
                <w:szCs w:val="21"/>
              </w:rPr>
              <w:t>体</w:t>
            </w:r>
            <w:r>
              <w:rPr>
                <w:rFonts w:ascii="黑体" w:hAnsi="黑体" w:eastAsia="黑体"/>
                <w:snapToGrid w:val="0"/>
                <w:spacing w:val="-6"/>
                <w:kern w:val="21"/>
                <w:szCs w:val="21"/>
              </w:rPr>
              <w:t>废</w:t>
            </w:r>
            <w:r>
              <w:rPr>
                <w:rFonts w:hint="eastAsia" w:ascii="黑体" w:hAnsi="黑体" w:eastAsia="黑体"/>
                <w:snapToGrid w:val="0"/>
                <w:spacing w:val="-6"/>
                <w:kern w:val="21"/>
                <w:szCs w:val="21"/>
              </w:rPr>
              <w:t>物</w:t>
            </w:r>
            <w:r>
              <w:rPr>
                <w:rFonts w:ascii="黑体" w:hAnsi="黑体" w:eastAsia="黑体"/>
                <w:snapToGrid w:val="0"/>
                <w:spacing w:val="-6"/>
                <w:kern w:val="21"/>
                <w:szCs w:val="21"/>
              </w:rPr>
              <w:t>产生量）</w:t>
            </w:r>
            <w:r>
              <w:rPr>
                <w:rFonts w:ascii="黑体" w:hAnsi="黑体" w:eastAsia="黑体"/>
                <w:snapToGrid w:val="0"/>
                <w:spacing w:val="-6"/>
                <w:kern w:val="21"/>
                <w:szCs w:val="21"/>
              </w:rPr>
              <w:fldChar w:fldCharType="begin"/>
            </w:r>
            <w:r>
              <w:rPr>
                <w:rFonts w:ascii="黑体" w:hAnsi="黑体" w:eastAsia="黑体"/>
                <w:snapToGrid w:val="0"/>
                <w:spacing w:val="-6"/>
                <w:kern w:val="21"/>
                <w:szCs w:val="21"/>
              </w:rPr>
              <w:instrText xml:space="preserve"> = 3 \* GB3 \* MERGEFORMAT </w:instrText>
            </w:r>
            <w:r>
              <w:rPr>
                <w:rFonts w:ascii="黑体" w:hAnsi="黑体" w:eastAsia="黑体"/>
                <w:snapToGrid w:val="0"/>
                <w:spacing w:val="-6"/>
                <w:kern w:val="21"/>
                <w:szCs w:val="21"/>
              </w:rPr>
              <w:fldChar w:fldCharType="separate"/>
            </w:r>
            <w:r>
              <w:rPr>
                <w:rFonts w:hint="eastAsia" w:ascii="黑体" w:hAnsi="黑体" w:eastAsia="黑体" w:cs="宋体"/>
                <w:kern w:val="2"/>
                <w:szCs w:val="21"/>
              </w:rPr>
              <w:t>③</w:t>
            </w:r>
            <w:r>
              <w:rPr>
                <w:rFonts w:ascii="黑体" w:hAnsi="黑体" w:eastAsia="黑体"/>
                <w:snapToGrid w:val="0"/>
                <w:spacing w:val="-6"/>
                <w:kern w:val="21"/>
                <w:szCs w:val="21"/>
              </w:rPr>
              <w:fldChar w:fldCharType="end"/>
            </w:r>
          </w:p>
        </w:tc>
        <w:tc>
          <w:tcPr>
            <w:tcW w:w="1587" w:type="dxa"/>
            <w:tcMar>
              <w:left w:w="28" w:type="dxa"/>
              <w:right w:w="28" w:type="dxa"/>
            </w:tcMar>
            <w:vAlign w:val="center"/>
          </w:tcPr>
          <w:p w14:paraId="5B7E7AAA">
            <w:pPr>
              <w:pStyle w:val="40"/>
              <w:spacing w:beforeLines="0" w:afterLines="0" w:line="240" w:lineRule="auto"/>
              <w:rPr>
                <w:rFonts w:hint="eastAsia" w:ascii="黑体" w:hAnsi="黑体" w:eastAsia="黑体"/>
                <w:snapToGrid w:val="0"/>
                <w:spacing w:val="-6"/>
                <w:kern w:val="21"/>
                <w:szCs w:val="21"/>
              </w:rPr>
            </w:pPr>
            <w:r>
              <w:rPr>
                <w:rFonts w:ascii="黑体" w:hAnsi="黑体" w:eastAsia="黑体"/>
                <w:snapToGrid w:val="0"/>
                <w:spacing w:val="-6"/>
                <w:kern w:val="21"/>
                <w:szCs w:val="21"/>
              </w:rPr>
              <w:t>本项目</w:t>
            </w:r>
          </w:p>
          <w:p w14:paraId="13554562">
            <w:pPr>
              <w:pStyle w:val="40"/>
              <w:spacing w:beforeLines="0" w:afterLines="0" w:line="240" w:lineRule="auto"/>
              <w:rPr>
                <w:rFonts w:ascii="黑体" w:hAnsi="黑体" w:eastAsia="黑体"/>
                <w:snapToGrid w:val="0"/>
                <w:spacing w:val="-6"/>
                <w:kern w:val="21"/>
                <w:szCs w:val="21"/>
              </w:rPr>
            </w:pPr>
            <w:r>
              <w:rPr>
                <w:rFonts w:ascii="黑体" w:hAnsi="黑体" w:eastAsia="黑体"/>
                <w:snapToGrid w:val="0"/>
                <w:spacing w:val="-6"/>
                <w:kern w:val="21"/>
                <w:szCs w:val="21"/>
              </w:rPr>
              <w:t>排放量（固</w:t>
            </w:r>
            <w:r>
              <w:rPr>
                <w:rFonts w:hint="eastAsia" w:ascii="黑体" w:hAnsi="黑体" w:eastAsia="黑体"/>
                <w:snapToGrid w:val="0"/>
                <w:spacing w:val="-6"/>
                <w:kern w:val="21"/>
                <w:szCs w:val="21"/>
              </w:rPr>
              <w:t>体</w:t>
            </w:r>
            <w:r>
              <w:rPr>
                <w:rFonts w:ascii="黑体" w:hAnsi="黑体" w:eastAsia="黑体"/>
                <w:snapToGrid w:val="0"/>
                <w:spacing w:val="-6"/>
                <w:kern w:val="21"/>
                <w:szCs w:val="21"/>
              </w:rPr>
              <w:t>废</w:t>
            </w:r>
            <w:r>
              <w:rPr>
                <w:rFonts w:hint="eastAsia" w:ascii="黑体" w:hAnsi="黑体" w:eastAsia="黑体"/>
                <w:snapToGrid w:val="0"/>
                <w:spacing w:val="-6"/>
                <w:kern w:val="21"/>
                <w:szCs w:val="21"/>
              </w:rPr>
              <w:t>物</w:t>
            </w:r>
            <w:r>
              <w:rPr>
                <w:rFonts w:ascii="黑体" w:hAnsi="黑体" w:eastAsia="黑体"/>
                <w:snapToGrid w:val="0"/>
                <w:spacing w:val="-6"/>
                <w:kern w:val="21"/>
                <w:szCs w:val="21"/>
              </w:rPr>
              <w:t>产生量）</w:t>
            </w:r>
            <w:r>
              <w:rPr>
                <w:rFonts w:ascii="黑体" w:hAnsi="黑体" w:eastAsia="黑体"/>
                <w:snapToGrid w:val="0"/>
                <w:spacing w:val="-6"/>
                <w:kern w:val="21"/>
                <w:szCs w:val="21"/>
              </w:rPr>
              <w:fldChar w:fldCharType="begin"/>
            </w:r>
            <w:r>
              <w:rPr>
                <w:rFonts w:ascii="黑体" w:hAnsi="黑体" w:eastAsia="黑体"/>
                <w:snapToGrid w:val="0"/>
                <w:spacing w:val="-6"/>
                <w:kern w:val="21"/>
                <w:szCs w:val="21"/>
              </w:rPr>
              <w:instrText xml:space="preserve"> = 4 \* GB3 \* MERGEFORMAT </w:instrText>
            </w:r>
            <w:r>
              <w:rPr>
                <w:rFonts w:ascii="黑体" w:hAnsi="黑体" w:eastAsia="黑体"/>
                <w:snapToGrid w:val="0"/>
                <w:spacing w:val="-6"/>
                <w:kern w:val="21"/>
                <w:szCs w:val="21"/>
              </w:rPr>
              <w:fldChar w:fldCharType="separate"/>
            </w:r>
            <w:r>
              <w:rPr>
                <w:rFonts w:hint="eastAsia" w:ascii="黑体" w:hAnsi="黑体" w:eastAsia="黑体" w:cs="宋体"/>
                <w:kern w:val="2"/>
                <w:szCs w:val="21"/>
              </w:rPr>
              <w:t>④</w:t>
            </w:r>
            <w:r>
              <w:rPr>
                <w:rFonts w:ascii="黑体" w:hAnsi="黑体" w:eastAsia="黑体"/>
                <w:snapToGrid w:val="0"/>
                <w:spacing w:val="-6"/>
                <w:kern w:val="21"/>
                <w:szCs w:val="21"/>
              </w:rPr>
              <w:fldChar w:fldCharType="end"/>
            </w:r>
          </w:p>
        </w:tc>
        <w:tc>
          <w:tcPr>
            <w:tcW w:w="1700" w:type="dxa"/>
            <w:tcMar>
              <w:left w:w="28" w:type="dxa"/>
              <w:right w:w="28" w:type="dxa"/>
            </w:tcMar>
            <w:vAlign w:val="center"/>
          </w:tcPr>
          <w:p w14:paraId="03CEF285">
            <w:pPr>
              <w:pStyle w:val="40"/>
              <w:spacing w:beforeLines="0" w:afterLines="0" w:line="240" w:lineRule="auto"/>
              <w:rPr>
                <w:rFonts w:hint="eastAsia" w:ascii="黑体" w:hAnsi="黑体" w:eastAsia="黑体"/>
                <w:snapToGrid w:val="0"/>
                <w:spacing w:val="-16"/>
                <w:kern w:val="21"/>
                <w:szCs w:val="21"/>
              </w:rPr>
            </w:pPr>
            <w:r>
              <w:rPr>
                <w:rFonts w:ascii="黑体" w:hAnsi="黑体" w:eastAsia="黑体"/>
                <w:snapToGrid w:val="0"/>
                <w:spacing w:val="-16"/>
                <w:kern w:val="21"/>
                <w:szCs w:val="21"/>
              </w:rPr>
              <w:t>以新带老削减量</w:t>
            </w:r>
          </w:p>
          <w:p w14:paraId="7902AC61">
            <w:pPr>
              <w:pStyle w:val="40"/>
              <w:spacing w:beforeLines="0" w:afterLines="0" w:line="240" w:lineRule="auto"/>
              <w:rPr>
                <w:rFonts w:ascii="黑体" w:hAnsi="黑体" w:eastAsia="黑体"/>
                <w:snapToGrid w:val="0"/>
                <w:spacing w:val="-16"/>
                <w:kern w:val="21"/>
                <w:szCs w:val="21"/>
              </w:rPr>
            </w:pPr>
            <w:r>
              <w:rPr>
                <w:rFonts w:ascii="黑体" w:hAnsi="黑体" w:eastAsia="黑体"/>
                <w:snapToGrid w:val="0"/>
                <w:spacing w:val="-16"/>
                <w:kern w:val="21"/>
                <w:szCs w:val="21"/>
              </w:rPr>
              <w:t>（新建项目不填）</w:t>
            </w:r>
            <w:r>
              <w:rPr>
                <w:rFonts w:ascii="黑体" w:hAnsi="黑体" w:eastAsia="黑体"/>
                <w:snapToGrid w:val="0"/>
                <w:spacing w:val="-16"/>
                <w:kern w:val="21"/>
                <w:szCs w:val="21"/>
              </w:rPr>
              <w:fldChar w:fldCharType="begin"/>
            </w:r>
            <w:r>
              <w:rPr>
                <w:rFonts w:ascii="黑体" w:hAnsi="黑体" w:eastAsia="黑体"/>
                <w:snapToGrid w:val="0"/>
                <w:spacing w:val="-16"/>
                <w:kern w:val="21"/>
                <w:szCs w:val="21"/>
              </w:rPr>
              <w:instrText xml:space="preserve"> = 5 \* GB3 \* MERGEFORMAT </w:instrText>
            </w:r>
            <w:r>
              <w:rPr>
                <w:rFonts w:ascii="黑体" w:hAnsi="黑体" w:eastAsia="黑体"/>
                <w:snapToGrid w:val="0"/>
                <w:spacing w:val="-16"/>
                <w:kern w:val="21"/>
                <w:szCs w:val="21"/>
              </w:rPr>
              <w:fldChar w:fldCharType="separate"/>
            </w:r>
            <w:r>
              <w:rPr>
                <w:rFonts w:hint="eastAsia" w:ascii="黑体" w:hAnsi="黑体" w:eastAsia="黑体" w:cs="宋体"/>
                <w:kern w:val="2"/>
                <w:szCs w:val="21"/>
              </w:rPr>
              <w:t>⑤</w:t>
            </w:r>
            <w:r>
              <w:rPr>
                <w:rFonts w:ascii="黑体" w:hAnsi="黑体" w:eastAsia="黑体"/>
                <w:snapToGrid w:val="0"/>
                <w:spacing w:val="-16"/>
                <w:kern w:val="21"/>
                <w:szCs w:val="21"/>
              </w:rPr>
              <w:fldChar w:fldCharType="end"/>
            </w:r>
          </w:p>
        </w:tc>
        <w:tc>
          <w:tcPr>
            <w:tcW w:w="2013" w:type="dxa"/>
            <w:tcMar>
              <w:left w:w="28" w:type="dxa"/>
              <w:right w:w="28" w:type="dxa"/>
            </w:tcMar>
            <w:vAlign w:val="center"/>
          </w:tcPr>
          <w:p w14:paraId="638AAB24">
            <w:pPr>
              <w:pStyle w:val="40"/>
              <w:spacing w:beforeLines="0" w:afterLines="0" w:line="240" w:lineRule="auto"/>
              <w:rPr>
                <w:rFonts w:hint="eastAsia" w:ascii="黑体" w:hAnsi="黑体" w:eastAsia="黑体"/>
                <w:snapToGrid w:val="0"/>
                <w:spacing w:val="-16"/>
                <w:kern w:val="21"/>
                <w:szCs w:val="21"/>
              </w:rPr>
            </w:pPr>
            <w:r>
              <w:rPr>
                <w:rFonts w:ascii="黑体" w:hAnsi="黑体" w:eastAsia="黑体"/>
                <w:snapToGrid w:val="0"/>
                <w:spacing w:val="-16"/>
                <w:kern w:val="21"/>
                <w:szCs w:val="21"/>
              </w:rPr>
              <w:t>本项目建成后</w:t>
            </w:r>
          </w:p>
          <w:p w14:paraId="246DE689">
            <w:pPr>
              <w:pStyle w:val="40"/>
              <w:spacing w:beforeLines="0" w:afterLines="0" w:line="240" w:lineRule="auto"/>
              <w:rPr>
                <w:rFonts w:ascii="黑体" w:hAnsi="黑体" w:eastAsia="黑体"/>
                <w:snapToGrid w:val="0"/>
                <w:spacing w:val="-16"/>
                <w:kern w:val="21"/>
                <w:szCs w:val="21"/>
              </w:rPr>
            </w:pPr>
            <w:r>
              <w:rPr>
                <w:rFonts w:hint="eastAsia" w:ascii="黑体" w:hAnsi="黑体" w:eastAsia="黑体"/>
                <w:snapToGrid w:val="0"/>
                <w:spacing w:val="-16"/>
                <w:kern w:val="21"/>
                <w:szCs w:val="21"/>
              </w:rPr>
              <w:t>全厂</w:t>
            </w:r>
            <w:r>
              <w:rPr>
                <w:rFonts w:ascii="黑体" w:hAnsi="黑体" w:eastAsia="黑体"/>
                <w:snapToGrid w:val="0"/>
                <w:spacing w:val="-16"/>
                <w:kern w:val="21"/>
                <w:szCs w:val="21"/>
              </w:rPr>
              <w:t>排放量（固</w:t>
            </w:r>
            <w:r>
              <w:rPr>
                <w:rFonts w:hint="eastAsia" w:ascii="黑体" w:hAnsi="黑体" w:eastAsia="黑体"/>
                <w:snapToGrid w:val="0"/>
                <w:spacing w:val="-16"/>
                <w:kern w:val="21"/>
                <w:szCs w:val="21"/>
              </w:rPr>
              <w:t>体</w:t>
            </w:r>
            <w:r>
              <w:rPr>
                <w:rFonts w:ascii="黑体" w:hAnsi="黑体" w:eastAsia="黑体"/>
                <w:snapToGrid w:val="0"/>
                <w:spacing w:val="-16"/>
                <w:kern w:val="21"/>
                <w:szCs w:val="21"/>
              </w:rPr>
              <w:t>废</w:t>
            </w:r>
            <w:r>
              <w:rPr>
                <w:rFonts w:hint="eastAsia" w:ascii="黑体" w:hAnsi="黑体" w:eastAsia="黑体"/>
                <w:snapToGrid w:val="0"/>
                <w:spacing w:val="-16"/>
                <w:kern w:val="21"/>
                <w:szCs w:val="21"/>
              </w:rPr>
              <w:t>物</w:t>
            </w:r>
            <w:r>
              <w:rPr>
                <w:rFonts w:ascii="黑体" w:hAnsi="黑体" w:eastAsia="黑体"/>
                <w:snapToGrid w:val="0"/>
                <w:spacing w:val="-16"/>
                <w:kern w:val="21"/>
                <w:szCs w:val="21"/>
              </w:rPr>
              <w:t>产生量）</w:t>
            </w:r>
            <w:r>
              <w:rPr>
                <w:rFonts w:ascii="黑体" w:hAnsi="黑体" w:eastAsia="黑体"/>
                <w:snapToGrid w:val="0"/>
                <w:spacing w:val="-16"/>
                <w:kern w:val="21"/>
                <w:szCs w:val="21"/>
              </w:rPr>
              <w:fldChar w:fldCharType="begin"/>
            </w:r>
            <w:r>
              <w:rPr>
                <w:rFonts w:ascii="黑体" w:hAnsi="黑体" w:eastAsia="黑体"/>
                <w:snapToGrid w:val="0"/>
                <w:spacing w:val="-16"/>
                <w:kern w:val="21"/>
                <w:szCs w:val="21"/>
              </w:rPr>
              <w:instrText xml:space="preserve"> = 6 \* GB3 \* MERGEFORMAT </w:instrText>
            </w:r>
            <w:r>
              <w:rPr>
                <w:rFonts w:ascii="黑体" w:hAnsi="黑体" w:eastAsia="黑体"/>
                <w:snapToGrid w:val="0"/>
                <w:spacing w:val="-16"/>
                <w:kern w:val="21"/>
                <w:szCs w:val="21"/>
              </w:rPr>
              <w:fldChar w:fldCharType="separate"/>
            </w:r>
            <w:r>
              <w:rPr>
                <w:rFonts w:hint="eastAsia" w:ascii="黑体" w:hAnsi="黑体" w:eastAsia="黑体" w:cs="宋体"/>
                <w:kern w:val="2"/>
                <w:szCs w:val="21"/>
              </w:rPr>
              <w:t>⑥</w:t>
            </w:r>
            <w:r>
              <w:rPr>
                <w:rFonts w:ascii="黑体" w:hAnsi="黑体" w:eastAsia="黑体"/>
                <w:snapToGrid w:val="0"/>
                <w:spacing w:val="-16"/>
                <w:kern w:val="21"/>
                <w:szCs w:val="21"/>
              </w:rPr>
              <w:fldChar w:fldCharType="end"/>
            </w:r>
          </w:p>
        </w:tc>
        <w:tc>
          <w:tcPr>
            <w:tcW w:w="1352" w:type="dxa"/>
            <w:tcMar>
              <w:left w:w="28" w:type="dxa"/>
              <w:right w:w="28" w:type="dxa"/>
            </w:tcMar>
            <w:vAlign w:val="center"/>
          </w:tcPr>
          <w:p w14:paraId="49CE5F02">
            <w:pPr>
              <w:pStyle w:val="40"/>
              <w:spacing w:beforeLines="0" w:afterLines="0" w:line="240" w:lineRule="auto"/>
              <w:rPr>
                <w:rFonts w:ascii="黑体" w:hAnsi="黑体" w:eastAsia="黑体"/>
                <w:snapToGrid w:val="0"/>
                <w:spacing w:val="-6"/>
                <w:kern w:val="21"/>
                <w:szCs w:val="21"/>
              </w:rPr>
            </w:pPr>
            <w:r>
              <w:rPr>
                <w:rFonts w:ascii="黑体" w:hAnsi="黑体" w:eastAsia="黑体"/>
                <w:snapToGrid w:val="0"/>
                <w:spacing w:val="-6"/>
                <w:kern w:val="21"/>
                <w:szCs w:val="21"/>
              </w:rPr>
              <w:t>变化量</w:t>
            </w:r>
          </w:p>
          <w:p w14:paraId="23994E77">
            <w:pPr>
              <w:pStyle w:val="40"/>
              <w:spacing w:beforeLines="0" w:afterLines="0" w:line="240" w:lineRule="auto"/>
              <w:rPr>
                <w:rFonts w:ascii="黑体" w:hAnsi="黑体" w:eastAsia="黑体"/>
                <w:snapToGrid w:val="0"/>
                <w:spacing w:val="-6"/>
                <w:kern w:val="21"/>
                <w:szCs w:val="21"/>
              </w:rPr>
            </w:pPr>
            <w:r>
              <w:rPr>
                <w:rFonts w:ascii="黑体" w:hAnsi="黑体" w:eastAsia="黑体"/>
                <w:snapToGrid w:val="0"/>
                <w:spacing w:val="-6"/>
                <w:kern w:val="21"/>
                <w:szCs w:val="21"/>
              </w:rPr>
              <w:fldChar w:fldCharType="begin"/>
            </w:r>
            <w:r>
              <w:rPr>
                <w:rFonts w:ascii="黑体" w:hAnsi="黑体" w:eastAsia="黑体"/>
                <w:snapToGrid w:val="0"/>
                <w:spacing w:val="-6"/>
                <w:kern w:val="21"/>
                <w:szCs w:val="21"/>
              </w:rPr>
              <w:instrText xml:space="preserve"> = 7 \* GB3 \* MERGEFORMAT </w:instrText>
            </w:r>
            <w:r>
              <w:rPr>
                <w:rFonts w:ascii="黑体" w:hAnsi="黑体" w:eastAsia="黑体"/>
                <w:snapToGrid w:val="0"/>
                <w:spacing w:val="-6"/>
                <w:kern w:val="21"/>
                <w:szCs w:val="21"/>
              </w:rPr>
              <w:fldChar w:fldCharType="separate"/>
            </w:r>
            <w:r>
              <w:rPr>
                <w:rFonts w:hint="eastAsia" w:ascii="黑体" w:hAnsi="黑体" w:eastAsia="黑体" w:cs="宋体"/>
                <w:kern w:val="2"/>
                <w:szCs w:val="21"/>
              </w:rPr>
              <w:t>⑦</w:t>
            </w:r>
            <w:r>
              <w:rPr>
                <w:rFonts w:ascii="黑体" w:hAnsi="黑体" w:eastAsia="黑体"/>
                <w:snapToGrid w:val="0"/>
                <w:spacing w:val="-6"/>
                <w:kern w:val="21"/>
                <w:szCs w:val="21"/>
              </w:rPr>
              <w:fldChar w:fldCharType="end"/>
            </w:r>
          </w:p>
        </w:tc>
      </w:tr>
      <w:tr w14:paraId="6EC189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Align w:val="center"/>
          </w:tcPr>
          <w:p w14:paraId="07023640">
            <w:pPr>
              <w:pStyle w:val="40"/>
              <w:spacing w:beforeLines="0" w:afterLines="0" w:line="240" w:lineRule="auto"/>
              <w:rPr>
                <w:rFonts w:hint="eastAsia" w:hAnsi="宋体" w:cs="宋体"/>
                <w:snapToGrid w:val="0"/>
                <w:kern w:val="21"/>
                <w:szCs w:val="21"/>
              </w:rPr>
            </w:pPr>
            <w:r>
              <w:rPr>
                <w:rFonts w:hint="eastAsia" w:hAnsi="宋体" w:cs="宋体"/>
                <w:snapToGrid w:val="0"/>
                <w:kern w:val="21"/>
                <w:szCs w:val="21"/>
              </w:rPr>
              <w:t>废气</w:t>
            </w:r>
          </w:p>
        </w:tc>
        <w:tc>
          <w:tcPr>
            <w:tcW w:w="1135" w:type="dxa"/>
            <w:vAlign w:val="center"/>
          </w:tcPr>
          <w:p w14:paraId="2D39A40B">
            <w:pPr>
              <w:pStyle w:val="40"/>
              <w:spacing w:beforeLines="0" w:afterLines="0" w:line="240" w:lineRule="auto"/>
              <w:rPr>
                <w:rFonts w:hAnsi="宋体" w:cs="宋体"/>
                <w:snapToGrid w:val="0"/>
                <w:kern w:val="21"/>
                <w:szCs w:val="21"/>
              </w:rPr>
            </w:pPr>
            <w:r>
              <w:rPr>
                <w:rFonts w:hint="eastAsia" w:hAnsi="宋体" w:cs="宋体"/>
                <w:snapToGrid w:val="0"/>
                <w:kern w:val="21"/>
                <w:szCs w:val="21"/>
              </w:rPr>
              <w:t>非甲烷总烃</w:t>
            </w:r>
          </w:p>
        </w:tc>
        <w:tc>
          <w:tcPr>
            <w:tcW w:w="1513" w:type="dxa"/>
            <w:vAlign w:val="center"/>
          </w:tcPr>
          <w:p w14:paraId="04C519FD">
            <w:pPr>
              <w:pStyle w:val="40"/>
              <w:spacing w:beforeLines="0" w:afterLines="0" w:line="240" w:lineRule="auto"/>
              <w:rPr>
                <w:rFonts w:hAnsi="宋体" w:cs="宋体"/>
                <w:snapToGrid w:val="0"/>
                <w:kern w:val="21"/>
                <w:szCs w:val="21"/>
              </w:rPr>
            </w:pPr>
            <w:r>
              <w:rPr>
                <w:rFonts w:hint="eastAsia"/>
              </w:rPr>
              <w:t>/</w:t>
            </w:r>
          </w:p>
        </w:tc>
        <w:tc>
          <w:tcPr>
            <w:tcW w:w="1187" w:type="dxa"/>
            <w:vAlign w:val="center"/>
          </w:tcPr>
          <w:p w14:paraId="6D9CEBFD">
            <w:pPr>
              <w:jc w:val="center"/>
              <w:rPr>
                <w:rFonts w:hAnsi="宋体" w:cs="宋体"/>
                <w:snapToGrid w:val="0"/>
                <w:kern w:val="21"/>
                <w:szCs w:val="21"/>
              </w:rPr>
            </w:pPr>
            <w:r>
              <w:rPr>
                <w:rFonts w:hint="eastAsia" w:hAnsi="宋体" w:cs="宋体"/>
                <w:snapToGrid w:val="0"/>
                <w:kern w:val="21"/>
                <w:szCs w:val="21"/>
              </w:rPr>
              <w:t>/</w:t>
            </w:r>
          </w:p>
        </w:tc>
        <w:tc>
          <w:tcPr>
            <w:tcW w:w="1713" w:type="dxa"/>
            <w:vAlign w:val="center"/>
          </w:tcPr>
          <w:p w14:paraId="3E2FFEB5">
            <w:pPr>
              <w:jc w:val="center"/>
              <w:rPr>
                <w:rFonts w:hAnsi="宋体" w:cs="宋体"/>
                <w:snapToGrid w:val="0"/>
                <w:kern w:val="21"/>
                <w:szCs w:val="21"/>
              </w:rPr>
            </w:pPr>
            <w:r>
              <w:rPr>
                <w:rFonts w:hint="eastAsia" w:hAnsi="宋体" w:cs="宋体"/>
                <w:snapToGrid w:val="0"/>
                <w:kern w:val="21"/>
                <w:szCs w:val="21"/>
              </w:rPr>
              <w:t>/</w:t>
            </w:r>
          </w:p>
        </w:tc>
        <w:tc>
          <w:tcPr>
            <w:tcW w:w="1587" w:type="dxa"/>
            <w:vAlign w:val="center"/>
          </w:tcPr>
          <w:p w14:paraId="3F4D62D2">
            <w:pPr>
              <w:pStyle w:val="40"/>
              <w:spacing w:beforeLines="0" w:afterLines="0" w:line="240" w:lineRule="auto"/>
              <w:rPr>
                <w:rFonts w:hint="eastAsia" w:ascii="Times New Roman"/>
                <w:snapToGrid w:val="0"/>
                <w:kern w:val="21"/>
                <w:szCs w:val="21"/>
              </w:rPr>
            </w:pPr>
            <w:r>
              <w:rPr>
                <w:rFonts w:hint="eastAsia" w:ascii="Times New Roman"/>
                <w:snapToGrid w:val="0"/>
                <w:kern w:val="21"/>
                <w:szCs w:val="21"/>
              </w:rPr>
              <w:t>3.563t/a</w:t>
            </w:r>
          </w:p>
        </w:tc>
        <w:tc>
          <w:tcPr>
            <w:tcW w:w="1700" w:type="dxa"/>
            <w:vAlign w:val="center"/>
          </w:tcPr>
          <w:p w14:paraId="6354D3AF">
            <w:pPr>
              <w:pStyle w:val="40"/>
              <w:spacing w:beforeLines="0" w:afterLines="0" w:line="240" w:lineRule="auto"/>
              <w:rPr>
                <w:rFonts w:hint="eastAsia" w:ascii="Times New Roman"/>
                <w:snapToGrid w:val="0"/>
                <w:kern w:val="21"/>
                <w:szCs w:val="21"/>
              </w:rPr>
            </w:pPr>
            <w:r>
              <w:rPr>
                <w:rFonts w:hint="eastAsia" w:ascii="Times New Roman"/>
                <w:snapToGrid w:val="0"/>
                <w:kern w:val="21"/>
                <w:szCs w:val="21"/>
              </w:rPr>
              <w:t>/</w:t>
            </w:r>
          </w:p>
        </w:tc>
        <w:tc>
          <w:tcPr>
            <w:tcW w:w="2013" w:type="dxa"/>
            <w:vAlign w:val="center"/>
          </w:tcPr>
          <w:p w14:paraId="28A5E230">
            <w:pPr>
              <w:pStyle w:val="40"/>
              <w:spacing w:beforeLines="0" w:afterLines="0" w:line="240" w:lineRule="auto"/>
              <w:rPr>
                <w:rFonts w:hint="eastAsia" w:ascii="Times New Roman"/>
                <w:snapToGrid w:val="0"/>
                <w:kern w:val="21"/>
                <w:szCs w:val="21"/>
              </w:rPr>
            </w:pPr>
            <w:r>
              <w:rPr>
                <w:rFonts w:hint="eastAsia" w:ascii="Times New Roman"/>
                <w:snapToGrid w:val="0"/>
                <w:kern w:val="21"/>
                <w:szCs w:val="21"/>
              </w:rPr>
              <w:t>3.563t/a</w:t>
            </w:r>
          </w:p>
        </w:tc>
        <w:tc>
          <w:tcPr>
            <w:tcW w:w="1352" w:type="dxa"/>
            <w:vAlign w:val="center"/>
          </w:tcPr>
          <w:p w14:paraId="4390DE60">
            <w:pPr>
              <w:pStyle w:val="40"/>
              <w:spacing w:beforeLines="0" w:afterLines="0" w:line="240" w:lineRule="auto"/>
              <w:rPr>
                <w:rFonts w:hint="eastAsia" w:ascii="Times New Roman"/>
                <w:snapToGrid w:val="0"/>
                <w:kern w:val="21"/>
                <w:szCs w:val="21"/>
              </w:rPr>
            </w:pPr>
            <w:r>
              <w:rPr>
                <w:rFonts w:hint="eastAsia" w:ascii="Times New Roman"/>
                <w:snapToGrid w:val="0"/>
                <w:kern w:val="21"/>
                <w:szCs w:val="21"/>
              </w:rPr>
              <w:t>+3.563t/a</w:t>
            </w:r>
          </w:p>
        </w:tc>
      </w:tr>
      <w:tr w14:paraId="073CE4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1588" w:type="dxa"/>
            <w:vMerge w:val="restart"/>
            <w:vAlign w:val="center"/>
          </w:tcPr>
          <w:p w14:paraId="395E6773">
            <w:pPr>
              <w:pStyle w:val="40"/>
              <w:spacing w:before="24" w:after="24" w:line="240" w:lineRule="auto"/>
              <w:rPr>
                <w:rFonts w:hint="eastAsia" w:ascii="Times New Roman"/>
              </w:rPr>
            </w:pPr>
            <w:r>
              <w:rPr>
                <w:rFonts w:hint="eastAsia" w:ascii="Times New Roman"/>
              </w:rPr>
              <w:t>废水</w:t>
            </w:r>
          </w:p>
        </w:tc>
        <w:tc>
          <w:tcPr>
            <w:tcW w:w="1135" w:type="dxa"/>
            <w:vAlign w:val="center"/>
          </w:tcPr>
          <w:p w14:paraId="07ACB40C">
            <w:pPr>
              <w:pStyle w:val="40"/>
              <w:spacing w:before="24" w:after="24" w:line="240" w:lineRule="auto"/>
              <w:rPr>
                <w:rFonts w:ascii="Times New Roman"/>
              </w:rPr>
            </w:pPr>
            <w:r>
              <w:rPr>
                <w:rFonts w:ascii="Times New Roman"/>
              </w:rPr>
              <w:t>COD</w:t>
            </w:r>
          </w:p>
        </w:tc>
        <w:tc>
          <w:tcPr>
            <w:tcW w:w="1513" w:type="dxa"/>
            <w:vAlign w:val="center"/>
          </w:tcPr>
          <w:p w14:paraId="29848D7E">
            <w:pPr>
              <w:jc w:val="center"/>
            </w:pPr>
            <w:r>
              <w:rPr>
                <w:rFonts w:hint="eastAsia"/>
              </w:rPr>
              <w:t>/</w:t>
            </w:r>
          </w:p>
        </w:tc>
        <w:tc>
          <w:tcPr>
            <w:tcW w:w="1187" w:type="dxa"/>
            <w:vAlign w:val="center"/>
          </w:tcPr>
          <w:p w14:paraId="75222C9F">
            <w:pPr>
              <w:jc w:val="center"/>
              <w:rPr>
                <w:rFonts w:hAnsi="宋体" w:cs="宋体"/>
                <w:snapToGrid w:val="0"/>
                <w:kern w:val="21"/>
                <w:szCs w:val="21"/>
              </w:rPr>
            </w:pPr>
            <w:r>
              <w:rPr>
                <w:rFonts w:hint="eastAsia" w:hAnsi="宋体" w:cs="宋体"/>
                <w:snapToGrid w:val="0"/>
                <w:kern w:val="21"/>
                <w:szCs w:val="21"/>
              </w:rPr>
              <w:t>/</w:t>
            </w:r>
          </w:p>
        </w:tc>
        <w:tc>
          <w:tcPr>
            <w:tcW w:w="1713" w:type="dxa"/>
            <w:vAlign w:val="center"/>
          </w:tcPr>
          <w:p w14:paraId="6603B478">
            <w:pPr>
              <w:jc w:val="center"/>
              <w:rPr>
                <w:rFonts w:hAnsi="宋体" w:cs="宋体"/>
                <w:snapToGrid w:val="0"/>
                <w:kern w:val="21"/>
                <w:szCs w:val="21"/>
              </w:rPr>
            </w:pPr>
            <w:r>
              <w:rPr>
                <w:rFonts w:hint="eastAsia" w:hAnsi="宋体" w:cs="宋体"/>
                <w:snapToGrid w:val="0"/>
                <w:kern w:val="21"/>
                <w:szCs w:val="21"/>
              </w:rPr>
              <w:t>/</w:t>
            </w:r>
          </w:p>
        </w:tc>
        <w:tc>
          <w:tcPr>
            <w:tcW w:w="1587" w:type="dxa"/>
            <w:vAlign w:val="center"/>
          </w:tcPr>
          <w:p w14:paraId="5F0AEB1A">
            <w:pPr>
              <w:pStyle w:val="40"/>
              <w:spacing w:beforeLines="0" w:afterLines="0" w:line="240" w:lineRule="auto"/>
              <w:rPr>
                <w:rFonts w:ascii="Times New Roman"/>
                <w:snapToGrid w:val="0"/>
                <w:kern w:val="21"/>
                <w:szCs w:val="21"/>
              </w:rPr>
            </w:pPr>
            <w:r>
              <w:rPr>
                <w:rFonts w:hint="eastAsia" w:ascii="Times New Roman"/>
                <w:snapToGrid w:val="0"/>
                <w:kern w:val="21"/>
                <w:szCs w:val="21"/>
              </w:rPr>
              <w:t>0.420</w:t>
            </w:r>
            <w:r>
              <w:rPr>
                <w:rFonts w:ascii="Times New Roman"/>
                <w:snapToGrid w:val="0"/>
                <w:kern w:val="21"/>
                <w:szCs w:val="21"/>
              </w:rPr>
              <w:t>t/a</w:t>
            </w:r>
          </w:p>
        </w:tc>
        <w:tc>
          <w:tcPr>
            <w:tcW w:w="1700" w:type="dxa"/>
            <w:vAlign w:val="center"/>
          </w:tcPr>
          <w:p w14:paraId="23D63188">
            <w:pPr>
              <w:jc w:val="center"/>
            </w:pPr>
            <w:r>
              <w:rPr>
                <w:rFonts w:hint="eastAsia" w:hAnsi="宋体" w:cs="宋体"/>
                <w:snapToGrid w:val="0"/>
                <w:kern w:val="21"/>
                <w:szCs w:val="21"/>
              </w:rPr>
              <w:t>/</w:t>
            </w:r>
          </w:p>
        </w:tc>
        <w:tc>
          <w:tcPr>
            <w:tcW w:w="2013" w:type="dxa"/>
            <w:vAlign w:val="center"/>
          </w:tcPr>
          <w:p w14:paraId="18A6EE50">
            <w:pPr>
              <w:pStyle w:val="40"/>
              <w:spacing w:beforeLines="0" w:afterLines="0" w:line="240" w:lineRule="auto"/>
              <w:rPr>
                <w:rFonts w:ascii="Times New Roman"/>
                <w:snapToGrid w:val="0"/>
                <w:kern w:val="21"/>
                <w:szCs w:val="21"/>
              </w:rPr>
            </w:pPr>
            <w:r>
              <w:rPr>
                <w:rFonts w:hint="eastAsia" w:ascii="Times New Roman"/>
                <w:snapToGrid w:val="0"/>
                <w:kern w:val="21"/>
                <w:szCs w:val="21"/>
              </w:rPr>
              <w:t>0.420</w:t>
            </w:r>
            <w:r>
              <w:rPr>
                <w:rFonts w:ascii="Times New Roman"/>
                <w:snapToGrid w:val="0"/>
                <w:kern w:val="21"/>
                <w:szCs w:val="21"/>
              </w:rPr>
              <w:t>t/a</w:t>
            </w:r>
          </w:p>
        </w:tc>
        <w:tc>
          <w:tcPr>
            <w:tcW w:w="1352" w:type="dxa"/>
            <w:vAlign w:val="center"/>
          </w:tcPr>
          <w:p w14:paraId="1493A77E">
            <w:pPr>
              <w:pStyle w:val="40"/>
              <w:spacing w:beforeLines="0" w:afterLines="0" w:line="240" w:lineRule="auto"/>
            </w:pPr>
            <w:r>
              <w:rPr>
                <w:rFonts w:hint="eastAsia" w:ascii="Times New Roman"/>
                <w:snapToGrid w:val="0"/>
                <w:kern w:val="21"/>
                <w:szCs w:val="21"/>
              </w:rPr>
              <w:t>+0.420</w:t>
            </w:r>
            <w:r>
              <w:rPr>
                <w:rFonts w:ascii="Times New Roman"/>
                <w:snapToGrid w:val="0"/>
                <w:kern w:val="21"/>
                <w:szCs w:val="21"/>
              </w:rPr>
              <w:t>t/a</w:t>
            </w:r>
          </w:p>
        </w:tc>
      </w:tr>
      <w:tr w14:paraId="05E166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1588" w:type="dxa"/>
            <w:vMerge w:val="continue"/>
            <w:vAlign w:val="center"/>
          </w:tcPr>
          <w:p w14:paraId="60022B34">
            <w:pPr>
              <w:pStyle w:val="40"/>
              <w:spacing w:before="24" w:after="24" w:line="240" w:lineRule="auto"/>
              <w:rPr>
                <w:rFonts w:hint="eastAsia" w:ascii="Times New Roman"/>
              </w:rPr>
            </w:pPr>
          </w:p>
        </w:tc>
        <w:tc>
          <w:tcPr>
            <w:tcW w:w="1135" w:type="dxa"/>
            <w:vAlign w:val="center"/>
          </w:tcPr>
          <w:p w14:paraId="407EAAA9">
            <w:pPr>
              <w:pStyle w:val="40"/>
              <w:spacing w:before="24" w:after="24" w:line="240" w:lineRule="auto"/>
              <w:rPr>
                <w:rFonts w:ascii="Times New Roman"/>
              </w:rPr>
            </w:pPr>
            <w:r>
              <w:rPr>
                <w:rFonts w:ascii="Times New Roman"/>
              </w:rPr>
              <w:t>BOD</w:t>
            </w:r>
            <w:r>
              <w:rPr>
                <w:rFonts w:ascii="Times New Roman"/>
                <w:vertAlign w:val="subscript"/>
              </w:rPr>
              <w:t>5</w:t>
            </w:r>
          </w:p>
        </w:tc>
        <w:tc>
          <w:tcPr>
            <w:tcW w:w="1513" w:type="dxa"/>
            <w:vAlign w:val="center"/>
          </w:tcPr>
          <w:p w14:paraId="341666F7">
            <w:pPr>
              <w:jc w:val="center"/>
            </w:pPr>
            <w:r>
              <w:rPr>
                <w:rFonts w:hint="eastAsia"/>
              </w:rPr>
              <w:t>/</w:t>
            </w:r>
          </w:p>
        </w:tc>
        <w:tc>
          <w:tcPr>
            <w:tcW w:w="1187" w:type="dxa"/>
            <w:vAlign w:val="center"/>
          </w:tcPr>
          <w:p w14:paraId="10D58813">
            <w:pPr>
              <w:jc w:val="center"/>
              <w:rPr>
                <w:rFonts w:hAnsi="宋体" w:cs="宋体"/>
                <w:snapToGrid w:val="0"/>
                <w:kern w:val="21"/>
                <w:szCs w:val="21"/>
              </w:rPr>
            </w:pPr>
            <w:r>
              <w:rPr>
                <w:rFonts w:hint="eastAsia" w:hAnsi="宋体" w:cs="宋体"/>
                <w:snapToGrid w:val="0"/>
                <w:kern w:val="21"/>
                <w:szCs w:val="21"/>
              </w:rPr>
              <w:t>/</w:t>
            </w:r>
          </w:p>
        </w:tc>
        <w:tc>
          <w:tcPr>
            <w:tcW w:w="1713" w:type="dxa"/>
            <w:vAlign w:val="center"/>
          </w:tcPr>
          <w:p w14:paraId="78F6A5D1">
            <w:pPr>
              <w:jc w:val="center"/>
              <w:rPr>
                <w:rFonts w:hAnsi="宋体" w:cs="宋体"/>
                <w:snapToGrid w:val="0"/>
                <w:kern w:val="21"/>
                <w:szCs w:val="21"/>
              </w:rPr>
            </w:pPr>
            <w:r>
              <w:rPr>
                <w:rFonts w:hint="eastAsia" w:hAnsi="宋体" w:cs="宋体"/>
                <w:snapToGrid w:val="0"/>
                <w:kern w:val="21"/>
                <w:szCs w:val="21"/>
              </w:rPr>
              <w:t>/</w:t>
            </w:r>
          </w:p>
        </w:tc>
        <w:tc>
          <w:tcPr>
            <w:tcW w:w="1587" w:type="dxa"/>
            <w:vAlign w:val="center"/>
          </w:tcPr>
          <w:p w14:paraId="3639B5F0">
            <w:pPr>
              <w:pStyle w:val="40"/>
              <w:spacing w:beforeLines="0" w:afterLines="0" w:line="240" w:lineRule="auto"/>
              <w:rPr>
                <w:rFonts w:ascii="Times New Roman"/>
                <w:snapToGrid w:val="0"/>
                <w:kern w:val="21"/>
                <w:szCs w:val="21"/>
              </w:rPr>
            </w:pPr>
            <w:r>
              <w:rPr>
                <w:rFonts w:hint="eastAsia" w:ascii="Times New Roman"/>
                <w:snapToGrid w:val="0"/>
                <w:kern w:val="21"/>
                <w:szCs w:val="21"/>
              </w:rPr>
              <w:t>0.252t</w:t>
            </w:r>
            <w:r>
              <w:rPr>
                <w:rFonts w:ascii="Times New Roman"/>
                <w:snapToGrid w:val="0"/>
                <w:kern w:val="21"/>
                <w:szCs w:val="21"/>
              </w:rPr>
              <w:t>/a</w:t>
            </w:r>
          </w:p>
        </w:tc>
        <w:tc>
          <w:tcPr>
            <w:tcW w:w="1700" w:type="dxa"/>
            <w:vAlign w:val="center"/>
          </w:tcPr>
          <w:p w14:paraId="38C1A87A">
            <w:pPr>
              <w:jc w:val="center"/>
            </w:pPr>
            <w:r>
              <w:rPr>
                <w:rFonts w:hint="eastAsia" w:hAnsi="宋体" w:cs="宋体"/>
                <w:snapToGrid w:val="0"/>
                <w:kern w:val="21"/>
                <w:szCs w:val="21"/>
              </w:rPr>
              <w:t>/</w:t>
            </w:r>
          </w:p>
        </w:tc>
        <w:tc>
          <w:tcPr>
            <w:tcW w:w="2013" w:type="dxa"/>
            <w:vAlign w:val="center"/>
          </w:tcPr>
          <w:p w14:paraId="148613D8">
            <w:pPr>
              <w:pStyle w:val="40"/>
              <w:spacing w:beforeLines="0" w:afterLines="0" w:line="240" w:lineRule="auto"/>
              <w:rPr>
                <w:rFonts w:ascii="Times New Roman"/>
                <w:snapToGrid w:val="0"/>
                <w:kern w:val="21"/>
                <w:szCs w:val="21"/>
              </w:rPr>
            </w:pPr>
            <w:r>
              <w:rPr>
                <w:rFonts w:hint="eastAsia" w:ascii="Times New Roman"/>
                <w:snapToGrid w:val="0"/>
                <w:kern w:val="21"/>
                <w:szCs w:val="21"/>
              </w:rPr>
              <w:t>0.252</w:t>
            </w:r>
            <w:r>
              <w:rPr>
                <w:rFonts w:ascii="Times New Roman"/>
                <w:snapToGrid w:val="0"/>
                <w:kern w:val="21"/>
                <w:szCs w:val="21"/>
              </w:rPr>
              <w:t>t/a</w:t>
            </w:r>
          </w:p>
        </w:tc>
        <w:tc>
          <w:tcPr>
            <w:tcW w:w="1352" w:type="dxa"/>
            <w:vAlign w:val="center"/>
          </w:tcPr>
          <w:p w14:paraId="3BBA90D4">
            <w:pPr>
              <w:pStyle w:val="40"/>
              <w:spacing w:beforeLines="0" w:afterLines="0" w:line="240" w:lineRule="auto"/>
            </w:pPr>
            <w:r>
              <w:rPr>
                <w:rFonts w:hint="eastAsia" w:ascii="Times New Roman"/>
                <w:snapToGrid w:val="0"/>
                <w:kern w:val="21"/>
                <w:szCs w:val="21"/>
              </w:rPr>
              <w:t>+0.252</w:t>
            </w:r>
            <w:r>
              <w:rPr>
                <w:rFonts w:ascii="Times New Roman"/>
                <w:snapToGrid w:val="0"/>
                <w:kern w:val="21"/>
                <w:szCs w:val="21"/>
              </w:rPr>
              <w:t>t/a</w:t>
            </w:r>
          </w:p>
        </w:tc>
      </w:tr>
      <w:tr w14:paraId="15B871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588" w:type="dxa"/>
            <w:vMerge w:val="continue"/>
            <w:vAlign w:val="center"/>
          </w:tcPr>
          <w:p w14:paraId="1D40DC06">
            <w:pPr>
              <w:pStyle w:val="40"/>
              <w:spacing w:before="24" w:after="24" w:line="240" w:lineRule="auto"/>
              <w:rPr>
                <w:rFonts w:hint="eastAsia" w:ascii="Times New Roman"/>
              </w:rPr>
            </w:pPr>
          </w:p>
        </w:tc>
        <w:tc>
          <w:tcPr>
            <w:tcW w:w="1135" w:type="dxa"/>
            <w:vAlign w:val="center"/>
          </w:tcPr>
          <w:p w14:paraId="25F83204">
            <w:pPr>
              <w:pStyle w:val="40"/>
              <w:spacing w:before="24" w:after="24" w:line="240" w:lineRule="auto"/>
              <w:rPr>
                <w:rFonts w:ascii="Times New Roman"/>
              </w:rPr>
            </w:pPr>
            <w:r>
              <w:rPr>
                <w:rFonts w:ascii="Times New Roman"/>
              </w:rPr>
              <w:t>SS</w:t>
            </w:r>
          </w:p>
        </w:tc>
        <w:tc>
          <w:tcPr>
            <w:tcW w:w="1513" w:type="dxa"/>
            <w:vAlign w:val="center"/>
          </w:tcPr>
          <w:p w14:paraId="5C1BEB2F">
            <w:pPr>
              <w:jc w:val="center"/>
            </w:pPr>
            <w:r>
              <w:rPr>
                <w:rFonts w:hint="eastAsia"/>
              </w:rPr>
              <w:t>/</w:t>
            </w:r>
          </w:p>
        </w:tc>
        <w:tc>
          <w:tcPr>
            <w:tcW w:w="1187" w:type="dxa"/>
            <w:vAlign w:val="center"/>
          </w:tcPr>
          <w:p w14:paraId="09DB59CB">
            <w:pPr>
              <w:jc w:val="center"/>
              <w:rPr>
                <w:rFonts w:hAnsi="宋体" w:cs="宋体"/>
                <w:snapToGrid w:val="0"/>
                <w:kern w:val="21"/>
                <w:szCs w:val="21"/>
              </w:rPr>
            </w:pPr>
            <w:r>
              <w:rPr>
                <w:rFonts w:hint="eastAsia" w:hAnsi="宋体" w:cs="宋体"/>
                <w:snapToGrid w:val="0"/>
                <w:kern w:val="21"/>
                <w:szCs w:val="21"/>
              </w:rPr>
              <w:t>/</w:t>
            </w:r>
          </w:p>
        </w:tc>
        <w:tc>
          <w:tcPr>
            <w:tcW w:w="1713" w:type="dxa"/>
            <w:vAlign w:val="center"/>
          </w:tcPr>
          <w:p w14:paraId="61465E2D">
            <w:pPr>
              <w:jc w:val="center"/>
              <w:rPr>
                <w:rFonts w:hAnsi="宋体" w:cs="宋体"/>
                <w:snapToGrid w:val="0"/>
                <w:kern w:val="21"/>
                <w:szCs w:val="21"/>
              </w:rPr>
            </w:pPr>
            <w:r>
              <w:rPr>
                <w:rFonts w:hint="eastAsia" w:hAnsi="宋体" w:cs="宋体"/>
                <w:snapToGrid w:val="0"/>
                <w:kern w:val="21"/>
                <w:szCs w:val="21"/>
              </w:rPr>
              <w:t>/</w:t>
            </w:r>
          </w:p>
        </w:tc>
        <w:tc>
          <w:tcPr>
            <w:tcW w:w="1587" w:type="dxa"/>
            <w:vAlign w:val="center"/>
          </w:tcPr>
          <w:p w14:paraId="095C4F68">
            <w:pPr>
              <w:pStyle w:val="40"/>
              <w:spacing w:beforeLines="0" w:afterLines="0" w:line="240" w:lineRule="auto"/>
              <w:rPr>
                <w:rFonts w:ascii="Times New Roman"/>
                <w:snapToGrid w:val="0"/>
                <w:kern w:val="21"/>
                <w:szCs w:val="21"/>
              </w:rPr>
            </w:pPr>
            <w:r>
              <w:rPr>
                <w:rFonts w:ascii="Times New Roman"/>
                <w:snapToGrid w:val="0"/>
                <w:kern w:val="21"/>
                <w:szCs w:val="21"/>
              </w:rPr>
              <w:t>0</w:t>
            </w:r>
            <w:r>
              <w:rPr>
                <w:rFonts w:hint="eastAsia" w:ascii="Times New Roman"/>
                <w:snapToGrid w:val="0"/>
                <w:kern w:val="21"/>
                <w:szCs w:val="21"/>
              </w:rPr>
              <w:t>.507t</w:t>
            </w:r>
            <w:r>
              <w:rPr>
                <w:rFonts w:ascii="Times New Roman"/>
                <w:snapToGrid w:val="0"/>
                <w:kern w:val="21"/>
                <w:szCs w:val="21"/>
              </w:rPr>
              <w:t>/a</w:t>
            </w:r>
          </w:p>
        </w:tc>
        <w:tc>
          <w:tcPr>
            <w:tcW w:w="1700" w:type="dxa"/>
            <w:vAlign w:val="center"/>
          </w:tcPr>
          <w:p w14:paraId="4ED3104D">
            <w:pPr>
              <w:jc w:val="center"/>
            </w:pPr>
            <w:r>
              <w:rPr>
                <w:rFonts w:hint="eastAsia" w:hAnsi="宋体" w:cs="宋体"/>
                <w:snapToGrid w:val="0"/>
                <w:kern w:val="21"/>
                <w:szCs w:val="21"/>
              </w:rPr>
              <w:t>/</w:t>
            </w:r>
          </w:p>
        </w:tc>
        <w:tc>
          <w:tcPr>
            <w:tcW w:w="2013" w:type="dxa"/>
            <w:vAlign w:val="center"/>
          </w:tcPr>
          <w:p w14:paraId="3C1A6204">
            <w:pPr>
              <w:pStyle w:val="40"/>
              <w:spacing w:beforeLines="0" w:afterLines="0" w:line="240" w:lineRule="auto"/>
              <w:rPr>
                <w:rFonts w:ascii="Times New Roman"/>
                <w:snapToGrid w:val="0"/>
                <w:kern w:val="21"/>
                <w:szCs w:val="21"/>
              </w:rPr>
            </w:pPr>
            <w:r>
              <w:rPr>
                <w:rFonts w:ascii="Times New Roman"/>
                <w:snapToGrid w:val="0"/>
                <w:kern w:val="21"/>
                <w:szCs w:val="21"/>
              </w:rPr>
              <w:t>0.</w:t>
            </w:r>
            <w:r>
              <w:rPr>
                <w:rFonts w:hint="eastAsia" w:ascii="Times New Roman"/>
                <w:snapToGrid w:val="0"/>
                <w:kern w:val="21"/>
                <w:szCs w:val="21"/>
              </w:rPr>
              <w:t>507</w:t>
            </w:r>
            <w:r>
              <w:rPr>
                <w:rFonts w:ascii="Times New Roman"/>
                <w:snapToGrid w:val="0"/>
                <w:kern w:val="21"/>
                <w:szCs w:val="21"/>
              </w:rPr>
              <w:t>t/a</w:t>
            </w:r>
          </w:p>
        </w:tc>
        <w:tc>
          <w:tcPr>
            <w:tcW w:w="1352" w:type="dxa"/>
            <w:vAlign w:val="center"/>
          </w:tcPr>
          <w:p w14:paraId="15E04B7B">
            <w:pPr>
              <w:pStyle w:val="40"/>
              <w:spacing w:beforeLines="0" w:afterLines="0" w:line="240" w:lineRule="auto"/>
            </w:pPr>
            <w:r>
              <w:rPr>
                <w:rFonts w:hint="eastAsia" w:ascii="Times New Roman"/>
                <w:snapToGrid w:val="0"/>
                <w:kern w:val="21"/>
                <w:szCs w:val="21"/>
              </w:rPr>
              <w:t>+</w:t>
            </w:r>
            <w:r>
              <w:rPr>
                <w:rFonts w:ascii="Times New Roman"/>
                <w:snapToGrid w:val="0"/>
                <w:kern w:val="21"/>
                <w:szCs w:val="21"/>
              </w:rPr>
              <w:t>0.</w:t>
            </w:r>
            <w:r>
              <w:rPr>
                <w:rFonts w:hint="eastAsia" w:ascii="Times New Roman"/>
                <w:snapToGrid w:val="0"/>
                <w:kern w:val="21"/>
                <w:szCs w:val="21"/>
              </w:rPr>
              <w:t>507</w:t>
            </w:r>
            <w:r>
              <w:rPr>
                <w:rFonts w:ascii="Times New Roman"/>
                <w:snapToGrid w:val="0"/>
                <w:kern w:val="21"/>
                <w:szCs w:val="21"/>
              </w:rPr>
              <w:t>t/a</w:t>
            </w:r>
          </w:p>
        </w:tc>
      </w:tr>
      <w:tr w14:paraId="4B8693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588" w:type="dxa"/>
            <w:vMerge w:val="continue"/>
            <w:vAlign w:val="center"/>
          </w:tcPr>
          <w:p w14:paraId="567DA31B">
            <w:pPr>
              <w:pStyle w:val="40"/>
              <w:spacing w:before="24" w:after="24" w:line="240" w:lineRule="auto"/>
              <w:rPr>
                <w:rFonts w:hint="eastAsia" w:ascii="Times New Roman"/>
              </w:rPr>
            </w:pPr>
          </w:p>
        </w:tc>
        <w:tc>
          <w:tcPr>
            <w:tcW w:w="1135" w:type="dxa"/>
            <w:vAlign w:val="center"/>
          </w:tcPr>
          <w:p w14:paraId="6B3BB3F3">
            <w:pPr>
              <w:pStyle w:val="40"/>
              <w:spacing w:before="24" w:after="24" w:line="240" w:lineRule="auto"/>
              <w:rPr>
                <w:rFonts w:hint="eastAsia" w:ascii="Times New Roman"/>
              </w:rPr>
            </w:pPr>
            <w:r>
              <w:rPr>
                <w:rFonts w:hint="eastAsia" w:ascii="Times New Roman"/>
              </w:rPr>
              <w:t>石油类</w:t>
            </w:r>
          </w:p>
        </w:tc>
        <w:tc>
          <w:tcPr>
            <w:tcW w:w="1513" w:type="dxa"/>
            <w:vAlign w:val="center"/>
          </w:tcPr>
          <w:p w14:paraId="7C7B7903">
            <w:pPr>
              <w:jc w:val="center"/>
            </w:pPr>
            <w:r>
              <w:rPr>
                <w:rFonts w:hint="eastAsia"/>
              </w:rPr>
              <w:t>/</w:t>
            </w:r>
          </w:p>
        </w:tc>
        <w:tc>
          <w:tcPr>
            <w:tcW w:w="1187" w:type="dxa"/>
            <w:vAlign w:val="center"/>
          </w:tcPr>
          <w:p w14:paraId="7D21D188">
            <w:pPr>
              <w:jc w:val="center"/>
              <w:rPr>
                <w:rFonts w:hAnsi="宋体" w:cs="宋体"/>
                <w:snapToGrid w:val="0"/>
                <w:kern w:val="21"/>
                <w:szCs w:val="21"/>
              </w:rPr>
            </w:pPr>
            <w:r>
              <w:rPr>
                <w:rFonts w:hint="eastAsia" w:hAnsi="宋体" w:cs="宋体"/>
                <w:snapToGrid w:val="0"/>
                <w:kern w:val="21"/>
                <w:szCs w:val="21"/>
              </w:rPr>
              <w:t>/</w:t>
            </w:r>
          </w:p>
        </w:tc>
        <w:tc>
          <w:tcPr>
            <w:tcW w:w="1713" w:type="dxa"/>
            <w:vAlign w:val="center"/>
          </w:tcPr>
          <w:p w14:paraId="6CE849A3">
            <w:pPr>
              <w:jc w:val="center"/>
              <w:rPr>
                <w:rFonts w:hAnsi="宋体" w:cs="宋体"/>
                <w:snapToGrid w:val="0"/>
                <w:kern w:val="21"/>
                <w:szCs w:val="21"/>
              </w:rPr>
            </w:pPr>
            <w:r>
              <w:rPr>
                <w:rFonts w:hint="eastAsia" w:hAnsi="宋体" w:cs="宋体"/>
                <w:snapToGrid w:val="0"/>
                <w:kern w:val="21"/>
                <w:szCs w:val="21"/>
              </w:rPr>
              <w:t>/</w:t>
            </w:r>
          </w:p>
        </w:tc>
        <w:tc>
          <w:tcPr>
            <w:tcW w:w="1587" w:type="dxa"/>
            <w:vAlign w:val="center"/>
          </w:tcPr>
          <w:p w14:paraId="5C1D081D">
            <w:pPr>
              <w:pStyle w:val="40"/>
              <w:spacing w:beforeLines="0" w:afterLines="0" w:line="240" w:lineRule="auto"/>
              <w:rPr>
                <w:rFonts w:ascii="Times New Roman"/>
                <w:snapToGrid w:val="0"/>
                <w:kern w:val="21"/>
                <w:szCs w:val="21"/>
              </w:rPr>
            </w:pPr>
            <w:r>
              <w:rPr>
                <w:rFonts w:hint="eastAsia" w:ascii="Times New Roman"/>
                <w:snapToGrid w:val="0"/>
                <w:kern w:val="21"/>
                <w:szCs w:val="21"/>
              </w:rPr>
              <w:t>0.009</w:t>
            </w:r>
            <w:r>
              <w:rPr>
                <w:rFonts w:ascii="Times New Roman"/>
                <w:snapToGrid w:val="0"/>
                <w:kern w:val="21"/>
                <w:szCs w:val="21"/>
              </w:rPr>
              <w:t>t/a</w:t>
            </w:r>
          </w:p>
        </w:tc>
        <w:tc>
          <w:tcPr>
            <w:tcW w:w="1700" w:type="dxa"/>
            <w:vAlign w:val="center"/>
          </w:tcPr>
          <w:p w14:paraId="233E8C5A">
            <w:pPr>
              <w:jc w:val="center"/>
            </w:pPr>
            <w:r>
              <w:rPr>
                <w:rFonts w:hint="eastAsia" w:hAnsi="宋体" w:cs="宋体"/>
                <w:snapToGrid w:val="0"/>
                <w:kern w:val="21"/>
                <w:szCs w:val="21"/>
              </w:rPr>
              <w:t>/</w:t>
            </w:r>
          </w:p>
        </w:tc>
        <w:tc>
          <w:tcPr>
            <w:tcW w:w="2013" w:type="dxa"/>
            <w:vAlign w:val="center"/>
          </w:tcPr>
          <w:p w14:paraId="3278BE0B">
            <w:pPr>
              <w:pStyle w:val="40"/>
              <w:spacing w:beforeLines="0" w:afterLines="0" w:line="240" w:lineRule="auto"/>
              <w:rPr>
                <w:rFonts w:ascii="Times New Roman"/>
                <w:snapToGrid w:val="0"/>
                <w:kern w:val="21"/>
                <w:szCs w:val="21"/>
              </w:rPr>
            </w:pPr>
            <w:r>
              <w:rPr>
                <w:rFonts w:hint="eastAsia" w:ascii="Times New Roman"/>
                <w:snapToGrid w:val="0"/>
                <w:kern w:val="21"/>
                <w:szCs w:val="21"/>
              </w:rPr>
              <w:t>0.009</w:t>
            </w:r>
            <w:r>
              <w:rPr>
                <w:rFonts w:ascii="Times New Roman"/>
                <w:snapToGrid w:val="0"/>
                <w:kern w:val="21"/>
                <w:szCs w:val="21"/>
              </w:rPr>
              <w:t>t/a</w:t>
            </w:r>
          </w:p>
        </w:tc>
        <w:tc>
          <w:tcPr>
            <w:tcW w:w="1352" w:type="dxa"/>
            <w:vAlign w:val="center"/>
          </w:tcPr>
          <w:p w14:paraId="5199ABBF">
            <w:pPr>
              <w:pStyle w:val="40"/>
              <w:spacing w:beforeLines="0" w:afterLines="0" w:line="240" w:lineRule="auto"/>
            </w:pPr>
            <w:r>
              <w:rPr>
                <w:rFonts w:hint="eastAsia" w:ascii="Times New Roman"/>
                <w:snapToGrid w:val="0"/>
                <w:kern w:val="21"/>
                <w:szCs w:val="21"/>
              </w:rPr>
              <w:t>+0.009</w:t>
            </w:r>
            <w:r>
              <w:rPr>
                <w:rFonts w:ascii="Times New Roman"/>
                <w:snapToGrid w:val="0"/>
                <w:kern w:val="21"/>
                <w:szCs w:val="21"/>
              </w:rPr>
              <w:t>t/a</w:t>
            </w:r>
          </w:p>
        </w:tc>
      </w:tr>
      <w:tr w14:paraId="27B150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14:paraId="23EC06F7">
            <w:pPr>
              <w:pStyle w:val="40"/>
              <w:spacing w:before="24" w:after="24" w:line="240" w:lineRule="auto"/>
              <w:rPr>
                <w:rFonts w:hint="eastAsia" w:ascii="Times New Roman"/>
              </w:rPr>
            </w:pPr>
          </w:p>
        </w:tc>
        <w:tc>
          <w:tcPr>
            <w:tcW w:w="1135" w:type="dxa"/>
            <w:vAlign w:val="center"/>
          </w:tcPr>
          <w:p w14:paraId="1D00AC62">
            <w:pPr>
              <w:spacing w:beforeLines="10" w:afterLines="10"/>
              <w:jc w:val="center"/>
              <w:rPr>
                <w:rFonts w:hint="eastAsia"/>
                <w:kern w:val="0"/>
                <w:szCs w:val="20"/>
              </w:rPr>
            </w:pPr>
            <w:r>
              <w:rPr>
                <w:kern w:val="0"/>
                <w:szCs w:val="20"/>
              </w:rPr>
              <w:t>NH</w:t>
            </w:r>
            <w:r>
              <w:rPr>
                <w:kern w:val="0"/>
                <w:szCs w:val="20"/>
                <w:vertAlign w:val="subscript"/>
              </w:rPr>
              <w:t>3</w:t>
            </w:r>
            <w:r>
              <w:rPr>
                <w:kern w:val="0"/>
                <w:szCs w:val="20"/>
              </w:rPr>
              <w:t>-N</w:t>
            </w:r>
          </w:p>
        </w:tc>
        <w:tc>
          <w:tcPr>
            <w:tcW w:w="1513" w:type="dxa"/>
            <w:vAlign w:val="center"/>
          </w:tcPr>
          <w:p w14:paraId="6EA4E322">
            <w:pPr>
              <w:jc w:val="center"/>
              <w:rPr>
                <w:rFonts w:hint="eastAsia"/>
              </w:rPr>
            </w:pPr>
            <w:r>
              <w:rPr>
                <w:rFonts w:hint="eastAsia"/>
              </w:rPr>
              <w:t>/</w:t>
            </w:r>
          </w:p>
        </w:tc>
        <w:tc>
          <w:tcPr>
            <w:tcW w:w="1187" w:type="dxa"/>
            <w:vAlign w:val="center"/>
          </w:tcPr>
          <w:p w14:paraId="2BBF281E">
            <w:pPr>
              <w:jc w:val="center"/>
              <w:rPr>
                <w:rFonts w:hAnsi="宋体" w:cs="宋体"/>
                <w:snapToGrid w:val="0"/>
                <w:kern w:val="21"/>
                <w:szCs w:val="21"/>
              </w:rPr>
            </w:pPr>
            <w:r>
              <w:rPr>
                <w:rFonts w:hint="eastAsia" w:hAnsi="宋体" w:cs="宋体"/>
                <w:snapToGrid w:val="0"/>
                <w:kern w:val="21"/>
                <w:szCs w:val="21"/>
              </w:rPr>
              <w:t>/</w:t>
            </w:r>
          </w:p>
        </w:tc>
        <w:tc>
          <w:tcPr>
            <w:tcW w:w="1713" w:type="dxa"/>
            <w:vAlign w:val="center"/>
          </w:tcPr>
          <w:p w14:paraId="70FA5419">
            <w:pPr>
              <w:jc w:val="center"/>
              <w:rPr>
                <w:rFonts w:hAnsi="宋体" w:cs="宋体"/>
                <w:snapToGrid w:val="0"/>
                <w:kern w:val="21"/>
                <w:szCs w:val="21"/>
              </w:rPr>
            </w:pPr>
            <w:r>
              <w:rPr>
                <w:rFonts w:hint="eastAsia" w:hAnsi="宋体" w:cs="宋体"/>
                <w:snapToGrid w:val="0"/>
                <w:kern w:val="21"/>
                <w:szCs w:val="21"/>
              </w:rPr>
              <w:t>/</w:t>
            </w:r>
          </w:p>
        </w:tc>
        <w:tc>
          <w:tcPr>
            <w:tcW w:w="1587" w:type="dxa"/>
            <w:vAlign w:val="center"/>
          </w:tcPr>
          <w:p w14:paraId="49E6EF76">
            <w:pPr>
              <w:pStyle w:val="40"/>
              <w:spacing w:beforeLines="0" w:afterLines="0" w:line="240" w:lineRule="auto"/>
              <w:rPr>
                <w:rFonts w:ascii="Times New Roman"/>
                <w:snapToGrid w:val="0"/>
                <w:kern w:val="21"/>
                <w:szCs w:val="21"/>
              </w:rPr>
            </w:pPr>
            <w:r>
              <w:rPr>
                <w:rFonts w:hint="eastAsia" w:ascii="Times New Roman"/>
                <w:snapToGrid w:val="0"/>
                <w:kern w:val="21"/>
                <w:szCs w:val="21"/>
              </w:rPr>
              <w:t>0.038</w:t>
            </w:r>
            <w:r>
              <w:rPr>
                <w:rFonts w:ascii="Times New Roman"/>
                <w:snapToGrid w:val="0"/>
                <w:kern w:val="21"/>
                <w:szCs w:val="21"/>
              </w:rPr>
              <w:t>t/a</w:t>
            </w:r>
          </w:p>
        </w:tc>
        <w:tc>
          <w:tcPr>
            <w:tcW w:w="1700" w:type="dxa"/>
            <w:vAlign w:val="center"/>
          </w:tcPr>
          <w:p w14:paraId="7CDCDC9D">
            <w:pPr>
              <w:jc w:val="center"/>
            </w:pPr>
            <w:r>
              <w:rPr>
                <w:rFonts w:hint="eastAsia" w:hAnsi="宋体" w:cs="宋体"/>
                <w:snapToGrid w:val="0"/>
                <w:kern w:val="21"/>
                <w:szCs w:val="21"/>
              </w:rPr>
              <w:t>/</w:t>
            </w:r>
          </w:p>
        </w:tc>
        <w:tc>
          <w:tcPr>
            <w:tcW w:w="2013" w:type="dxa"/>
            <w:vAlign w:val="center"/>
          </w:tcPr>
          <w:p w14:paraId="29A232E3">
            <w:pPr>
              <w:pStyle w:val="40"/>
              <w:spacing w:beforeLines="0" w:afterLines="0" w:line="240" w:lineRule="auto"/>
              <w:rPr>
                <w:rFonts w:ascii="Times New Roman"/>
                <w:snapToGrid w:val="0"/>
                <w:kern w:val="21"/>
                <w:szCs w:val="21"/>
              </w:rPr>
            </w:pPr>
            <w:r>
              <w:rPr>
                <w:rFonts w:hint="eastAsia" w:ascii="Times New Roman"/>
                <w:snapToGrid w:val="0"/>
                <w:kern w:val="21"/>
                <w:szCs w:val="21"/>
              </w:rPr>
              <w:t>0.038</w:t>
            </w:r>
            <w:r>
              <w:rPr>
                <w:rFonts w:ascii="Times New Roman"/>
                <w:snapToGrid w:val="0"/>
                <w:kern w:val="21"/>
                <w:szCs w:val="21"/>
              </w:rPr>
              <w:t>t/a</w:t>
            </w:r>
          </w:p>
        </w:tc>
        <w:tc>
          <w:tcPr>
            <w:tcW w:w="1352" w:type="dxa"/>
            <w:vAlign w:val="center"/>
          </w:tcPr>
          <w:p w14:paraId="246B9E04">
            <w:pPr>
              <w:pStyle w:val="40"/>
              <w:spacing w:beforeLines="0" w:afterLines="0" w:line="240" w:lineRule="auto"/>
            </w:pPr>
            <w:r>
              <w:rPr>
                <w:rFonts w:hint="eastAsia" w:ascii="Times New Roman"/>
                <w:snapToGrid w:val="0"/>
                <w:kern w:val="21"/>
                <w:szCs w:val="21"/>
              </w:rPr>
              <w:t>+0.038</w:t>
            </w:r>
            <w:r>
              <w:rPr>
                <w:rFonts w:ascii="Times New Roman"/>
                <w:snapToGrid w:val="0"/>
                <w:kern w:val="21"/>
                <w:szCs w:val="21"/>
              </w:rPr>
              <w:t>t/a</w:t>
            </w:r>
          </w:p>
        </w:tc>
      </w:tr>
      <w:tr w14:paraId="18101A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Align w:val="center"/>
          </w:tcPr>
          <w:p w14:paraId="0170D5E7">
            <w:pPr>
              <w:pStyle w:val="40"/>
              <w:spacing w:beforeLines="0" w:afterLines="0" w:line="240" w:lineRule="auto"/>
              <w:rPr>
                <w:rFonts w:hAnsi="宋体" w:cs="宋体"/>
                <w:snapToGrid w:val="0"/>
                <w:kern w:val="21"/>
                <w:szCs w:val="21"/>
              </w:rPr>
            </w:pPr>
            <w:r>
              <w:rPr>
                <w:rFonts w:hint="eastAsia" w:hAnsi="宋体" w:cs="宋体"/>
                <w:snapToGrid w:val="0"/>
                <w:kern w:val="21"/>
                <w:szCs w:val="21"/>
              </w:rPr>
              <w:t>一般工业</w:t>
            </w:r>
          </w:p>
          <w:p w14:paraId="00792AAF">
            <w:pPr>
              <w:pStyle w:val="40"/>
              <w:spacing w:beforeLines="0" w:afterLines="0" w:line="240" w:lineRule="auto"/>
              <w:rPr>
                <w:rFonts w:hint="eastAsia" w:hAnsi="宋体" w:cs="宋体"/>
                <w:snapToGrid w:val="0"/>
                <w:kern w:val="21"/>
                <w:szCs w:val="21"/>
              </w:rPr>
            </w:pPr>
            <w:r>
              <w:rPr>
                <w:rFonts w:hint="eastAsia" w:hAnsi="宋体" w:cs="宋体"/>
                <w:snapToGrid w:val="0"/>
                <w:kern w:val="21"/>
                <w:szCs w:val="21"/>
              </w:rPr>
              <w:t>固体废物</w:t>
            </w:r>
          </w:p>
        </w:tc>
        <w:tc>
          <w:tcPr>
            <w:tcW w:w="1135" w:type="dxa"/>
            <w:vAlign w:val="center"/>
          </w:tcPr>
          <w:p w14:paraId="285EC0DA">
            <w:pPr>
              <w:pStyle w:val="40"/>
              <w:spacing w:beforeLines="0" w:afterLines="0" w:line="240" w:lineRule="auto"/>
              <w:rPr>
                <w:rFonts w:hAnsi="宋体" w:cs="宋体"/>
                <w:snapToGrid w:val="0"/>
                <w:kern w:val="21"/>
                <w:szCs w:val="21"/>
              </w:rPr>
            </w:pPr>
            <w:r>
              <w:rPr>
                <w:rFonts w:hint="eastAsia" w:hAnsi="宋体" w:cs="宋体"/>
                <w:snapToGrid w:val="0"/>
                <w:kern w:val="21"/>
                <w:szCs w:val="21"/>
              </w:rPr>
              <w:t>生化池污泥</w:t>
            </w:r>
          </w:p>
        </w:tc>
        <w:tc>
          <w:tcPr>
            <w:tcW w:w="1513" w:type="dxa"/>
            <w:vAlign w:val="center"/>
          </w:tcPr>
          <w:p w14:paraId="741C5295">
            <w:pPr>
              <w:jc w:val="center"/>
              <w:rPr>
                <w:rFonts w:hAnsi="宋体" w:cs="宋体"/>
                <w:snapToGrid w:val="0"/>
                <w:kern w:val="21"/>
                <w:szCs w:val="21"/>
              </w:rPr>
            </w:pPr>
            <w:r>
              <w:rPr>
                <w:rFonts w:hint="eastAsia" w:hAnsi="宋体" w:cs="宋体"/>
                <w:snapToGrid w:val="0"/>
                <w:kern w:val="21"/>
                <w:szCs w:val="21"/>
              </w:rPr>
              <w:t>/</w:t>
            </w:r>
          </w:p>
        </w:tc>
        <w:tc>
          <w:tcPr>
            <w:tcW w:w="1187" w:type="dxa"/>
            <w:vAlign w:val="center"/>
          </w:tcPr>
          <w:p w14:paraId="4A144785">
            <w:pPr>
              <w:jc w:val="center"/>
              <w:rPr>
                <w:rFonts w:hAnsi="宋体" w:cs="宋体"/>
                <w:snapToGrid w:val="0"/>
                <w:kern w:val="21"/>
                <w:szCs w:val="21"/>
              </w:rPr>
            </w:pPr>
            <w:r>
              <w:rPr>
                <w:rFonts w:hint="eastAsia" w:hAnsi="宋体" w:cs="宋体"/>
                <w:snapToGrid w:val="0"/>
                <w:kern w:val="21"/>
                <w:szCs w:val="21"/>
              </w:rPr>
              <w:t>/</w:t>
            </w:r>
          </w:p>
        </w:tc>
        <w:tc>
          <w:tcPr>
            <w:tcW w:w="1713" w:type="dxa"/>
            <w:vAlign w:val="center"/>
          </w:tcPr>
          <w:p w14:paraId="5134CBDF">
            <w:pPr>
              <w:jc w:val="center"/>
              <w:rPr>
                <w:rFonts w:hAnsi="宋体" w:cs="宋体"/>
                <w:snapToGrid w:val="0"/>
                <w:kern w:val="21"/>
                <w:szCs w:val="21"/>
              </w:rPr>
            </w:pPr>
            <w:r>
              <w:rPr>
                <w:rFonts w:hint="eastAsia" w:hAnsi="宋体" w:cs="宋体"/>
                <w:snapToGrid w:val="0"/>
                <w:kern w:val="21"/>
                <w:szCs w:val="21"/>
              </w:rPr>
              <w:t>/</w:t>
            </w:r>
          </w:p>
        </w:tc>
        <w:tc>
          <w:tcPr>
            <w:tcW w:w="1587" w:type="dxa"/>
            <w:vAlign w:val="center"/>
          </w:tcPr>
          <w:p w14:paraId="5AF24863">
            <w:pPr>
              <w:jc w:val="center"/>
              <w:rPr>
                <w:rFonts w:hAnsi="宋体" w:cs="宋体"/>
                <w:snapToGrid w:val="0"/>
                <w:kern w:val="21"/>
                <w:szCs w:val="21"/>
              </w:rPr>
            </w:pPr>
            <w:r>
              <w:rPr>
                <w:rFonts w:hint="eastAsia" w:hAnsi="宋体" w:cs="宋体"/>
                <w:snapToGrid w:val="0"/>
                <w:kern w:val="21"/>
                <w:szCs w:val="21"/>
              </w:rPr>
              <w:t>1t/a</w:t>
            </w:r>
          </w:p>
        </w:tc>
        <w:tc>
          <w:tcPr>
            <w:tcW w:w="1700" w:type="dxa"/>
            <w:vAlign w:val="center"/>
          </w:tcPr>
          <w:p w14:paraId="48048D78">
            <w:pPr>
              <w:jc w:val="center"/>
              <w:rPr>
                <w:rFonts w:hAnsi="宋体" w:cs="宋体"/>
                <w:snapToGrid w:val="0"/>
                <w:kern w:val="21"/>
                <w:szCs w:val="21"/>
              </w:rPr>
            </w:pPr>
            <w:r>
              <w:rPr>
                <w:rFonts w:hint="eastAsia" w:hAnsi="宋体" w:cs="宋体"/>
                <w:snapToGrid w:val="0"/>
                <w:kern w:val="21"/>
                <w:szCs w:val="21"/>
              </w:rPr>
              <w:t>/</w:t>
            </w:r>
          </w:p>
        </w:tc>
        <w:tc>
          <w:tcPr>
            <w:tcW w:w="2013" w:type="dxa"/>
            <w:vAlign w:val="center"/>
          </w:tcPr>
          <w:p w14:paraId="358A3CB5">
            <w:pPr>
              <w:jc w:val="center"/>
              <w:rPr>
                <w:rFonts w:hAnsi="宋体" w:cs="宋体"/>
                <w:snapToGrid w:val="0"/>
                <w:kern w:val="21"/>
                <w:szCs w:val="21"/>
              </w:rPr>
            </w:pPr>
            <w:r>
              <w:rPr>
                <w:rFonts w:hint="eastAsia" w:hAnsi="宋体" w:cs="宋体"/>
                <w:snapToGrid w:val="0"/>
                <w:kern w:val="21"/>
                <w:szCs w:val="21"/>
              </w:rPr>
              <w:t>1t/a</w:t>
            </w:r>
          </w:p>
        </w:tc>
        <w:tc>
          <w:tcPr>
            <w:tcW w:w="1352" w:type="dxa"/>
            <w:vAlign w:val="center"/>
          </w:tcPr>
          <w:p w14:paraId="21EBCD87">
            <w:pPr>
              <w:jc w:val="center"/>
              <w:rPr>
                <w:snapToGrid w:val="0"/>
                <w:kern w:val="21"/>
                <w:szCs w:val="21"/>
              </w:rPr>
            </w:pPr>
            <w:r>
              <w:rPr>
                <w:rFonts w:hint="eastAsia" w:hAnsi="宋体" w:cs="宋体"/>
                <w:snapToGrid w:val="0"/>
                <w:kern w:val="21"/>
                <w:szCs w:val="21"/>
              </w:rPr>
              <w:t>+1t/a</w:t>
            </w:r>
          </w:p>
        </w:tc>
      </w:tr>
      <w:tr w14:paraId="3CFE47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vAlign w:val="center"/>
          </w:tcPr>
          <w:p w14:paraId="3DAFC0F3">
            <w:pPr>
              <w:pStyle w:val="40"/>
              <w:spacing w:beforeLines="0" w:afterLines="0" w:line="240" w:lineRule="auto"/>
              <w:rPr>
                <w:rFonts w:hint="eastAsia" w:hAnsi="宋体" w:cs="宋体"/>
                <w:snapToGrid w:val="0"/>
                <w:kern w:val="21"/>
                <w:szCs w:val="21"/>
              </w:rPr>
            </w:pPr>
            <w:r>
              <w:rPr>
                <w:rFonts w:hint="eastAsia" w:hAnsi="宋体" w:cs="宋体"/>
                <w:snapToGrid w:val="0"/>
                <w:kern w:val="21"/>
                <w:szCs w:val="21"/>
              </w:rPr>
              <w:t>危险废物</w:t>
            </w:r>
          </w:p>
        </w:tc>
        <w:tc>
          <w:tcPr>
            <w:tcW w:w="1135" w:type="dxa"/>
            <w:vAlign w:val="center"/>
          </w:tcPr>
          <w:p w14:paraId="63C3B41F">
            <w:pPr>
              <w:pStyle w:val="40"/>
              <w:spacing w:beforeLines="0" w:afterLines="0" w:line="240" w:lineRule="auto"/>
              <w:rPr>
                <w:rFonts w:hAnsi="宋体" w:cs="宋体"/>
                <w:snapToGrid w:val="0"/>
                <w:kern w:val="21"/>
                <w:szCs w:val="21"/>
              </w:rPr>
            </w:pPr>
            <w:r>
              <w:rPr>
                <w:rFonts w:hint="eastAsia" w:hAnsi="宋体" w:cs="宋体"/>
                <w:snapToGrid w:val="0"/>
                <w:kern w:val="21"/>
                <w:szCs w:val="21"/>
              </w:rPr>
              <w:t>设备检修废物</w:t>
            </w:r>
          </w:p>
        </w:tc>
        <w:tc>
          <w:tcPr>
            <w:tcW w:w="1513" w:type="dxa"/>
            <w:vAlign w:val="center"/>
          </w:tcPr>
          <w:p w14:paraId="63779291">
            <w:pPr>
              <w:pStyle w:val="40"/>
              <w:spacing w:beforeLines="0" w:afterLines="0" w:line="240" w:lineRule="auto"/>
              <w:rPr>
                <w:rFonts w:ascii="Times New Roman"/>
                <w:snapToGrid w:val="0"/>
                <w:kern w:val="21"/>
                <w:szCs w:val="21"/>
              </w:rPr>
            </w:pPr>
            <w:r>
              <w:rPr>
                <w:rFonts w:hint="eastAsia" w:ascii="Times New Roman"/>
                <w:snapToGrid w:val="0"/>
                <w:kern w:val="21"/>
                <w:szCs w:val="21"/>
              </w:rPr>
              <w:t>/</w:t>
            </w:r>
          </w:p>
        </w:tc>
        <w:tc>
          <w:tcPr>
            <w:tcW w:w="1187" w:type="dxa"/>
            <w:vAlign w:val="center"/>
          </w:tcPr>
          <w:p w14:paraId="26B1194D">
            <w:pPr>
              <w:jc w:val="center"/>
              <w:rPr>
                <w:rFonts w:hAnsi="宋体" w:cs="宋体"/>
                <w:snapToGrid w:val="0"/>
                <w:kern w:val="21"/>
                <w:szCs w:val="21"/>
              </w:rPr>
            </w:pPr>
            <w:r>
              <w:rPr>
                <w:rFonts w:hint="eastAsia" w:hAnsi="宋体" w:cs="宋体"/>
                <w:snapToGrid w:val="0"/>
                <w:kern w:val="21"/>
                <w:szCs w:val="21"/>
              </w:rPr>
              <w:t>/</w:t>
            </w:r>
          </w:p>
        </w:tc>
        <w:tc>
          <w:tcPr>
            <w:tcW w:w="1713" w:type="dxa"/>
            <w:vAlign w:val="center"/>
          </w:tcPr>
          <w:p w14:paraId="039A370B">
            <w:pPr>
              <w:jc w:val="center"/>
              <w:rPr>
                <w:rFonts w:hAnsi="宋体" w:cs="宋体"/>
                <w:snapToGrid w:val="0"/>
                <w:kern w:val="21"/>
                <w:szCs w:val="21"/>
              </w:rPr>
            </w:pPr>
            <w:r>
              <w:rPr>
                <w:rFonts w:hint="eastAsia" w:hAnsi="宋体" w:cs="宋体"/>
                <w:snapToGrid w:val="0"/>
                <w:kern w:val="21"/>
                <w:szCs w:val="21"/>
              </w:rPr>
              <w:t>/</w:t>
            </w:r>
          </w:p>
        </w:tc>
        <w:tc>
          <w:tcPr>
            <w:tcW w:w="1587" w:type="dxa"/>
            <w:vAlign w:val="center"/>
          </w:tcPr>
          <w:p w14:paraId="5A0F8F1A">
            <w:pPr>
              <w:pStyle w:val="40"/>
              <w:spacing w:beforeLines="0" w:afterLines="0" w:line="240" w:lineRule="auto"/>
              <w:rPr>
                <w:rFonts w:ascii="Times New Roman"/>
                <w:snapToGrid w:val="0"/>
                <w:kern w:val="21"/>
                <w:szCs w:val="21"/>
              </w:rPr>
            </w:pPr>
            <w:r>
              <w:rPr>
                <w:rFonts w:ascii="Times New Roman"/>
                <w:snapToGrid w:val="0"/>
                <w:kern w:val="21"/>
                <w:szCs w:val="21"/>
              </w:rPr>
              <w:t>0.4t/a</w:t>
            </w:r>
          </w:p>
        </w:tc>
        <w:tc>
          <w:tcPr>
            <w:tcW w:w="1700" w:type="dxa"/>
            <w:vAlign w:val="center"/>
          </w:tcPr>
          <w:p w14:paraId="51EE1B81">
            <w:pPr>
              <w:jc w:val="center"/>
            </w:pPr>
            <w:r>
              <w:rPr>
                <w:rFonts w:hint="eastAsia" w:hAnsi="宋体" w:cs="宋体"/>
                <w:snapToGrid w:val="0"/>
                <w:kern w:val="21"/>
                <w:szCs w:val="21"/>
              </w:rPr>
              <w:t>/</w:t>
            </w:r>
          </w:p>
        </w:tc>
        <w:tc>
          <w:tcPr>
            <w:tcW w:w="2013" w:type="dxa"/>
            <w:vAlign w:val="center"/>
          </w:tcPr>
          <w:p w14:paraId="36A6E8CA">
            <w:pPr>
              <w:pStyle w:val="40"/>
              <w:spacing w:beforeLines="0" w:afterLines="0" w:line="240" w:lineRule="auto"/>
              <w:rPr>
                <w:rFonts w:hAnsi="宋体" w:cs="宋体"/>
                <w:snapToGrid w:val="0"/>
                <w:kern w:val="21"/>
                <w:szCs w:val="21"/>
              </w:rPr>
            </w:pPr>
            <w:r>
              <w:rPr>
                <w:rFonts w:ascii="Times New Roman"/>
                <w:snapToGrid w:val="0"/>
                <w:kern w:val="21"/>
                <w:szCs w:val="21"/>
              </w:rPr>
              <w:t>0.4t/a</w:t>
            </w:r>
          </w:p>
        </w:tc>
        <w:tc>
          <w:tcPr>
            <w:tcW w:w="1352" w:type="dxa"/>
            <w:vAlign w:val="center"/>
          </w:tcPr>
          <w:p w14:paraId="2161234B">
            <w:pPr>
              <w:pStyle w:val="40"/>
              <w:spacing w:beforeLines="0" w:afterLines="0" w:line="240" w:lineRule="auto"/>
            </w:pPr>
            <w:r>
              <w:rPr>
                <w:rFonts w:hint="eastAsia" w:ascii="Times New Roman"/>
                <w:snapToGrid w:val="0"/>
                <w:kern w:val="21"/>
                <w:szCs w:val="21"/>
              </w:rPr>
              <w:t>+</w:t>
            </w:r>
            <w:r>
              <w:rPr>
                <w:rFonts w:ascii="Times New Roman"/>
                <w:snapToGrid w:val="0"/>
                <w:kern w:val="21"/>
                <w:szCs w:val="21"/>
              </w:rPr>
              <w:t>0.4t/a</w:t>
            </w:r>
          </w:p>
        </w:tc>
      </w:tr>
      <w:tr w14:paraId="0FD255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1588" w:type="dxa"/>
            <w:vMerge w:val="continue"/>
            <w:vAlign w:val="center"/>
          </w:tcPr>
          <w:p w14:paraId="41297FFB">
            <w:pPr>
              <w:pStyle w:val="40"/>
              <w:spacing w:beforeLines="0" w:afterLines="0" w:line="240" w:lineRule="auto"/>
              <w:rPr>
                <w:rFonts w:hint="eastAsia" w:hAnsi="宋体" w:cs="宋体"/>
                <w:snapToGrid w:val="0"/>
                <w:kern w:val="21"/>
                <w:szCs w:val="21"/>
              </w:rPr>
            </w:pPr>
          </w:p>
        </w:tc>
        <w:tc>
          <w:tcPr>
            <w:tcW w:w="1135" w:type="dxa"/>
            <w:vAlign w:val="center"/>
          </w:tcPr>
          <w:p w14:paraId="52C53343">
            <w:pPr>
              <w:pStyle w:val="40"/>
              <w:spacing w:beforeLines="0" w:afterLines="0" w:line="240" w:lineRule="auto"/>
              <w:rPr>
                <w:rFonts w:hint="eastAsia" w:hAnsi="宋体" w:cs="宋体"/>
                <w:snapToGrid w:val="0"/>
                <w:kern w:val="21"/>
                <w:szCs w:val="21"/>
              </w:rPr>
            </w:pPr>
            <w:r>
              <w:rPr>
                <w:rFonts w:hint="eastAsia" w:hAnsi="宋体" w:cs="宋体"/>
                <w:snapToGrid w:val="0"/>
                <w:kern w:val="21"/>
                <w:szCs w:val="21"/>
              </w:rPr>
              <w:t>清罐废物</w:t>
            </w:r>
          </w:p>
        </w:tc>
        <w:tc>
          <w:tcPr>
            <w:tcW w:w="1513" w:type="dxa"/>
            <w:vAlign w:val="center"/>
          </w:tcPr>
          <w:p w14:paraId="6273E1B3">
            <w:pPr>
              <w:pStyle w:val="40"/>
              <w:spacing w:beforeLines="0" w:afterLines="0" w:line="240" w:lineRule="auto"/>
              <w:rPr>
                <w:rFonts w:ascii="Times New Roman"/>
                <w:snapToGrid w:val="0"/>
                <w:kern w:val="21"/>
                <w:szCs w:val="21"/>
              </w:rPr>
            </w:pPr>
            <w:r>
              <w:rPr>
                <w:rFonts w:hint="eastAsia" w:ascii="Times New Roman"/>
                <w:snapToGrid w:val="0"/>
                <w:kern w:val="21"/>
                <w:szCs w:val="21"/>
              </w:rPr>
              <w:t>/</w:t>
            </w:r>
          </w:p>
        </w:tc>
        <w:tc>
          <w:tcPr>
            <w:tcW w:w="1187" w:type="dxa"/>
            <w:vAlign w:val="center"/>
          </w:tcPr>
          <w:p w14:paraId="6917C3ED">
            <w:pPr>
              <w:jc w:val="center"/>
              <w:rPr>
                <w:rFonts w:hAnsi="宋体" w:cs="宋体"/>
                <w:snapToGrid w:val="0"/>
                <w:kern w:val="21"/>
                <w:szCs w:val="21"/>
              </w:rPr>
            </w:pPr>
            <w:r>
              <w:rPr>
                <w:rFonts w:hint="eastAsia" w:hAnsi="宋体" w:cs="宋体"/>
                <w:snapToGrid w:val="0"/>
                <w:kern w:val="21"/>
                <w:szCs w:val="21"/>
              </w:rPr>
              <w:t>/</w:t>
            </w:r>
          </w:p>
        </w:tc>
        <w:tc>
          <w:tcPr>
            <w:tcW w:w="1713" w:type="dxa"/>
            <w:vAlign w:val="center"/>
          </w:tcPr>
          <w:p w14:paraId="1DAA9CBF">
            <w:pPr>
              <w:jc w:val="center"/>
              <w:rPr>
                <w:rFonts w:hAnsi="宋体" w:cs="宋体"/>
                <w:snapToGrid w:val="0"/>
                <w:kern w:val="21"/>
                <w:szCs w:val="21"/>
              </w:rPr>
            </w:pPr>
            <w:r>
              <w:rPr>
                <w:rFonts w:hint="eastAsia" w:hAnsi="宋体" w:cs="宋体"/>
                <w:snapToGrid w:val="0"/>
                <w:kern w:val="21"/>
                <w:szCs w:val="21"/>
              </w:rPr>
              <w:t>/</w:t>
            </w:r>
          </w:p>
        </w:tc>
        <w:tc>
          <w:tcPr>
            <w:tcW w:w="1587" w:type="dxa"/>
            <w:vAlign w:val="center"/>
          </w:tcPr>
          <w:p w14:paraId="079C6E09">
            <w:pPr>
              <w:pStyle w:val="40"/>
              <w:spacing w:beforeLines="0" w:afterLines="0" w:line="240" w:lineRule="auto"/>
              <w:rPr>
                <w:rFonts w:ascii="Times New Roman"/>
                <w:snapToGrid w:val="0"/>
                <w:kern w:val="21"/>
                <w:szCs w:val="21"/>
              </w:rPr>
            </w:pPr>
            <w:r>
              <w:rPr>
                <w:rFonts w:ascii="Times New Roman"/>
                <w:snapToGrid w:val="0"/>
                <w:kern w:val="21"/>
                <w:szCs w:val="21"/>
              </w:rPr>
              <w:t>0.4t/a</w:t>
            </w:r>
          </w:p>
        </w:tc>
        <w:tc>
          <w:tcPr>
            <w:tcW w:w="1700" w:type="dxa"/>
            <w:vAlign w:val="center"/>
          </w:tcPr>
          <w:p w14:paraId="280B2EEE">
            <w:pPr>
              <w:jc w:val="center"/>
            </w:pPr>
            <w:r>
              <w:rPr>
                <w:rFonts w:hint="eastAsia" w:hAnsi="宋体" w:cs="宋体"/>
                <w:snapToGrid w:val="0"/>
                <w:kern w:val="21"/>
                <w:szCs w:val="21"/>
              </w:rPr>
              <w:t>/</w:t>
            </w:r>
          </w:p>
        </w:tc>
        <w:tc>
          <w:tcPr>
            <w:tcW w:w="2013" w:type="dxa"/>
            <w:vAlign w:val="center"/>
          </w:tcPr>
          <w:p w14:paraId="43A66F0B">
            <w:pPr>
              <w:pStyle w:val="40"/>
              <w:spacing w:beforeLines="0" w:afterLines="0" w:line="240" w:lineRule="auto"/>
              <w:rPr>
                <w:rFonts w:hAnsi="宋体" w:cs="宋体"/>
                <w:snapToGrid w:val="0"/>
                <w:kern w:val="21"/>
                <w:szCs w:val="21"/>
              </w:rPr>
            </w:pPr>
            <w:r>
              <w:rPr>
                <w:rFonts w:ascii="Times New Roman"/>
                <w:snapToGrid w:val="0"/>
                <w:kern w:val="21"/>
                <w:szCs w:val="21"/>
              </w:rPr>
              <w:t>0.4t/a</w:t>
            </w:r>
          </w:p>
        </w:tc>
        <w:tc>
          <w:tcPr>
            <w:tcW w:w="1352" w:type="dxa"/>
            <w:vAlign w:val="center"/>
          </w:tcPr>
          <w:p w14:paraId="1F5B9C21">
            <w:pPr>
              <w:pStyle w:val="40"/>
              <w:spacing w:beforeLines="0" w:afterLines="0" w:line="240" w:lineRule="auto"/>
            </w:pPr>
            <w:r>
              <w:rPr>
                <w:rFonts w:hint="eastAsia" w:ascii="Times New Roman"/>
                <w:snapToGrid w:val="0"/>
                <w:kern w:val="21"/>
                <w:szCs w:val="21"/>
              </w:rPr>
              <w:t>+</w:t>
            </w:r>
            <w:r>
              <w:rPr>
                <w:rFonts w:ascii="Times New Roman"/>
                <w:snapToGrid w:val="0"/>
                <w:kern w:val="21"/>
                <w:szCs w:val="21"/>
              </w:rPr>
              <w:t>0.4t/a</w:t>
            </w:r>
          </w:p>
        </w:tc>
      </w:tr>
      <w:tr w14:paraId="5E62F5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588" w:type="dxa"/>
            <w:vMerge w:val="continue"/>
            <w:vAlign w:val="center"/>
          </w:tcPr>
          <w:p w14:paraId="5DFE64CA">
            <w:pPr>
              <w:pStyle w:val="40"/>
              <w:spacing w:beforeLines="0" w:afterLines="0" w:line="240" w:lineRule="auto"/>
              <w:rPr>
                <w:rFonts w:hint="eastAsia" w:hAnsi="宋体" w:cs="宋体"/>
                <w:snapToGrid w:val="0"/>
                <w:kern w:val="21"/>
                <w:szCs w:val="21"/>
              </w:rPr>
            </w:pPr>
          </w:p>
        </w:tc>
        <w:tc>
          <w:tcPr>
            <w:tcW w:w="1135" w:type="dxa"/>
            <w:vAlign w:val="center"/>
          </w:tcPr>
          <w:p w14:paraId="4AE41D80">
            <w:pPr>
              <w:pStyle w:val="40"/>
              <w:spacing w:beforeLines="0" w:afterLines="0" w:line="240" w:lineRule="auto"/>
              <w:rPr>
                <w:rFonts w:hint="eastAsia" w:hAnsi="宋体" w:cs="宋体"/>
                <w:snapToGrid w:val="0"/>
                <w:kern w:val="21"/>
                <w:szCs w:val="21"/>
              </w:rPr>
            </w:pPr>
            <w:r>
              <w:rPr>
                <w:rFonts w:hint="eastAsia" w:hAnsi="宋体" w:cs="宋体"/>
                <w:snapToGrid w:val="0"/>
                <w:kern w:val="21"/>
                <w:szCs w:val="21"/>
              </w:rPr>
              <w:t>浮油</w:t>
            </w:r>
          </w:p>
        </w:tc>
        <w:tc>
          <w:tcPr>
            <w:tcW w:w="1513" w:type="dxa"/>
            <w:vAlign w:val="center"/>
          </w:tcPr>
          <w:p w14:paraId="6B5E8B25">
            <w:pPr>
              <w:pStyle w:val="40"/>
              <w:spacing w:beforeLines="0" w:afterLines="0" w:line="240" w:lineRule="auto"/>
              <w:rPr>
                <w:rFonts w:ascii="Times New Roman"/>
                <w:snapToGrid w:val="0"/>
                <w:kern w:val="21"/>
                <w:szCs w:val="21"/>
              </w:rPr>
            </w:pPr>
            <w:r>
              <w:rPr>
                <w:rFonts w:hint="eastAsia" w:ascii="Times New Roman"/>
                <w:snapToGrid w:val="0"/>
                <w:kern w:val="21"/>
                <w:szCs w:val="21"/>
              </w:rPr>
              <w:t>/</w:t>
            </w:r>
          </w:p>
        </w:tc>
        <w:tc>
          <w:tcPr>
            <w:tcW w:w="1187" w:type="dxa"/>
            <w:vAlign w:val="center"/>
          </w:tcPr>
          <w:p w14:paraId="340933E5">
            <w:pPr>
              <w:jc w:val="center"/>
              <w:rPr>
                <w:rFonts w:hAnsi="宋体" w:cs="宋体"/>
                <w:snapToGrid w:val="0"/>
                <w:kern w:val="21"/>
                <w:szCs w:val="21"/>
              </w:rPr>
            </w:pPr>
            <w:r>
              <w:rPr>
                <w:rFonts w:hint="eastAsia" w:hAnsi="宋体" w:cs="宋体"/>
                <w:snapToGrid w:val="0"/>
                <w:kern w:val="21"/>
                <w:szCs w:val="21"/>
              </w:rPr>
              <w:t>/</w:t>
            </w:r>
          </w:p>
        </w:tc>
        <w:tc>
          <w:tcPr>
            <w:tcW w:w="1713" w:type="dxa"/>
            <w:vAlign w:val="center"/>
          </w:tcPr>
          <w:p w14:paraId="53D12C10">
            <w:pPr>
              <w:jc w:val="center"/>
              <w:rPr>
                <w:rFonts w:hAnsi="宋体" w:cs="宋体"/>
                <w:snapToGrid w:val="0"/>
                <w:kern w:val="21"/>
                <w:szCs w:val="21"/>
              </w:rPr>
            </w:pPr>
            <w:r>
              <w:rPr>
                <w:rFonts w:hint="eastAsia" w:hAnsi="宋体" w:cs="宋体"/>
                <w:snapToGrid w:val="0"/>
                <w:kern w:val="21"/>
                <w:szCs w:val="21"/>
              </w:rPr>
              <w:t>/</w:t>
            </w:r>
          </w:p>
        </w:tc>
        <w:tc>
          <w:tcPr>
            <w:tcW w:w="1587" w:type="dxa"/>
            <w:vAlign w:val="center"/>
          </w:tcPr>
          <w:p w14:paraId="5D9E8E79">
            <w:pPr>
              <w:pStyle w:val="40"/>
              <w:spacing w:beforeLines="0" w:afterLines="0" w:line="240" w:lineRule="auto"/>
              <w:rPr>
                <w:rFonts w:ascii="Times New Roman"/>
                <w:snapToGrid w:val="0"/>
                <w:kern w:val="21"/>
                <w:szCs w:val="21"/>
              </w:rPr>
            </w:pPr>
            <w:r>
              <w:rPr>
                <w:rFonts w:hint="eastAsia" w:ascii="Times New Roman"/>
                <w:snapToGrid w:val="0"/>
                <w:kern w:val="21"/>
                <w:szCs w:val="21"/>
              </w:rPr>
              <w:t>0.001</w:t>
            </w:r>
            <w:r>
              <w:rPr>
                <w:rFonts w:ascii="Times New Roman"/>
                <w:snapToGrid w:val="0"/>
                <w:kern w:val="21"/>
                <w:szCs w:val="21"/>
              </w:rPr>
              <w:t>t/a</w:t>
            </w:r>
          </w:p>
        </w:tc>
        <w:tc>
          <w:tcPr>
            <w:tcW w:w="1700" w:type="dxa"/>
            <w:vAlign w:val="center"/>
          </w:tcPr>
          <w:p w14:paraId="7F63E3DF">
            <w:pPr>
              <w:jc w:val="center"/>
            </w:pPr>
            <w:r>
              <w:rPr>
                <w:rFonts w:hint="eastAsia" w:hAnsi="宋体" w:cs="宋体"/>
                <w:snapToGrid w:val="0"/>
                <w:kern w:val="21"/>
                <w:szCs w:val="21"/>
              </w:rPr>
              <w:t>/</w:t>
            </w:r>
          </w:p>
        </w:tc>
        <w:tc>
          <w:tcPr>
            <w:tcW w:w="2013" w:type="dxa"/>
            <w:vAlign w:val="center"/>
          </w:tcPr>
          <w:p w14:paraId="480AC923">
            <w:pPr>
              <w:jc w:val="center"/>
              <w:rPr>
                <w:snapToGrid w:val="0"/>
                <w:kern w:val="21"/>
                <w:szCs w:val="21"/>
              </w:rPr>
            </w:pPr>
            <w:r>
              <w:rPr>
                <w:rFonts w:hint="eastAsia"/>
                <w:snapToGrid w:val="0"/>
                <w:kern w:val="21"/>
                <w:szCs w:val="21"/>
              </w:rPr>
              <w:t>0.001</w:t>
            </w:r>
            <w:r>
              <w:rPr>
                <w:snapToGrid w:val="0"/>
                <w:kern w:val="21"/>
                <w:szCs w:val="21"/>
              </w:rPr>
              <w:t>t/a</w:t>
            </w:r>
          </w:p>
        </w:tc>
        <w:tc>
          <w:tcPr>
            <w:tcW w:w="1352" w:type="dxa"/>
            <w:vAlign w:val="center"/>
          </w:tcPr>
          <w:p w14:paraId="76A7495D">
            <w:pPr>
              <w:jc w:val="center"/>
            </w:pPr>
            <w:r>
              <w:rPr>
                <w:rFonts w:hint="eastAsia"/>
                <w:snapToGrid w:val="0"/>
                <w:kern w:val="21"/>
                <w:szCs w:val="21"/>
              </w:rPr>
              <w:t>+0.001</w:t>
            </w:r>
            <w:r>
              <w:rPr>
                <w:snapToGrid w:val="0"/>
                <w:kern w:val="21"/>
                <w:szCs w:val="21"/>
              </w:rPr>
              <w:t>t/a</w:t>
            </w:r>
          </w:p>
        </w:tc>
      </w:tr>
      <w:tr w14:paraId="144FE7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588" w:type="dxa"/>
            <w:vMerge w:val="continue"/>
            <w:vAlign w:val="center"/>
          </w:tcPr>
          <w:p w14:paraId="0EECA59A">
            <w:pPr>
              <w:pStyle w:val="40"/>
              <w:spacing w:beforeLines="0" w:afterLines="0" w:line="240" w:lineRule="auto"/>
              <w:rPr>
                <w:rFonts w:hint="eastAsia" w:hAnsi="宋体" w:cs="宋体"/>
                <w:snapToGrid w:val="0"/>
                <w:kern w:val="21"/>
                <w:szCs w:val="21"/>
              </w:rPr>
            </w:pPr>
          </w:p>
        </w:tc>
        <w:tc>
          <w:tcPr>
            <w:tcW w:w="1135" w:type="dxa"/>
            <w:vAlign w:val="center"/>
          </w:tcPr>
          <w:p w14:paraId="4B7098D0">
            <w:pPr>
              <w:pStyle w:val="40"/>
              <w:spacing w:beforeLines="0" w:afterLines="0" w:line="240" w:lineRule="auto"/>
              <w:rPr>
                <w:rFonts w:hint="eastAsia" w:hAnsi="宋体" w:cs="宋体"/>
                <w:snapToGrid w:val="0"/>
                <w:kern w:val="21"/>
                <w:szCs w:val="21"/>
              </w:rPr>
            </w:pPr>
            <w:r>
              <w:rPr>
                <w:rFonts w:hint="eastAsia" w:hAnsi="宋体" w:cs="宋体"/>
                <w:snapToGrid w:val="0"/>
                <w:kern w:val="21"/>
                <w:szCs w:val="21"/>
              </w:rPr>
              <w:t>含油污泥</w:t>
            </w:r>
          </w:p>
        </w:tc>
        <w:tc>
          <w:tcPr>
            <w:tcW w:w="1513" w:type="dxa"/>
            <w:vAlign w:val="center"/>
          </w:tcPr>
          <w:p w14:paraId="09C5BB7C">
            <w:pPr>
              <w:pStyle w:val="40"/>
              <w:spacing w:beforeLines="0" w:afterLines="0" w:line="240" w:lineRule="auto"/>
              <w:rPr>
                <w:rFonts w:ascii="Times New Roman"/>
                <w:snapToGrid w:val="0"/>
                <w:kern w:val="21"/>
                <w:szCs w:val="21"/>
              </w:rPr>
            </w:pPr>
            <w:r>
              <w:rPr>
                <w:rFonts w:hint="eastAsia" w:ascii="Times New Roman"/>
                <w:snapToGrid w:val="0"/>
                <w:kern w:val="21"/>
                <w:szCs w:val="21"/>
              </w:rPr>
              <w:t>/</w:t>
            </w:r>
          </w:p>
        </w:tc>
        <w:tc>
          <w:tcPr>
            <w:tcW w:w="1187" w:type="dxa"/>
            <w:vAlign w:val="center"/>
          </w:tcPr>
          <w:p w14:paraId="542730A8">
            <w:pPr>
              <w:jc w:val="center"/>
              <w:rPr>
                <w:rFonts w:hAnsi="宋体" w:cs="宋体"/>
                <w:snapToGrid w:val="0"/>
                <w:kern w:val="21"/>
                <w:szCs w:val="21"/>
              </w:rPr>
            </w:pPr>
            <w:r>
              <w:rPr>
                <w:rFonts w:hint="eastAsia" w:hAnsi="宋体" w:cs="宋体"/>
                <w:snapToGrid w:val="0"/>
                <w:kern w:val="21"/>
                <w:szCs w:val="21"/>
              </w:rPr>
              <w:t>/</w:t>
            </w:r>
          </w:p>
        </w:tc>
        <w:tc>
          <w:tcPr>
            <w:tcW w:w="1713" w:type="dxa"/>
            <w:vAlign w:val="center"/>
          </w:tcPr>
          <w:p w14:paraId="347FE7FE">
            <w:pPr>
              <w:jc w:val="center"/>
              <w:rPr>
                <w:rFonts w:hAnsi="宋体" w:cs="宋体"/>
                <w:snapToGrid w:val="0"/>
                <w:kern w:val="21"/>
                <w:szCs w:val="21"/>
              </w:rPr>
            </w:pPr>
            <w:r>
              <w:rPr>
                <w:rFonts w:hint="eastAsia" w:hAnsi="宋体" w:cs="宋体"/>
                <w:snapToGrid w:val="0"/>
                <w:kern w:val="21"/>
                <w:szCs w:val="21"/>
              </w:rPr>
              <w:t>/</w:t>
            </w:r>
          </w:p>
        </w:tc>
        <w:tc>
          <w:tcPr>
            <w:tcW w:w="1587" w:type="dxa"/>
            <w:vAlign w:val="center"/>
          </w:tcPr>
          <w:p w14:paraId="723C2D6D">
            <w:pPr>
              <w:pStyle w:val="40"/>
              <w:spacing w:beforeLines="0" w:afterLines="0" w:line="240" w:lineRule="auto"/>
              <w:rPr>
                <w:rFonts w:ascii="Times New Roman"/>
                <w:snapToGrid w:val="0"/>
                <w:kern w:val="21"/>
                <w:szCs w:val="21"/>
              </w:rPr>
            </w:pPr>
            <w:r>
              <w:rPr>
                <w:rFonts w:ascii="Times New Roman"/>
                <w:snapToGrid w:val="0"/>
                <w:kern w:val="21"/>
                <w:szCs w:val="21"/>
              </w:rPr>
              <w:t>0.05t/a</w:t>
            </w:r>
          </w:p>
        </w:tc>
        <w:tc>
          <w:tcPr>
            <w:tcW w:w="1700" w:type="dxa"/>
            <w:vAlign w:val="center"/>
          </w:tcPr>
          <w:p w14:paraId="3A3D7E5F">
            <w:pPr>
              <w:jc w:val="center"/>
            </w:pPr>
            <w:r>
              <w:rPr>
                <w:rFonts w:hint="eastAsia" w:hAnsi="宋体" w:cs="宋体"/>
                <w:snapToGrid w:val="0"/>
                <w:kern w:val="21"/>
                <w:szCs w:val="21"/>
              </w:rPr>
              <w:t>/</w:t>
            </w:r>
          </w:p>
        </w:tc>
        <w:tc>
          <w:tcPr>
            <w:tcW w:w="2013" w:type="dxa"/>
            <w:vAlign w:val="center"/>
          </w:tcPr>
          <w:p w14:paraId="592F4F1C">
            <w:pPr>
              <w:pStyle w:val="40"/>
              <w:spacing w:beforeLines="0" w:afterLines="0" w:line="240" w:lineRule="auto"/>
              <w:rPr>
                <w:rFonts w:hAnsi="宋体" w:cs="宋体"/>
                <w:snapToGrid w:val="0"/>
                <w:kern w:val="21"/>
                <w:szCs w:val="21"/>
              </w:rPr>
            </w:pPr>
            <w:r>
              <w:rPr>
                <w:rFonts w:ascii="Times New Roman"/>
                <w:snapToGrid w:val="0"/>
                <w:kern w:val="21"/>
                <w:szCs w:val="21"/>
              </w:rPr>
              <w:t>0.05t/a</w:t>
            </w:r>
          </w:p>
        </w:tc>
        <w:tc>
          <w:tcPr>
            <w:tcW w:w="1352" w:type="dxa"/>
            <w:vAlign w:val="center"/>
          </w:tcPr>
          <w:p w14:paraId="4E17DADD">
            <w:pPr>
              <w:pStyle w:val="40"/>
              <w:spacing w:beforeLines="0" w:afterLines="0" w:line="240" w:lineRule="auto"/>
            </w:pPr>
            <w:r>
              <w:rPr>
                <w:rFonts w:hint="eastAsia" w:ascii="Times New Roman"/>
                <w:snapToGrid w:val="0"/>
                <w:kern w:val="21"/>
                <w:szCs w:val="21"/>
              </w:rPr>
              <w:t>+</w:t>
            </w:r>
            <w:r>
              <w:rPr>
                <w:rFonts w:ascii="Times New Roman"/>
                <w:snapToGrid w:val="0"/>
                <w:kern w:val="21"/>
                <w:szCs w:val="21"/>
              </w:rPr>
              <w:t>0.05t/a</w:t>
            </w:r>
          </w:p>
        </w:tc>
      </w:tr>
      <w:tr w14:paraId="7801B5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588" w:type="dxa"/>
            <w:vMerge w:val="continue"/>
            <w:vAlign w:val="center"/>
          </w:tcPr>
          <w:p w14:paraId="63090FD9">
            <w:pPr>
              <w:pStyle w:val="40"/>
              <w:spacing w:beforeLines="0" w:afterLines="0" w:line="240" w:lineRule="auto"/>
              <w:rPr>
                <w:rFonts w:hAnsi="宋体" w:cs="宋体"/>
                <w:snapToGrid w:val="0"/>
                <w:kern w:val="21"/>
                <w:szCs w:val="21"/>
              </w:rPr>
            </w:pPr>
          </w:p>
        </w:tc>
        <w:tc>
          <w:tcPr>
            <w:tcW w:w="1135" w:type="dxa"/>
            <w:vAlign w:val="center"/>
          </w:tcPr>
          <w:p w14:paraId="483CB57C">
            <w:pPr>
              <w:pStyle w:val="40"/>
              <w:spacing w:beforeLines="0" w:afterLines="0" w:line="240" w:lineRule="auto"/>
              <w:rPr>
                <w:rFonts w:hint="eastAsia" w:hAnsi="宋体" w:cs="宋体"/>
                <w:snapToGrid w:val="0"/>
                <w:kern w:val="21"/>
                <w:szCs w:val="21"/>
              </w:rPr>
            </w:pPr>
            <w:r>
              <w:rPr>
                <w:rFonts w:hint="eastAsia" w:hAnsi="宋体" w:cs="宋体"/>
                <w:snapToGrid w:val="0"/>
                <w:kern w:val="21"/>
                <w:szCs w:val="21"/>
              </w:rPr>
              <w:t>废棉纱手套</w:t>
            </w:r>
          </w:p>
        </w:tc>
        <w:tc>
          <w:tcPr>
            <w:tcW w:w="1513" w:type="dxa"/>
            <w:vAlign w:val="center"/>
          </w:tcPr>
          <w:p w14:paraId="48F623D2">
            <w:pPr>
              <w:pStyle w:val="40"/>
              <w:spacing w:beforeLines="0" w:afterLines="0" w:line="240" w:lineRule="auto"/>
              <w:rPr>
                <w:rFonts w:ascii="Times New Roman"/>
                <w:snapToGrid w:val="0"/>
                <w:kern w:val="21"/>
                <w:szCs w:val="21"/>
              </w:rPr>
            </w:pPr>
            <w:r>
              <w:rPr>
                <w:rFonts w:hint="eastAsia" w:ascii="Times New Roman"/>
                <w:snapToGrid w:val="0"/>
                <w:kern w:val="21"/>
                <w:szCs w:val="21"/>
              </w:rPr>
              <w:t>/</w:t>
            </w:r>
          </w:p>
        </w:tc>
        <w:tc>
          <w:tcPr>
            <w:tcW w:w="1187" w:type="dxa"/>
            <w:vAlign w:val="center"/>
          </w:tcPr>
          <w:p w14:paraId="2A87F4C5">
            <w:pPr>
              <w:jc w:val="center"/>
              <w:rPr>
                <w:rFonts w:hAnsi="宋体" w:cs="宋体"/>
                <w:snapToGrid w:val="0"/>
                <w:kern w:val="21"/>
                <w:szCs w:val="21"/>
              </w:rPr>
            </w:pPr>
            <w:r>
              <w:rPr>
                <w:rFonts w:hint="eastAsia" w:hAnsi="宋体" w:cs="宋体"/>
                <w:snapToGrid w:val="0"/>
                <w:kern w:val="21"/>
                <w:szCs w:val="21"/>
              </w:rPr>
              <w:t>/</w:t>
            </w:r>
          </w:p>
        </w:tc>
        <w:tc>
          <w:tcPr>
            <w:tcW w:w="1713" w:type="dxa"/>
            <w:vAlign w:val="center"/>
          </w:tcPr>
          <w:p w14:paraId="5A8B9048">
            <w:pPr>
              <w:jc w:val="center"/>
              <w:rPr>
                <w:rFonts w:hAnsi="宋体" w:cs="宋体"/>
                <w:snapToGrid w:val="0"/>
                <w:kern w:val="21"/>
                <w:szCs w:val="21"/>
              </w:rPr>
            </w:pPr>
            <w:r>
              <w:rPr>
                <w:rFonts w:hint="eastAsia" w:hAnsi="宋体" w:cs="宋体"/>
                <w:snapToGrid w:val="0"/>
                <w:kern w:val="21"/>
                <w:szCs w:val="21"/>
              </w:rPr>
              <w:t>/</w:t>
            </w:r>
          </w:p>
        </w:tc>
        <w:tc>
          <w:tcPr>
            <w:tcW w:w="1587" w:type="dxa"/>
            <w:vAlign w:val="center"/>
          </w:tcPr>
          <w:p w14:paraId="5DA38F46">
            <w:pPr>
              <w:pStyle w:val="40"/>
              <w:spacing w:beforeLines="0" w:afterLines="0" w:line="240" w:lineRule="auto"/>
              <w:rPr>
                <w:rFonts w:ascii="Times New Roman"/>
                <w:snapToGrid w:val="0"/>
                <w:kern w:val="21"/>
                <w:szCs w:val="21"/>
              </w:rPr>
            </w:pPr>
            <w:r>
              <w:rPr>
                <w:rFonts w:ascii="Times New Roman"/>
                <w:snapToGrid w:val="0"/>
                <w:kern w:val="21"/>
                <w:szCs w:val="21"/>
              </w:rPr>
              <w:t>0.0</w:t>
            </w:r>
            <w:r>
              <w:rPr>
                <w:rFonts w:hint="eastAsia" w:ascii="Times New Roman"/>
                <w:snapToGrid w:val="0"/>
                <w:kern w:val="21"/>
                <w:szCs w:val="21"/>
              </w:rPr>
              <w:t>1</w:t>
            </w:r>
            <w:r>
              <w:rPr>
                <w:rFonts w:ascii="Times New Roman"/>
                <w:snapToGrid w:val="0"/>
                <w:kern w:val="21"/>
                <w:szCs w:val="21"/>
              </w:rPr>
              <w:t>t/a</w:t>
            </w:r>
          </w:p>
        </w:tc>
        <w:tc>
          <w:tcPr>
            <w:tcW w:w="1700" w:type="dxa"/>
            <w:vAlign w:val="center"/>
          </w:tcPr>
          <w:p w14:paraId="02189A0E">
            <w:pPr>
              <w:jc w:val="center"/>
            </w:pPr>
            <w:r>
              <w:rPr>
                <w:rFonts w:hint="eastAsia" w:hAnsi="宋体" w:cs="宋体"/>
                <w:snapToGrid w:val="0"/>
                <w:kern w:val="21"/>
                <w:szCs w:val="21"/>
              </w:rPr>
              <w:t>/</w:t>
            </w:r>
          </w:p>
        </w:tc>
        <w:tc>
          <w:tcPr>
            <w:tcW w:w="2013" w:type="dxa"/>
            <w:vAlign w:val="center"/>
          </w:tcPr>
          <w:p w14:paraId="17FB1C19">
            <w:pPr>
              <w:pStyle w:val="40"/>
              <w:spacing w:beforeLines="0" w:afterLines="0" w:line="240" w:lineRule="auto"/>
              <w:rPr>
                <w:rFonts w:hAnsi="宋体" w:cs="宋体"/>
                <w:snapToGrid w:val="0"/>
                <w:kern w:val="21"/>
                <w:szCs w:val="21"/>
              </w:rPr>
            </w:pPr>
            <w:r>
              <w:rPr>
                <w:rFonts w:ascii="Times New Roman"/>
                <w:snapToGrid w:val="0"/>
                <w:kern w:val="21"/>
                <w:szCs w:val="21"/>
              </w:rPr>
              <w:t>0.0</w:t>
            </w:r>
            <w:r>
              <w:rPr>
                <w:rFonts w:hint="eastAsia" w:ascii="Times New Roman"/>
                <w:snapToGrid w:val="0"/>
                <w:kern w:val="21"/>
                <w:szCs w:val="21"/>
              </w:rPr>
              <w:t>1</w:t>
            </w:r>
            <w:r>
              <w:rPr>
                <w:rFonts w:ascii="Times New Roman"/>
                <w:snapToGrid w:val="0"/>
                <w:kern w:val="21"/>
                <w:szCs w:val="21"/>
              </w:rPr>
              <w:t>t/a</w:t>
            </w:r>
          </w:p>
        </w:tc>
        <w:tc>
          <w:tcPr>
            <w:tcW w:w="1352" w:type="dxa"/>
            <w:vAlign w:val="center"/>
          </w:tcPr>
          <w:p w14:paraId="1FB89F7D">
            <w:pPr>
              <w:pStyle w:val="40"/>
              <w:spacing w:beforeLines="0" w:afterLines="0" w:line="240" w:lineRule="auto"/>
            </w:pPr>
            <w:r>
              <w:rPr>
                <w:rFonts w:hint="eastAsia" w:ascii="Times New Roman"/>
                <w:snapToGrid w:val="0"/>
                <w:kern w:val="21"/>
                <w:szCs w:val="21"/>
              </w:rPr>
              <w:t>+</w:t>
            </w:r>
            <w:r>
              <w:rPr>
                <w:rFonts w:ascii="Times New Roman"/>
                <w:snapToGrid w:val="0"/>
                <w:kern w:val="21"/>
                <w:szCs w:val="21"/>
              </w:rPr>
              <w:t>0.0</w:t>
            </w:r>
            <w:r>
              <w:rPr>
                <w:rFonts w:hint="eastAsia" w:ascii="Times New Roman"/>
                <w:snapToGrid w:val="0"/>
                <w:kern w:val="21"/>
                <w:szCs w:val="21"/>
              </w:rPr>
              <w:t>1</w:t>
            </w:r>
            <w:r>
              <w:rPr>
                <w:rFonts w:ascii="Times New Roman"/>
                <w:snapToGrid w:val="0"/>
                <w:kern w:val="21"/>
                <w:szCs w:val="21"/>
              </w:rPr>
              <w:t>t/a</w:t>
            </w:r>
          </w:p>
        </w:tc>
      </w:tr>
      <w:tr w14:paraId="10BED1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588" w:type="dxa"/>
            <w:vAlign w:val="center"/>
          </w:tcPr>
          <w:p w14:paraId="0FAF319C">
            <w:pPr>
              <w:pStyle w:val="40"/>
              <w:spacing w:beforeLines="0" w:afterLines="0" w:line="240" w:lineRule="auto"/>
              <w:rPr>
                <w:rFonts w:hAnsi="宋体" w:cs="宋体"/>
                <w:snapToGrid w:val="0"/>
                <w:kern w:val="21"/>
                <w:szCs w:val="21"/>
              </w:rPr>
            </w:pPr>
            <w:r>
              <w:rPr>
                <w:rFonts w:hint="eastAsia" w:hAnsi="宋体" w:cs="宋体"/>
                <w:snapToGrid w:val="0"/>
                <w:kern w:val="21"/>
                <w:szCs w:val="21"/>
              </w:rPr>
              <w:t>生活垃圾</w:t>
            </w:r>
          </w:p>
        </w:tc>
        <w:tc>
          <w:tcPr>
            <w:tcW w:w="1135" w:type="dxa"/>
            <w:vAlign w:val="center"/>
          </w:tcPr>
          <w:p w14:paraId="42AFC859">
            <w:pPr>
              <w:pStyle w:val="40"/>
              <w:spacing w:beforeLines="0" w:afterLines="0" w:line="240" w:lineRule="auto"/>
              <w:rPr>
                <w:rFonts w:hint="eastAsia" w:hAnsi="宋体" w:cs="宋体"/>
                <w:snapToGrid w:val="0"/>
                <w:kern w:val="21"/>
                <w:szCs w:val="21"/>
              </w:rPr>
            </w:pPr>
            <w:r>
              <w:rPr>
                <w:rFonts w:hint="eastAsia" w:hAnsi="宋体" w:cs="宋体"/>
                <w:snapToGrid w:val="0"/>
                <w:kern w:val="21"/>
                <w:szCs w:val="21"/>
              </w:rPr>
              <w:t>生活垃圾</w:t>
            </w:r>
          </w:p>
        </w:tc>
        <w:tc>
          <w:tcPr>
            <w:tcW w:w="1513" w:type="dxa"/>
            <w:vAlign w:val="center"/>
          </w:tcPr>
          <w:p w14:paraId="74FD3327">
            <w:pPr>
              <w:pStyle w:val="40"/>
              <w:spacing w:beforeLines="0" w:afterLines="0" w:line="240" w:lineRule="auto"/>
              <w:rPr>
                <w:rFonts w:ascii="Times New Roman"/>
                <w:snapToGrid w:val="0"/>
                <w:kern w:val="21"/>
                <w:szCs w:val="21"/>
              </w:rPr>
            </w:pPr>
            <w:r>
              <w:rPr>
                <w:rFonts w:hint="eastAsia" w:ascii="Times New Roman"/>
                <w:snapToGrid w:val="0"/>
                <w:kern w:val="21"/>
                <w:szCs w:val="21"/>
              </w:rPr>
              <w:t>/</w:t>
            </w:r>
          </w:p>
        </w:tc>
        <w:tc>
          <w:tcPr>
            <w:tcW w:w="1187" w:type="dxa"/>
            <w:vAlign w:val="center"/>
          </w:tcPr>
          <w:p w14:paraId="040C9353">
            <w:pPr>
              <w:jc w:val="center"/>
              <w:rPr>
                <w:rFonts w:hAnsi="宋体" w:cs="宋体"/>
                <w:snapToGrid w:val="0"/>
                <w:kern w:val="21"/>
                <w:szCs w:val="21"/>
              </w:rPr>
            </w:pPr>
            <w:r>
              <w:rPr>
                <w:rFonts w:hint="eastAsia" w:hAnsi="宋体" w:cs="宋体"/>
                <w:snapToGrid w:val="0"/>
                <w:kern w:val="21"/>
                <w:szCs w:val="21"/>
              </w:rPr>
              <w:t>/</w:t>
            </w:r>
          </w:p>
        </w:tc>
        <w:tc>
          <w:tcPr>
            <w:tcW w:w="1713" w:type="dxa"/>
            <w:vAlign w:val="center"/>
          </w:tcPr>
          <w:p w14:paraId="6D93580F">
            <w:pPr>
              <w:jc w:val="center"/>
              <w:rPr>
                <w:rFonts w:hAnsi="宋体" w:cs="宋体"/>
                <w:snapToGrid w:val="0"/>
                <w:kern w:val="21"/>
                <w:szCs w:val="21"/>
              </w:rPr>
            </w:pPr>
            <w:r>
              <w:rPr>
                <w:rFonts w:hint="eastAsia" w:hAnsi="宋体" w:cs="宋体"/>
                <w:snapToGrid w:val="0"/>
                <w:kern w:val="21"/>
                <w:szCs w:val="21"/>
              </w:rPr>
              <w:t>/</w:t>
            </w:r>
          </w:p>
        </w:tc>
        <w:tc>
          <w:tcPr>
            <w:tcW w:w="1587" w:type="dxa"/>
            <w:vAlign w:val="center"/>
          </w:tcPr>
          <w:p w14:paraId="550EC4ED">
            <w:pPr>
              <w:pStyle w:val="40"/>
              <w:spacing w:beforeLines="0" w:afterLines="0" w:line="240" w:lineRule="auto"/>
              <w:rPr>
                <w:rFonts w:ascii="Times New Roman"/>
                <w:snapToGrid w:val="0"/>
                <w:kern w:val="21"/>
                <w:szCs w:val="21"/>
              </w:rPr>
            </w:pPr>
            <w:r>
              <w:rPr>
                <w:rFonts w:hint="eastAsia" w:ascii="Times New Roman"/>
                <w:snapToGrid w:val="0"/>
                <w:kern w:val="21"/>
                <w:szCs w:val="21"/>
              </w:rPr>
              <w:t>4.38</w:t>
            </w:r>
            <w:r>
              <w:rPr>
                <w:rFonts w:ascii="Times New Roman"/>
                <w:snapToGrid w:val="0"/>
                <w:kern w:val="21"/>
                <w:szCs w:val="21"/>
              </w:rPr>
              <w:t>t/a</w:t>
            </w:r>
          </w:p>
        </w:tc>
        <w:tc>
          <w:tcPr>
            <w:tcW w:w="1700" w:type="dxa"/>
            <w:vAlign w:val="center"/>
          </w:tcPr>
          <w:p w14:paraId="7CCB4BB8">
            <w:pPr>
              <w:jc w:val="center"/>
              <w:rPr>
                <w:rFonts w:hint="eastAsia" w:hAnsi="宋体" w:cs="宋体"/>
                <w:snapToGrid w:val="0"/>
                <w:kern w:val="21"/>
                <w:szCs w:val="21"/>
              </w:rPr>
            </w:pPr>
            <w:r>
              <w:rPr>
                <w:rFonts w:hint="eastAsia" w:hAnsi="宋体" w:cs="宋体"/>
                <w:snapToGrid w:val="0"/>
                <w:kern w:val="21"/>
                <w:szCs w:val="21"/>
              </w:rPr>
              <w:t>/</w:t>
            </w:r>
          </w:p>
        </w:tc>
        <w:tc>
          <w:tcPr>
            <w:tcW w:w="2013" w:type="dxa"/>
            <w:vAlign w:val="center"/>
          </w:tcPr>
          <w:p w14:paraId="6424D6DB">
            <w:pPr>
              <w:pStyle w:val="40"/>
              <w:spacing w:beforeLines="0" w:afterLines="0" w:line="240" w:lineRule="auto"/>
              <w:rPr>
                <w:rFonts w:ascii="Times New Roman"/>
                <w:snapToGrid w:val="0"/>
                <w:kern w:val="21"/>
                <w:szCs w:val="21"/>
              </w:rPr>
            </w:pPr>
            <w:r>
              <w:rPr>
                <w:rFonts w:hint="eastAsia" w:ascii="Times New Roman"/>
                <w:snapToGrid w:val="0"/>
                <w:kern w:val="21"/>
                <w:szCs w:val="21"/>
              </w:rPr>
              <w:t>4.38</w:t>
            </w:r>
            <w:r>
              <w:rPr>
                <w:rFonts w:ascii="Times New Roman"/>
                <w:snapToGrid w:val="0"/>
                <w:kern w:val="21"/>
                <w:szCs w:val="21"/>
              </w:rPr>
              <w:t>t/a</w:t>
            </w:r>
          </w:p>
        </w:tc>
        <w:tc>
          <w:tcPr>
            <w:tcW w:w="1352" w:type="dxa"/>
            <w:vAlign w:val="center"/>
          </w:tcPr>
          <w:p w14:paraId="0148C1B7">
            <w:pPr>
              <w:pStyle w:val="40"/>
              <w:spacing w:beforeLines="0" w:afterLines="0" w:line="240" w:lineRule="auto"/>
              <w:rPr>
                <w:rFonts w:hint="eastAsia" w:hAnsi="宋体" w:cs="宋体"/>
                <w:snapToGrid w:val="0"/>
                <w:kern w:val="21"/>
                <w:szCs w:val="21"/>
              </w:rPr>
            </w:pPr>
            <w:r>
              <w:rPr>
                <w:rFonts w:hint="eastAsia" w:ascii="Times New Roman"/>
                <w:snapToGrid w:val="0"/>
                <w:kern w:val="21"/>
                <w:szCs w:val="21"/>
              </w:rPr>
              <w:t>+4.38</w:t>
            </w:r>
            <w:r>
              <w:rPr>
                <w:rFonts w:ascii="Times New Roman"/>
                <w:snapToGrid w:val="0"/>
                <w:kern w:val="21"/>
                <w:szCs w:val="21"/>
              </w:rPr>
              <w:t>t/a</w:t>
            </w:r>
          </w:p>
        </w:tc>
      </w:tr>
    </w:tbl>
    <w:p w14:paraId="0997C579">
      <w:pPr>
        <w:pStyle w:val="40"/>
        <w:spacing w:beforeLines="80" w:after="24"/>
        <w:jc w:val="left"/>
        <w:rPr>
          <w:rFonts w:hAnsi="宋体"/>
          <w:snapToGrid w:val="0"/>
          <w:spacing w:val="-6"/>
          <w:kern w:val="21"/>
          <w:szCs w:val="21"/>
        </w:rPr>
        <w:sectPr>
          <w:footerReference r:id="rId6" w:type="default"/>
          <w:pgSz w:w="16838" w:h="11906" w:orient="landscape"/>
          <w:pgMar w:top="1531" w:right="1701" w:bottom="1531" w:left="1701" w:header="851" w:footer="851" w:gutter="0"/>
          <w:cols w:space="720" w:num="1"/>
          <w:docGrid w:linePitch="312" w:charSpace="0"/>
        </w:sectPr>
      </w:pPr>
      <w:r>
        <w:rPr>
          <w:rFonts w:hAnsi="宋体"/>
          <w:snapToGrid w:val="0"/>
          <w:kern w:val="21"/>
          <w:szCs w:val="21"/>
        </w:rPr>
        <w:t>注：</w:t>
      </w:r>
      <w:r>
        <w:rPr>
          <w:rFonts w:hAnsi="宋体"/>
          <w:snapToGrid w:val="0"/>
          <w:spacing w:val="-16"/>
          <w:kern w:val="21"/>
          <w:szCs w:val="21"/>
        </w:rPr>
        <w:fldChar w:fldCharType="begin"/>
      </w:r>
      <w:r>
        <w:rPr>
          <w:rFonts w:hAnsi="宋体"/>
          <w:snapToGrid w:val="0"/>
          <w:spacing w:val="-16"/>
          <w:kern w:val="21"/>
          <w:szCs w:val="21"/>
        </w:rPr>
        <w:instrText xml:space="preserve"> = 6 \* GB3 \* MERGEFORMAT </w:instrText>
      </w:r>
      <w:r>
        <w:rPr>
          <w:rFonts w:hAnsi="宋体"/>
          <w:snapToGrid w:val="0"/>
          <w:spacing w:val="-16"/>
          <w:kern w:val="21"/>
          <w:szCs w:val="21"/>
        </w:rPr>
        <w:fldChar w:fldCharType="separate"/>
      </w:r>
      <w:r>
        <w:rPr>
          <w:rFonts w:hint="eastAsia" w:hAnsi="宋体"/>
          <w:szCs w:val="21"/>
        </w:rPr>
        <w:t>⑥</w:t>
      </w:r>
      <w:r>
        <w:rPr>
          <w:rFonts w:hAnsi="宋体"/>
          <w:snapToGrid w:val="0"/>
          <w:spacing w:val="-16"/>
          <w:kern w:val="21"/>
          <w:szCs w:val="21"/>
        </w:rPr>
        <w:fldChar w:fldCharType="end"/>
      </w:r>
      <w:r>
        <w:rPr>
          <w:rFonts w:hAnsi="宋体"/>
          <w:snapToGrid w:val="0"/>
          <w:spacing w:val="-1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1 \* GB3 \* MERGEFORMAT </w:instrText>
      </w:r>
      <w:r>
        <w:rPr>
          <w:rFonts w:hAnsi="宋体"/>
          <w:snapToGrid w:val="0"/>
          <w:spacing w:val="-6"/>
          <w:kern w:val="21"/>
          <w:szCs w:val="21"/>
        </w:rPr>
        <w:fldChar w:fldCharType="separate"/>
      </w:r>
      <w:r>
        <w:rPr>
          <w:rFonts w:hint="eastAsia" w:hAnsi="宋体"/>
          <w:szCs w:val="21"/>
        </w:rPr>
        <w:t>①</w:t>
      </w:r>
      <w:r>
        <w:rPr>
          <w:rFonts w:hAnsi="宋体"/>
          <w:snapToGrid w:val="0"/>
          <w:spacing w:val="-6"/>
          <w:kern w:val="21"/>
          <w:szCs w:val="21"/>
        </w:rPr>
        <w:fldChar w:fldCharType="end"/>
      </w:r>
      <w:r>
        <w:rPr>
          <w:rFonts w:hAnsi="宋体"/>
          <w:snapToGrid w:val="0"/>
          <w:spacing w:val="-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3 \* GB3 \* MERGEFORMAT </w:instrText>
      </w:r>
      <w:r>
        <w:rPr>
          <w:rFonts w:hAnsi="宋体"/>
          <w:snapToGrid w:val="0"/>
          <w:spacing w:val="-6"/>
          <w:kern w:val="21"/>
          <w:szCs w:val="21"/>
        </w:rPr>
        <w:fldChar w:fldCharType="separate"/>
      </w:r>
      <w:r>
        <w:rPr>
          <w:rFonts w:hint="eastAsia" w:hAnsi="宋体"/>
          <w:szCs w:val="21"/>
        </w:rPr>
        <w:t>③</w:t>
      </w:r>
      <w:r>
        <w:rPr>
          <w:rFonts w:hAnsi="宋体"/>
          <w:snapToGrid w:val="0"/>
          <w:spacing w:val="-6"/>
          <w:kern w:val="21"/>
          <w:szCs w:val="21"/>
        </w:rPr>
        <w:fldChar w:fldCharType="end"/>
      </w:r>
      <w:r>
        <w:rPr>
          <w:rFonts w:hAnsi="宋体"/>
          <w:snapToGrid w:val="0"/>
          <w:spacing w:val="-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4 \* GB3 \* MERGEFORMAT </w:instrText>
      </w:r>
      <w:r>
        <w:rPr>
          <w:rFonts w:hAnsi="宋体"/>
          <w:snapToGrid w:val="0"/>
          <w:spacing w:val="-6"/>
          <w:kern w:val="21"/>
          <w:szCs w:val="21"/>
        </w:rPr>
        <w:fldChar w:fldCharType="separate"/>
      </w:r>
      <w:r>
        <w:rPr>
          <w:rFonts w:hint="eastAsia" w:hAnsi="宋体"/>
          <w:szCs w:val="21"/>
        </w:rPr>
        <w:t>④</w:t>
      </w:r>
      <w:r>
        <w:rPr>
          <w:rFonts w:hAnsi="宋体"/>
          <w:snapToGrid w:val="0"/>
          <w:spacing w:val="-6"/>
          <w:kern w:val="21"/>
          <w:szCs w:val="21"/>
        </w:rPr>
        <w:fldChar w:fldCharType="end"/>
      </w:r>
      <w:r>
        <w:rPr>
          <w:rFonts w:hAnsi="宋体"/>
          <w:snapToGrid w:val="0"/>
          <w:spacing w:val="-6"/>
          <w:kern w:val="21"/>
          <w:szCs w:val="21"/>
        </w:rPr>
        <w:t>-</w:t>
      </w:r>
      <w:r>
        <w:rPr>
          <w:rFonts w:hAnsi="宋体"/>
          <w:snapToGrid w:val="0"/>
          <w:spacing w:val="-16"/>
          <w:kern w:val="21"/>
          <w:szCs w:val="21"/>
        </w:rPr>
        <w:fldChar w:fldCharType="begin"/>
      </w:r>
      <w:r>
        <w:rPr>
          <w:rFonts w:hAnsi="宋体"/>
          <w:snapToGrid w:val="0"/>
          <w:spacing w:val="-16"/>
          <w:kern w:val="21"/>
          <w:szCs w:val="21"/>
        </w:rPr>
        <w:instrText xml:space="preserve"> = 5 \* GB3 \* MERGEFORMAT </w:instrText>
      </w:r>
      <w:r>
        <w:rPr>
          <w:rFonts w:hAnsi="宋体"/>
          <w:snapToGrid w:val="0"/>
          <w:spacing w:val="-16"/>
          <w:kern w:val="21"/>
          <w:szCs w:val="21"/>
        </w:rPr>
        <w:fldChar w:fldCharType="separate"/>
      </w:r>
      <w:r>
        <w:rPr>
          <w:rFonts w:hint="eastAsia" w:hAnsi="宋体"/>
          <w:szCs w:val="21"/>
        </w:rPr>
        <w:t>⑤</w:t>
      </w:r>
      <w:r>
        <w:rPr>
          <w:rFonts w:hAnsi="宋体"/>
          <w:snapToGrid w:val="0"/>
          <w:spacing w:val="-16"/>
          <w:kern w:val="21"/>
          <w:szCs w:val="21"/>
        </w:rPr>
        <w:fldChar w:fldCharType="end"/>
      </w:r>
      <w:r>
        <w:rPr>
          <w:rFonts w:hAnsi="宋体"/>
          <w:snapToGrid w:val="0"/>
          <w:spacing w:val="-1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7 \* GB3 \* MERGEFORMAT </w:instrText>
      </w:r>
      <w:r>
        <w:rPr>
          <w:rFonts w:hAnsi="宋体"/>
          <w:snapToGrid w:val="0"/>
          <w:spacing w:val="-6"/>
          <w:kern w:val="21"/>
          <w:szCs w:val="21"/>
        </w:rPr>
        <w:fldChar w:fldCharType="separate"/>
      </w:r>
      <w:r>
        <w:rPr>
          <w:rFonts w:hint="eastAsia" w:hAnsi="宋体"/>
          <w:szCs w:val="21"/>
        </w:rPr>
        <w:t>⑦</w:t>
      </w:r>
      <w:r>
        <w:rPr>
          <w:rFonts w:hAnsi="宋体"/>
          <w:snapToGrid w:val="0"/>
          <w:spacing w:val="-6"/>
          <w:kern w:val="21"/>
          <w:szCs w:val="21"/>
        </w:rPr>
        <w:fldChar w:fldCharType="end"/>
      </w:r>
      <w:r>
        <w:rPr>
          <w:rFonts w:hAnsi="宋体"/>
          <w:snapToGrid w:val="0"/>
          <w:spacing w:val="-6"/>
          <w:kern w:val="21"/>
          <w:szCs w:val="21"/>
        </w:rPr>
        <w:t>=</w:t>
      </w:r>
      <w:r>
        <w:rPr>
          <w:rFonts w:hAnsi="宋体"/>
          <w:snapToGrid w:val="0"/>
          <w:spacing w:val="-16"/>
          <w:kern w:val="21"/>
          <w:szCs w:val="21"/>
        </w:rPr>
        <w:fldChar w:fldCharType="begin"/>
      </w:r>
      <w:r>
        <w:rPr>
          <w:rFonts w:hAnsi="宋体"/>
          <w:snapToGrid w:val="0"/>
          <w:spacing w:val="-16"/>
          <w:kern w:val="21"/>
          <w:szCs w:val="21"/>
        </w:rPr>
        <w:instrText xml:space="preserve"> = 6 \* GB3 \* MERGEFORMAT </w:instrText>
      </w:r>
      <w:r>
        <w:rPr>
          <w:rFonts w:hAnsi="宋体"/>
          <w:snapToGrid w:val="0"/>
          <w:spacing w:val="-16"/>
          <w:kern w:val="21"/>
          <w:szCs w:val="21"/>
        </w:rPr>
        <w:fldChar w:fldCharType="separate"/>
      </w:r>
      <w:r>
        <w:rPr>
          <w:rFonts w:hint="eastAsia" w:hAnsi="宋体"/>
          <w:szCs w:val="21"/>
        </w:rPr>
        <w:t>⑥</w:t>
      </w:r>
      <w:r>
        <w:rPr>
          <w:rFonts w:hAnsi="宋体"/>
          <w:snapToGrid w:val="0"/>
          <w:spacing w:val="-16"/>
          <w:kern w:val="21"/>
          <w:szCs w:val="21"/>
        </w:rPr>
        <w:fldChar w:fldCharType="end"/>
      </w:r>
      <w:r>
        <w:rPr>
          <w:rFonts w:hAnsi="宋体"/>
          <w:snapToGrid w:val="0"/>
          <w:spacing w:val="-1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1 \* GB3 \* MERGEFORMAT </w:instrText>
      </w:r>
      <w:r>
        <w:rPr>
          <w:rFonts w:hAnsi="宋体"/>
          <w:snapToGrid w:val="0"/>
          <w:spacing w:val="-6"/>
          <w:kern w:val="21"/>
          <w:szCs w:val="21"/>
        </w:rPr>
        <w:fldChar w:fldCharType="separate"/>
      </w:r>
      <w:r>
        <w:rPr>
          <w:rFonts w:hint="eastAsia" w:hAnsi="宋体"/>
          <w:szCs w:val="21"/>
        </w:rPr>
        <w:t>①</w:t>
      </w:r>
      <w:r>
        <w:rPr>
          <w:rFonts w:hAnsi="宋体"/>
          <w:snapToGrid w:val="0"/>
          <w:spacing w:val="-6"/>
          <w:kern w:val="21"/>
          <w:szCs w:val="21"/>
        </w:rPr>
        <w:fldChar w:fldCharType="end"/>
      </w:r>
    </w:p>
    <w:p w14:paraId="7C80F968">
      <w:pPr>
        <w:spacing w:line="360" w:lineRule="auto"/>
        <w:ind w:firstLine="454"/>
        <w:jc w:val="left"/>
        <w:rPr>
          <w:rFonts w:hint="eastAsia" w:ascii="宋体" w:cs="宋体"/>
          <w:b/>
          <w:bCs/>
          <w:sz w:val="24"/>
        </w:rPr>
      </w:pPr>
    </w:p>
    <w:p w14:paraId="73A02EFD">
      <w:pPr>
        <w:spacing w:line="360" w:lineRule="auto"/>
        <w:ind w:firstLine="454"/>
        <w:jc w:val="left"/>
        <w:rPr>
          <w:rFonts w:hint="eastAsia" w:ascii="宋体" w:cs="宋体"/>
          <w:sz w:val="24"/>
        </w:rPr>
      </w:pPr>
      <w:r>
        <w:rPr>
          <w:rFonts w:hint="eastAsia" w:ascii="宋体" w:cs="宋体"/>
          <w:b/>
          <w:bCs/>
          <w:sz w:val="24"/>
        </w:rPr>
        <w:t>附图：</w:t>
      </w:r>
    </w:p>
    <w:p w14:paraId="44016203">
      <w:pPr>
        <w:spacing w:line="360" w:lineRule="auto"/>
        <w:ind w:firstLine="454"/>
        <w:jc w:val="left"/>
        <w:rPr>
          <w:rFonts w:hint="eastAsia" w:ascii="宋体" w:cs="宋体"/>
          <w:sz w:val="24"/>
        </w:rPr>
      </w:pPr>
      <w:r>
        <w:rPr>
          <w:rFonts w:hint="eastAsia" w:ascii="宋体" w:cs="宋体"/>
          <w:sz w:val="24"/>
        </w:rPr>
        <w:t>附图1  项目地理位置图</w:t>
      </w:r>
    </w:p>
    <w:p w14:paraId="21743D14">
      <w:pPr>
        <w:spacing w:line="360" w:lineRule="auto"/>
        <w:ind w:firstLine="454"/>
        <w:jc w:val="left"/>
        <w:rPr>
          <w:rFonts w:hint="eastAsia" w:ascii="宋体" w:cs="宋体"/>
          <w:sz w:val="24"/>
        </w:rPr>
      </w:pPr>
      <w:r>
        <w:rPr>
          <w:rFonts w:hint="eastAsia" w:ascii="宋体" w:cs="宋体"/>
          <w:sz w:val="24"/>
        </w:rPr>
        <w:t>附图2  项目平面布置图</w:t>
      </w:r>
    </w:p>
    <w:p w14:paraId="0BD4FA25">
      <w:pPr>
        <w:spacing w:line="360" w:lineRule="auto"/>
        <w:ind w:firstLine="454"/>
        <w:jc w:val="left"/>
        <w:rPr>
          <w:rFonts w:hint="eastAsia" w:ascii="宋体" w:cs="宋体"/>
          <w:sz w:val="24"/>
        </w:rPr>
      </w:pPr>
      <w:r>
        <w:rPr>
          <w:rFonts w:hint="eastAsia" w:ascii="宋体" w:cs="宋体"/>
          <w:sz w:val="24"/>
        </w:rPr>
        <w:t>附图3  项目外环境关系图</w:t>
      </w:r>
    </w:p>
    <w:p w14:paraId="41303324">
      <w:pPr>
        <w:spacing w:line="360" w:lineRule="auto"/>
        <w:ind w:firstLine="454"/>
        <w:jc w:val="left"/>
        <w:rPr>
          <w:rFonts w:hint="eastAsia" w:ascii="宋体" w:cs="宋体"/>
          <w:sz w:val="24"/>
        </w:rPr>
      </w:pPr>
      <w:r>
        <w:rPr>
          <w:rFonts w:hint="eastAsia" w:ascii="宋体" w:cs="宋体"/>
          <w:sz w:val="24"/>
        </w:rPr>
        <w:t>附图4  防渗区域布置图</w:t>
      </w:r>
    </w:p>
    <w:p w14:paraId="60D90980">
      <w:pPr>
        <w:spacing w:line="360" w:lineRule="auto"/>
        <w:ind w:firstLine="454"/>
        <w:jc w:val="left"/>
        <w:rPr>
          <w:rFonts w:hint="eastAsia" w:ascii="宋体" w:cs="宋体"/>
          <w:sz w:val="24"/>
        </w:rPr>
      </w:pPr>
      <w:r>
        <w:rPr>
          <w:rFonts w:hint="eastAsia" w:ascii="宋体" w:cs="宋体"/>
          <w:sz w:val="24"/>
        </w:rPr>
        <w:t>附图5  雨污管网图</w:t>
      </w:r>
    </w:p>
    <w:p w14:paraId="6E492719">
      <w:pPr>
        <w:spacing w:line="360" w:lineRule="auto"/>
        <w:ind w:firstLine="454"/>
        <w:jc w:val="left"/>
        <w:rPr>
          <w:rFonts w:hint="eastAsia" w:ascii="宋体" w:cs="宋体"/>
          <w:sz w:val="24"/>
        </w:rPr>
      </w:pPr>
      <w:r>
        <w:rPr>
          <w:rFonts w:hint="eastAsia" w:ascii="宋体" w:cs="宋体"/>
          <w:sz w:val="24"/>
        </w:rPr>
        <w:t>附图6-1环境空气、地下水监测点位图</w:t>
      </w:r>
    </w:p>
    <w:p w14:paraId="5AE91A07">
      <w:pPr>
        <w:spacing w:line="360" w:lineRule="auto"/>
        <w:ind w:firstLine="454"/>
        <w:jc w:val="left"/>
        <w:rPr>
          <w:rFonts w:hint="eastAsia" w:ascii="宋体" w:cs="宋体"/>
          <w:sz w:val="24"/>
        </w:rPr>
      </w:pPr>
      <w:r>
        <w:rPr>
          <w:rFonts w:hint="eastAsia" w:ascii="宋体" w:cs="宋体"/>
          <w:sz w:val="24"/>
        </w:rPr>
        <w:t>附图6-2土壤监测点位图</w:t>
      </w:r>
    </w:p>
    <w:p w14:paraId="4DC25B48">
      <w:pPr>
        <w:spacing w:line="360" w:lineRule="auto"/>
        <w:ind w:firstLine="454"/>
        <w:jc w:val="left"/>
        <w:rPr>
          <w:rFonts w:hint="eastAsia" w:ascii="宋体" w:cs="宋体"/>
          <w:sz w:val="24"/>
        </w:rPr>
      </w:pPr>
      <w:r>
        <w:rPr>
          <w:rFonts w:hint="eastAsia" w:ascii="宋体" w:cs="宋体"/>
          <w:sz w:val="24"/>
        </w:rPr>
        <w:t>附图7  涪陵区环境管控单元图</w:t>
      </w:r>
    </w:p>
    <w:p w14:paraId="02672976">
      <w:pPr>
        <w:spacing w:line="360" w:lineRule="auto"/>
        <w:ind w:firstLine="454"/>
        <w:jc w:val="left"/>
        <w:rPr>
          <w:rFonts w:hint="eastAsia" w:ascii="宋体" w:cs="宋体"/>
          <w:sz w:val="24"/>
        </w:rPr>
      </w:pPr>
      <w:r>
        <w:rPr>
          <w:rFonts w:hint="eastAsia" w:ascii="宋体" w:cs="宋体"/>
          <w:sz w:val="24"/>
        </w:rPr>
        <w:t>附图8  项目区域地表水域图</w:t>
      </w:r>
    </w:p>
    <w:p w14:paraId="2A8B51C1">
      <w:pPr>
        <w:spacing w:line="360" w:lineRule="auto"/>
        <w:ind w:firstLine="454"/>
        <w:jc w:val="left"/>
        <w:rPr>
          <w:rFonts w:hint="eastAsia" w:ascii="宋体" w:cs="宋体"/>
          <w:sz w:val="24"/>
        </w:rPr>
      </w:pPr>
      <w:r>
        <w:rPr>
          <w:rFonts w:hint="eastAsia" w:ascii="宋体" w:cs="宋体"/>
          <w:sz w:val="24"/>
        </w:rPr>
        <w:t>附图9  涪陵水文地质图</w:t>
      </w:r>
    </w:p>
    <w:p w14:paraId="0A2E3F40">
      <w:pPr>
        <w:spacing w:line="360" w:lineRule="auto"/>
        <w:ind w:firstLine="454"/>
        <w:jc w:val="left"/>
        <w:rPr>
          <w:rFonts w:hint="eastAsia" w:ascii="宋体" w:cs="宋体"/>
          <w:sz w:val="24"/>
        </w:rPr>
      </w:pPr>
      <w:r>
        <w:rPr>
          <w:rFonts w:hint="eastAsia" w:ascii="宋体" w:cs="宋体"/>
          <w:sz w:val="24"/>
        </w:rPr>
        <w:t>附图10 涪陵区城乡总体规划图</w:t>
      </w:r>
    </w:p>
    <w:p w14:paraId="198B9323">
      <w:pPr>
        <w:spacing w:line="360" w:lineRule="auto"/>
        <w:ind w:firstLine="454"/>
        <w:jc w:val="left"/>
        <w:rPr>
          <w:rFonts w:hint="eastAsia" w:ascii="宋体" w:cs="宋体"/>
          <w:sz w:val="24"/>
        </w:rPr>
      </w:pPr>
      <w:r>
        <w:rPr>
          <w:rFonts w:hint="eastAsia" w:ascii="宋体" w:cs="宋体"/>
          <w:sz w:val="24"/>
        </w:rPr>
        <w:t>附图11 涪陵区生态保护红线图</w:t>
      </w:r>
    </w:p>
    <w:p w14:paraId="2A4BFAD2">
      <w:pPr>
        <w:spacing w:line="360" w:lineRule="auto"/>
        <w:ind w:firstLine="454"/>
        <w:jc w:val="left"/>
        <w:rPr>
          <w:rFonts w:hint="eastAsia" w:ascii="宋体" w:cs="宋体"/>
          <w:sz w:val="24"/>
        </w:rPr>
      </w:pPr>
      <w:r>
        <w:rPr>
          <w:rFonts w:hint="eastAsia" w:ascii="宋体" w:cs="宋体"/>
          <w:sz w:val="24"/>
        </w:rPr>
        <w:t>附图12 现场照片</w:t>
      </w:r>
    </w:p>
    <w:p w14:paraId="21106FAA">
      <w:pPr>
        <w:spacing w:line="360" w:lineRule="auto"/>
        <w:ind w:firstLine="454"/>
        <w:jc w:val="left"/>
        <w:rPr>
          <w:rFonts w:hint="eastAsia" w:ascii="宋体" w:cs="宋体"/>
          <w:b/>
          <w:bCs/>
          <w:sz w:val="24"/>
        </w:rPr>
      </w:pPr>
    </w:p>
    <w:p w14:paraId="5F164C9E">
      <w:pPr>
        <w:spacing w:line="360" w:lineRule="auto"/>
        <w:ind w:firstLine="454"/>
        <w:jc w:val="left"/>
        <w:rPr>
          <w:rFonts w:hint="eastAsia"/>
        </w:rPr>
      </w:pPr>
      <w:r>
        <w:rPr>
          <w:rFonts w:hint="eastAsia" w:ascii="宋体" w:cs="宋体"/>
          <w:b/>
          <w:bCs/>
          <w:sz w:val="24"/>
        </w:rPr>
        <w:t>附件：</w:t>
      </w:r>
    </w:p>
    <w:p w14:paraId="7FB23B37">
      <w:pPr>
        <w:spacing w:line="360" w:lineRule="auto"/>
        <w:ind w:firstLine="454"/>
        <w:jc w:val="left"/>
        <w:rPr>
          <w:rFonts w:ascii="宋体" w:cs="宋体"/>
          <w:sz w:val="24"/>
        </w:rPr>
      </w:pPr>
      <w:r>
        <w:rPr>
          <w:rFonts w:ascii="宋体" w:cs="宋体"/>
          <w:sz w:val="24"/>
        </w:rPr>
        <w:t xml:space="preserve">附件1 </w:t>
      </w:r>
      <w:r>
        <w:rPr>
          <w:rFonts w:hint="eastAsia" w:ascii="宋体" w:cs="宋体"/>
          <w:sz w:val="24"/>
        </w:rPr>
        <w:t xml:space="preserve"> </w:t>
      </w:r>
      <w:r>
        <w:rPr>
          <w:rFonts w:ascii="宋体" w:cs="宋体"/>
          <w:sz w:val="24"/>
        </w:rPr>
        <w:t>确认函</w:t>
      </w:r>
    </w:p>
    <w:p w14:paraId="7458AF99">
      <w:pPr>
        <w:spacing w:line="360" w:lineRule="auto"/>
        <w:ind w:firstLine="454"/>
        <w:jc w:val="left"/>
        <w:rPr>
          <w:rFonts w:hint="eastAsia" w:ascii="宋体" w:cs="宋体"/>
          <w:sz w:val="24"/>
        </w:rPr>
      </w:pPr>
      <w:r>
        <w:rPr>
          <w:rFonts w:hint="eastAsia" w:ascii="宋体" w:cs="宋体"/>
          <w:sz w:val="24"/>
        </w:rPr>
        <w:t>附件2  备案证</w:t>
      </w:r>
    </w:p>
    <w:p w14:paraId="7E27A013">
      <w:pPr>
        <w:spacing w:line="360" w:lineRule="auto"/>
        <w:ind w:firstLine="454"/>
        <w:jc w:val="left"/>
        <w:rPr>
          <w:rFonts w:hint="eastAsia" w:ascii="宋体" w:cs="宋体"/>
          <w:sz w:val="24"/>
        </w:rPr>
      </w:pPr>
      <w:r>
        <w:rPr>
          <w:rFonts w:hint="eastAsia" w:ascii="宋体" w:cs="宋体"/>
          <w:sz w:val="24"/>
        </w:rPr>
        <w:t>附件3  营业执照</w:t>
      </w:r>
    </w:p>
    <w:p w14:paraId="50E96A28">
      <w:pPr>
        <w:spacing w:line="360" w:lineRule="auto"/>
        <w:ind w:firstLine="454"/>
        <w:jc w:val="left"/>
        <w:rPr>
          <w:rFonts w:hint="eastAsia" w:ascii="宋体" w:cs="宋体"/>
          <w:sz w:val="24"/>
        </w:rPr>
      </w:pPr>
      <w:r>
        <w:rPr>
          <w:rFonts w:hint="eastAsia" w:ascii="宋体" w:cs="宋体"/>
          <w:sz w:val="24"/>
        </w:rPr>
        <w:t>附件4  建设用地规划许可证</w:t>
      </w:r>
    </w:p>
    <w:p w14:paraId="6CCB3BF7">
      <w:pPr>
        <w:spacing w:line="360" w:lineRule="auto"/>
        <w:ind w:firstLine="454"/>
        <w:jc w:val="left"/>
        <w:rPr>
          <w:rFonts w:hint="eastAsia" w:ascii="宋体" w:cs="宋体"/>
          <w:sz w:val="24"/>
        </w:rPr>
      </w:pPr>
      <w:r>
        <w:rPr>
          <w:rFonts w:hint="eastAsia" w:ascii="宋体" w:cs="宋体"/>
          <w:sz w:val="24"/>
        </w:rPr>
        <w:t>附件5  安评批复</w:t>
      </w:r>
    </w:p>
    <w:p w14:paraId="71CC0E06">
      <w:pPr>
        <w:spacing w:line="360" w:lineRule="auto"/>
        <w:ind w:firstLine="454"/>
        <w:jc w:val="left"/>
        <w:rPr>
          <w:rFonts w:hint="eastAsia" w:ascii="宋体" w:cs="宋体"/>
          <w:sz w:val="24"/>
        </w:rPr>
      </w:pPr>
      <w:r>
        <w:rPr>
          <w:rFonts w:hint="eastAsia" w:ascii="宋体" w:cs="宋体"/>
          <w:sz w:val="24"/>
        </w:rPr>
        <w:t>附件6-1监测报告-涪陵李渡组团规划环评-环境空气监测</w:t>
      </w:r>
    </w:p>
    <w:p w14:paraId="508E5544">
      <w:pPr>
        <w:spacing w:line="360" w:lineRule="auto"/>
        <w:ind w:firstLine="454"/>
        <w:jc w:val="left"/>
        <w:rPr>
          <w:rFonts w:hint="eastAsia" w:ascii="宋体" w:cs="宋体"/>
          <w:sz w:val="24"/>
        </w:rPr>
      </w:pPr>
      <w:r>
        <w:rPr>
          <w:rFonts w:hint="eastAsia" w:ascii="宋体" w:cs="宋体"/>
          <w:sz w:val="24"/>
        </w:rPr>
        <w:t>附件6-2监测报告-涪陵李渡组团规划环评-地下水监测</w:t>
      </w:r>
    </w:p>
    <w:p w14:paraId="0CF0A35D">
      <w:pPr>
        <w:spacing w:line="360" w:lineRule="auto"/>
        <w:ind w:firstLine="454"/>
        <w:jc w:val="left"/>
        <w:rPr>
          <w:rFonts w:hint="eastAsia" w:ascii="宋体" w:cs="宋体"/>
          <w:sz w:val="24"/>
        </w:rPr>
      </w:pPr>
      <w:r>
        <w:rPr>
          <w:rFonts w:hint="eastAsia" w:ascii="宋体" w:cs="宋体"/>
          <w:sz w:val="24"/>
        </w:rPr>
        <w:t>附件6-3监测报告</w:t>
      </w:r>
    </w:p>
    <w:p w14:paraId="394ED25A">
      <w:pPr>
        <w:spacing w:line="360" w:lineRule="auto"/>
        <w:ind w:firstLine="454"/>
        <w:jc w:val="left"/>
        <w:rPr>
          <w:rFonts w:hint="eastAsia" w:ascii="宋体" w:cs="宋体"/>
          <w:sz w:val="24"/>
        </w:rPr>
      </w:pPr>
      <w:r>
        <w:rPr>
          <w:rFonts w:hint="eastAsia" w:ascii="宋体" w:cs="宋体"/>
          <w:sz w:val="24"/>
        </w:rPr>
        <w:t>附件7  三线一单检测分析表</w:t>
      </w:r>
    </w:p>
    <w:p w14:paraId="17C2246E">
      <w:pPr>
        <w:rPr>
          <w:rFonts w:hint="eastAsia" w:cs="宋体"/>
          <w:sz w:val="24"/>
        </w:rPr>
      </w:pPr>
    </w:p>
    <w:p w14:paraId="55A8889F">
      <w:pPr>
        <w:pStyle w:val="2"/>
        <w:rPr>
          <w:rFonts w:hint="eastAsia" w:cs="宋体"/>
          <w:kern w:val="2"/>
          <w:sz w:val="24"/>
          <w:szCs w:val="24"/>
        </w:rPr>
      </w:pPr>
    </w:p>
    <w:p w14:paraId="09086448">
      <w:pPr>
        <w:pStyle w:val="2"/>
        <w:rPr>
          <w:rFonts w:hint="eastAsia" w:cs="宋体"/>
          <w:kern w:val="2"/>
          <w:sz w:val="24"/>
          <w:szCs w:val="24"/>
        </w:rPr>
      </w:pPr>
    </w:p>
    <w:sectPr>
      <w:pgSz w:w="11906" w:h="16838"/>
      <w:pgMar w:top="1701" w:right="1531" w:bottom="1701" w:left="1531"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9E0731E-8F77-4B46-A50F-BF255A57F117}"/>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embedRegular r:id="rId2" w:fontKey="{EE54515B-B971-48F0-9736-F2EE2787C056}"/>
  </w:font>
  <w:font w:name="Calibri">
    <w:panose1 w:val="020F0502020204030204"/>
    <w:charset w:val="00"/>
    <w:family w:val="swiss"/>
    <w:pitch w:val="default"/>
    <w:sig w:usb0="E00002FF" w:usb1="4000ACFF" w:usb2="00000001" w:usb3="00000000" w:csb0="2000019F" w:csb1="00000000"/>
  </w:font>
  <w:font w:name="Plotter">
    <w:altName w:val="Times New Roman"/>
    <w:panose1 w:val="00000000000000000000"/>
    <w:charset w:val="00"/>
    <w:family w:val="roman"/>
    <w:pitch w:val="default"/>
    <w:sig w:usb0="00000000" w:usb1="00000000" w:usb2="00000000" w:usb3="00000000" w:csb0="00040001" w:csb1="00000000"/>
  </w:font>
  <w:font w:name="Cambria">
    <w:panose1 w:val="02040503050406030204"/>
    <w:charset w:val="00"/>
    <w:family w:val="roman"/>
    <w:pitch w:val="default"/>
    <w:sig w:usb0="E00002FF" w:usb1="400004FF" w:usb2="00000000" w:usb3="00000000" w:csb0="2000019F" w:csb1="00000000"/>
    <w:embedRegular r:id="rId3" w:fontKey="{6625F819-20EB-454A-BF63-0B64361B976B}"/>
  </w:font>
  <w:font w:name="仿宋">
    <w:panose1 w:val="02010609060101010101"/>
    <w:charset w:val="86"/>
    <w:family w:val="modern"/>
    <w:pitch w:val="default"/>
    <w:sig w:usb0="800002BF" w:usb1="38CF7CFA" w:usb2="00000016" w:usb3="00000000" w:csb0="00040001" w:csb1="00000000"/>
    <w:embedRegular r:id="rId4" w:fontKey="{BB2C4734-4797-4D31-AC9E-491D346D2852}"/>
  </w:font>
  <w:font w:name="仿宋_GB2312">
    <w:panose1 w:val="02010609030101010101"/>
    <w:charset w:val="86"/>
    <w:family w:val="modern"/>
    <w:pitch w:val="default"/>
    <w:sig w:usb0="00000001" w:usb1="080E0000" w:usb2="00000000" w:usb3="00000000" w:csb0="00040000" w:csb1="00000000"/>
    <w:embedRegular r:id="rId5" w:fontKey="{8ED6F41C-90C9-49D5-B564-A519F8002C6A}"/>
  </w:font>
  <w:font w:name="方正小标宋_GBK">
    <w:panose1 w:val="02000000000000000000"/>
    <w:charset w:val="86"/>
    <w:family w:val="script"/>
    <w:pitch w:val="default"/>
    <w:sig w:usb0="A00002BF" w:usb1="38CF7CFA" w:usb2="00082016" w:usb3="00000000" w:csb0="00040001" w:csb1="00000000"/>
    <w:embedRegular r:id="rId6" w:fontKey="{9DCBF7E3-C4D8-4470-832E-DBA74E79A622}"/>
  </w:font>
  <w:font w:name="楷体_GB2312">
    <w:altName w:val="楷体"/>
    <w:panose1 w:val="00000000000000000000"/>
    <w:charset w:val="86"/>
    <w:family w:val="modern"/>
    <w:pitch w:val="default"/>
    <w:sig w:usb0="00000000" w:usb1="00000000" w:usb2="00000010" w:usb3="00000000" w:csb0="00040000" w:csb1="00000000"/>
    <w:embedRegular r:id="rId7" w:fontKey="{E82C42AB-591B-4D6A-BA17-20DA563D14C5}"/>
  </w:font>
  <w:font w:name="楷体">
    <w:panose1 w:val="02010609060101010101"/>
    <w:charset w:val="86"/>
    <w:family w:val="auto"/>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10" w:usb3="00000000" w:csb0="0004009F" w:csb1="00000000"/>
    <w:embedRegular r:id="rId8" w:fontKey="{05F5E319-34EC-44F7-843C-DDFBA7B1F231}"/>
  </w:font>
  <w:font w:name="Wingdings 2">
    <w:altName w:val="Wingdings"/>
    <w:panose1 w:val="05020102010507070707"/>
    <w:charset w:val="02"/>
    <w:family w:val="roman"/>
    <w:pitch w:val="default"/>
    <w:sig w:usb0="00000000" w:usb1="00000000" w:usb2="00000000" w:usb3="00000000" w:csb0="80000000" w:csb1="00000000"/>
    <w:embedRegular r:id="rId9" w:fontKey="{3CB1CEC0-523A-434E-B326-D537E552C03F}"/>
  </w:font>
  <w:font w:name="Dutch801 Rm BT">
    <w:altName w:val="Times New Roman"/>
    <w:panose1 w:val="00000000000000000000"/>
    <w:charset w:val="00"/>
    <w:family w:val="roman"/>
    <w:pitch w:val="default"/>
    <w:sig w:usb0="00000000" w:usb1="00000000" w:usb2="00000000" w:usb3="00000000" w:csb0="00000000" w:csb1="00000000"/>
    <w:embedRegular r:id="rId10" w:fontKey="{DE11934E-0AAE-4D4F-B394-E2461BE94661}"/>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AF5A29">
    <w:pPr>
      <w:pStyle w:val="13"/>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E12C24">
    <w:pPr>
      <w:pStyle w:val="13"/>
      <w:framePr w:wrap="around" w:vAnchor="text" w:hAnchor="margin" w:xAlign="center" w:y="1"/>
      <w:rPr>
        <w:rStyle w:val="26"/>
      </w:rPr>
    </w:pPr>
    <w:r>
      <w:fldChar w:fldCharType="begin"/>
    </w:r>
    <w:r>
      <w:rPr>
        <w:rStyle w:val="26"/>
      </w:rPr>
      <w:instrText xml:space="preserve">PAGE  </w:instrText>
    </w:r>
    <w:r>
      <w:fldChar w:fldCharType="end"/>
    </w:r>
  </w:p>
  <w:p w14:paraId="5851CBDB">
    <w:pPr>
      <w:pStyle w:val="13"/>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5DE199">
    <w:pPr>
      <w:pStyle w:val="13"/>
      <w:ind w:right="360" w:firstLine="360"/>
      <w:jc w:val="center"/>
    </w:pPr>
    <w:r>
      <w:pict>
        <v:shape id="_x0000_s2049" o:spid="_x0000_s2049" o:spt="202" type="#_x0000_t202" style="position:absolute;left:0pt;margin-top:0pt;height:144pt;width:144pt;mso-position-horizontal:inside;mso-position-horizontal-relative:margin;mso-wrap-style:none;z-index:251660288;mso-width-relative:page;mso-height-relative:page;" filled="f" stroked="f" coordsize="21600,21600">
          <v:path/>
          <v:fill on="f" focussize="0,0"/>
          <v:stroke on="f" joinstyle="miter"/>
          <v:imagedata o:title=""/>
          <o:lock v:ext="edit"/>
          <v:textbox inset="0mm,0mm,0mm,0mm" style="mso-fit-shape-to-text:t;">
            <w:txbxContent>
              <w:p w14:paraId="1F1E77A8">
                <w:pPr>
                  <w:pStyle w:val="13"/>
                  <w:rPr>
                    <w:rStyle w:val="26"/>
                    <w:rFonts w:ascii="宋体" w:hAnsi="宋体"/>
                    <w:sz w:val="28"/>
                    <w:szCs w:val="28"/>
                  </w:rPr>
                </w:pPr>
                <w:r>
                  <w:rPr>
                    <w:rStyle w:val="26"/>
                    <w:rFonts w:hint="eastAsia" w:ascii="宋体" w:hAnsi="宋体"/>
                    <w:sz w:val="28"/>
                    <w:szCs w:val="28"/>
                  </w:rPr>
                  <w:t>—</w:t>
                </w:r>
                <w:r>
                  <w:rPr>
                    <w:rStyle w:val="26"/>
                    <w:rFonts w:hint="eastAsia" w:ascii="宋体" w:hAnsi="宋体"/>
                    <w:sz w:val="20"/>
                  </w:rPr>
                  <w:t xml:space="preserve">  </w:t>
                </w:r>
                <w:r>
                  <w:rPr>
                    <w:rFonts w:ascii="宋体" w:hAnsi="宋体"/>
                    <w:sz w:val="26"/>
                    <w:szCs w:val="26"/>
                  </w:rPr>
                  <w:fldChar w:fldCharType="begin"/>
                </w:r>
                <w:r>
                  <w:rPr>
                    <w:rStyle w:val="26"/>
                    <w:rFonts w:ascii="宋体" w:hAnsi="宋体"/>
                    <w:sz w:val="26"/>
                    <w:szCs w:val="26"/>
                  </w:rPr>
                  <w:instrText xml:space="preserve">PAGE  </w:instrText>
                </w:r>
                <w:r>
                  <w:rPr>
                    <w:rFonts w:ascii="宋体" w:hAnsi="宋体"/>
                    <w:sz w:val="26"/>
                    <w:szCs w:val="26"/>
                  </w:rPr>
                  <w:fldChar w:fldCharType="separate"/>
                </w:r>
                <w:r>
                  <w:rPr>
                    <w:rStyle w:val="26"/>
                    <w:rFonts w:ascii="宋体" w:hAnsi="宋体"/>
                    <w:sz w:val="26"/>
                    <w:szCs w:val="26"/>
                  </w:rPr>
                  <w:t>1</w:t>
                </w:r>
                <w:r>
                  <w:rPr>
                    <w:rFonts w:ascii="宋体" w:hAnsi="宋体"/>
                    <w:sz w:val="26"/>
                    <w:szCs w:val="26"/>
                  </w:rPr>
                  <w:fldChar w:fldCharType="end"/>
                </w:r>
                <w:r>
                  <w:rPr>
                    <w:rStyle w:val="26"/>
                    <w:rFonts w:hint="eastAsia" w:ascii="宋体" w:hAnsi="宋体"/>
                    <w:sz w:val="20"/>
                  </w:rPr>
                  <w:t xml:space="preserve">  </w:t>
                </w:r>
                <w:r>
                  <w:rPr>
                    <w:rStyle w:val="26"/>
                    <w:rFonts w:hint="eastAsia" w:ascii="宋体" w:hAnsi="宋体"/>
                    <w:sz w:val="28"/>
                    <w:szCs w:val="28"/>
                  </w:rPr>
                  <w:t>—</w:t>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D51BF0">
    <w:pPr>
      <w:pStyle w:val="13"/>
      <w:ind w:right="360" w:firstLine="360"/>
      <w:jc w:val="center"/>
    </w:pPr>
    <w:r>
      <w:pict>
        <v:shape id="_x0000_s2050" o:spid="_x0000_s2050" o:spt="202" type="#_x0000_t202" style="position:absolute;left:0pt;margin-top:0pt;height:144pt;width:144pt;mso-position-horizontal:inside;mso-position-horizontal-relative:margin;mso-wrap-style:none;z-index:251661312;mso-width-relative:page;mso-height-relative:page;" filled="f" stroked="f" coordsize="21600,21600">
          <v:path/>
          <v:fill on="f" focussize="0,0"/>
          <v:stroke on="f" joinstyle="miter"/>
          <v:imagedata o:title=""/>
          <o:lock v:ext="edit"/>
          <v:textbox inset="0mm,0mm,0mm,0mm" style="mso-fit-shape-to-text:t;">
            <w:txbxContent>
              <w:p w14:paraId="68E15529">
                <w:pPr>
                  <w:pStyle w:val="13"/>
                  <w:rPr>
                    <w:rStyle w:val="26"/>
                    <w:rFonts w:ascii="宋体" w:hAnsi="宋体"/>
                    <w:sz w:val="28"/>
                    <w:szCs w:val="28"/>
                  </w:rPr>
                </w:pPr>
                <w:r>
                  <w:rPr>
                    <w:rStyle w:val="26"/>
                    <w:rFonts w:hint="eastAsia" w:ascii="宋体" w:hAnsi="宋体"/>
                    <w:sz w:val="28"/>
                    <w:szCs w:val="28"/>
                  </w:rPr>
                  <w:t>—</w:t>
                </w:r>
                <w:r>
                  <w:rPr>
                    <w:rStyle w:val="26"/>
                    <w:rFonts w:hint="eastAsia" w:ascii="宋体" w:hAnsi="宋体"/>
                    <w:sz w:val="20"/>
                  </w:rPr>
                  <w:t xml:space="preserve">  </w:t>
                </w:r>
                <w:r>
                  <w:rPr>
                    <w:rFonts w:ascii="宋体" w:hAnsi="宋体"/>
                    <w:sz w:val="26"/>
                    <w:szCs w:val="26"/>
                  </w:rPr>
                  <w:fldChar w:fldCharType="begin"/>
                </w:r>
                <w:r>
                  <w:rPr>
                    <w:rStyle w:val="26"/>
                    <w:rFonts w:ascii="宋体" w:hAnsi="宋体"/>
                    <w:sz w:val="26"/>
                    <w:szCs w:val="26"/>
                  </w:rPr>
                  <w:instrText xml:space="preserve">PAGE  </w:instrText>
                </w:r>
                <w:r>
                  <w:rPr>
                    <w:rFonts w:ascii="宋体" w:hAnsi="宋体"/>
                    <w:sz w:val="26"/>
                    <w:szCs w:val="26"/>
                  </w:rPr>
                  <w:fldChar w:fldCharType="separate"/>
                </w:r>
                <w:r>
                  <w:rPr>
                    <w:rStyle w:val="26"/>
                    <w:rFonts w:ascii="宋体" w:hAnsi="宋体"/>
                    <w:sz w:val="26"/>
                    <w:szCs w:val="26"/>
                  </w:rPr>
                  <w:t>74</w:t>
                </w:r>
                <w:r>
                  <w:rPr>
                    <w:rFonts w:ascii="宋体" w:hAnsi="宋体"/>
                    <w:sz w:val="26"/>
                    <w:szCs w:val="26"/>
                  </w:rPr>
                  <w:fldChar w:fldCharType="end"/>
                </w:r>
                <w:r>
                  <w:rPr>
                    <w:rStyle w:val="26"/>
                    <w:rFonts w:hint="eastAsia" w:ascii="宋体" w:hAnsi="宋体"/>
                    <w:sz w:val="20"/>
                  </w:rPr>
                  <w:t xml:space="preserve">  </w:t>
                </w:r>
                <w:r>
                  <w:rPr>
                    <w:rStyle w:val="26"/>
                    <w:rFonts w:hint="eastAsia" w:ascii="宋体" w:hAnsi="宋体"/>
                    <w:sz w:val="28"/>
                    <w:szCs w:val="28"/>
                  </w:rPr>
                  <w:t>—</w:t>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76C38C"/>
    <w:multiLevelType w:val="singleLevel"/>
    <w:tmpl w:val="8E76C38C"/>
    <w:lvl w:ilvl="0" w:tentative="0">
      <w:start w:val="1"/>
      <w:numFmt w:val="decimal"/>
      <w:suff w:val="nothing"/>
      <w:lvlText w:val="（%1）"/>
      <w:lvlJc w:val="left"/>
    </w:lvl>
  </w:abstractNum>
  <w:abstractNum w:abstractNumId="1">
    <w:nsid w:val="AC7C2D69"/>
    <w:multiLevelType w:val="singleLevel"/>
    <w:tmpl w:val="AC7C2D69"/>
    <w:lvl w:ilvl="0" w:tentative="0">
      <w:start w:val="1"/>
      <w:numFmt w:val="decimal"/>
      <w:suff w:val="nothing"/>
      <w:lvlText w:val="%1）"/>
      <w:lvlJc w:val="left"/>
    </w:lvl>
  </w:abstractNum>
  <w:abstractNum w:abstractNumId="2">
    <w:nsid w:val="BB98AFF9"/>
    <w:multiLevelType w:val="singleLevel"/>
    <w:tmpl w:val="BB98AFF9"/>
    <w:lvl w:ilvl="0" w:tentative="0">
      <w:start w:val="2"/>
      <w:numFmt w:val="decimal"/>
      <w:suff w:val="nothing"/>
      <w:lvlText w:val="（%1）"/>
      <w:lvlJc w:val="left"/>
    </w:lvl>
  </w:abstractNum>
  <w:abstractNum w:abstractNumId="3">
    <w:nsid w:val="CA3ADD5E"/>
    <w:multiLevelType w:val="singleLevel"/>
    <w:tmpl w:val="CA3ADD5E"/>
    <w:lvl w:ilvl="0" w:tentative="0">
      <w:start w:val="2"/>
      <w:numFmt w:val="decimal"/>
      <w:suff w:val="nothing"/>
      <w:lvlText w:val="（%1）"/>
      <w:lvlJc w:val="left"/>
    </w:lvl>
  </w:abstractNum>
  <w:abstractNum w:abstractNumId="4">
    <w:nsid w:val="FA6B8F1C"/>
    <w:multiLevelType w:val="singleLevel"/>
    <w:tmpl w:val="FA6B8F1C"/>
    <w:lvl w:ilvl="0" w:tentative="0">
      <w:start w:val="1"/>
      <w:numFmt w:val="decimal"/>
      <w:suff w:val="nothing"/>
      <w:lvlText w:val="（%1）"/>
      <w:lvlJc w:val="left"/>
    </w:lvl>
  </w:abstractNum>
  <w:abstractNum w:abstractNumId="5">
    <w:nsid w:val="3BD139B1"/>
    <w:multiLevelType w:val="singleLevel"/>
    <w:tmpl w:val="3BD139B1"/>
    <w:lvl w:ilvl="0" w:tentative="0">
      <w:start w:val="1"/>
      <w:numFmt w:val="upperLetter"/>
      <w:suff w:val="nothing"/>
      <w:lvlText w:val="%1、"/>
      <w:lvlJc w:val="left"/>
    </w:lvl>
  </w:abstractNum>
  <w:abstractNum w:abstractNumId="6">
    <w:nsid w:val="64ED2F4E"/>
    <w:multiLevelType w:val="multilevel"/>
    <w:tmpl w:val="64ED2F4E"/>
    <w:lvl w:ilvl="0" w:tentative="0">
      <w:start w:val="1"/>
      <w:numFmt w:val="decimalEnclosedCircle"/>
      <w:lvlText w:val="%1"/>
      <w:lvlJc w:val="left"/>
      <w:pPr>
        <w:ind w:left="814" w:hanging="360"/>
      </w:pPr>
      <w:rPr>
        <w:rFonts w:hint="default"/>
      </w:rPr>
    </w:lvl>
    <w:lvl w:ilvl="1" w:tentative="0">
      <w:start w:val="1"/>
      <w:numFmt w:val="lowerLetter"/>
      <w:lvlText w:val="%2)"/>
      <w:lvlJc w:val="left"/>
      <w:pPr>
        <w:ind w:left="1294" w:hanging="420"/>
      </w:pPr>
    </w:lvl>
    <w:lvl w:ilvl="2" w:tentative="0">
      <w:start w:val="1"/>
      <w:numFmt w:val="lowerRoman"/>
      <w:lvlText w:val="%3."/>
      <w:lvlJc w:val="right"/>
      <w:pPr>
        <w:ind w:left="1714" w:hanging="420"/>
      </w:pPr>
    </w:lvl>
    <w:lvl w:ilvl="3" w:tentative="0">
      <w:start w:val="1"/>
      <w:numFmt w:val="decimal"/>
      <w:lvlText w:val="%4."/>
      <w:lvlJc w:val="left"/>
      <w:pPr>
        <w:ind w:left="2134" w:hanging="420"/>
      </w:pPr>
    </w:lvl>
    <w:lvl w:ilvl="4" w:tentative="0">
      <w:start w:val="1"/>
      <w:numFmt w:val="lowerLetter"/>
      <w:lvlText w:val="%5)"/>
      <w:lvlJc w:val="left"/>
      <w:pPr>
        <w:ind w:left="2554" w:hanging="420"/>
      </w:pPr>
    </w:lvl>
    <w:lvl w:ilvl="5" w:tentative="0">
      <w:start w:val="1"/>
      <w:numFmt w:val="lowerRoman"/>
      <w:lvlText w:val="%6."/>
      <w:lvlJc w:val="right"/>
      <w:pPr>
        <w:ind w:left="2974" w:hanging="420"/>
      </w:pPr>
    </w:lvl>
    <w:lvl w:ilvl="6" w:tentative="0">
      <w:start w:val="1"/>
      <w:numFmt w:val="decimal"/>
      <w:lvlText w:val="%7."/>
      <w:lvlJc w:val="left"/>
      <w:pPr>
        <w:ind w:left="3394" w:hanging="420"/>
      </w:pPr>
    </w:lvl>
    <w:lvl w:ilvl="7" w:tentative="0">
      <w:start w:val="1"/>
      <w:numFmt w:val="lowerLetter"/>
      <w:lvlText w:val="%8)"/>
      <w:lvlJc w:val="left"/>
      <w:pPr>
        <w:ind w:left="3814" w:hanging="420"/>
      </w:pPr>
    </w:lvl>
    <w:lvl w:ilvl="8" w:tentative="0">
      <w:start w:val="1"/>
      <w:numFmt w:val="lowerRoman"/>
      <w:lvlText w:val="%9."/>
      <w:lvlJc w:val="right"/>
      <w:pPr>
        <w:ind w:left="4234" w:hanging="420"/>
      </w:pPr>
    </w:lvl>
  </w:abstractNum>
  <w:num w:numId="1">
    <w:abstractNumId w:val="2"/>
  </w:num>
  <w:num w:numId="2">
    <w:abstractNumId w:val="0"/>
  </w:num>
  <w:num w:numId="3">
    <w:abstractNumId w:val="4"/>
  </w:num>
  <w:num w:numId="4">
    <w:abstractNumId w:val="6"/>
  </w:num>
  <w:num w:numId="5">
    <w:abstractNumId w:val="3"/>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dit="trackedChanges" w:enforcement="0"/>
  <w:defaultTabStop w:val="420"/>
  <w:doNotHyphenateCaps/>
  <w:drawingGridVerticalSpacing w:val="156"/>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NjAyN2MxNjc2ZmMyMjJmYTIxOTQxM2ZjNDM5ZmQ2NmQifQ=="/>
  </w:docVars>
  <w:rsids>
    <w:rsidRoot w:val="00172A27"/>
    <w:rsid w:val="000003D8"/>
    <w:rsid w:val="00000EB8"/>
    <w:rsid w:val="0000110B"/>
    <w:rsid w:val="0000128D"/>
    <w:rsid w:val="000019AB"/>
    <w:rsid w:val="00001DAA"/>
    <w:rsid w:val="00002D60"/>
    <w:rsid w:val="000031ED"/>
    <w:rsid w:val="000057A0"/>
    <w:rsid w:val="000060B3"/>
    <w:rsid w:val="000113BF"/>
    <w:rsid w:val="00014A9A"/>
    <w:rsid w:val="00015035"/>
    <w:rsid w:val="000162C5"/>
    <w:rsid w:val="0001769E"/>
    <w:rsid w:val="00017715"/>
    <w:rsid w:val="00017CE9"/>
    <w:rsid w:val="00017E49"/>
    <w:rsid w:val="000218A7"/>
    <w:rsid w:val="000239C2"/>
    <w:rsid w:val="00025E3D"/>
    <w:rsid w:val="00025F16"/>
    <w:rsid w:val="00030F7C"/>
    <w:rsid w:val="0003169A"/>
    <w:rsid w:val="00031FD1"/>
    <w:rsid w:val="000321CC"/>
    <w:rsid w:val="00035337"/>
    <w:rsid w:val="00036634"/>
    <w:rsid w:val="00036FC6"/>
    <w:rsid w:val="00037A11"/>
    <w:rsid w:val="00040889"/>
    <w:rsid w:val="00040922"/>
    <w:rsid w:val="00042C38"/>
    <w:rsid w:val="00042EC3"/>
    <w:rsid w:val="0004334F"/>
    <w:rsid w:val="0004364B"/>
    <w:rsid w:val="00045BF1"/>
    <w:rsid w:val="00046242"/>
    <w:rsid w:val="0004769A"/>
    <w:rsid w:val="00050CB4"/>
    <w:rsid w:val="00051733"/>
    <w:rsid w:val="000546C6"/>
    <w:rsid w:val="00056DEB"/>
    <w:rsid w:val="000571C1"/>
    <w:rsid w:val="00057531"/>
    <w:rsid w:val="0006178E"/>
    <w:rsid w:val="00061B1F"/>
    <w:rsid w:val="0006467D"/>
    <w:rsid w:val="000646B2"/>
    <w:rsid w:val="00066917"/>
    <w:rsid w:val="00067624"/>
    <w:rsid w:val="00070D72"/>
    <w:rsid w:val="000720B5"/>
    <w:rsid w:val="00072B68"/>
    <w:rsid w:val="00072F2F"/>
    <w:rsid w:val="000733C4"/>
    <w:rsid w:val="00074783"/>
    <w:rsid w:val="0007486A"/>
    <w:rsid w:val="00074EFF"/>
    <w:rsid w:val="000757D0"/>
    <w:rsid w:val="0008070B"/>
    <w:rsid w:val="000808BE"/>
    <w:rsid w:val="000810AC"/>
    <w:rsid w:val="00081A02"/>
    <w:rsid w:val="00082231"/>
    <w:rsid w:val="00082329"/>
    <w:rsid w:val="00085C17"/>
    <w:rsid w:val="0008613A"/>
    <w:rsid w:val="000876DC"/>
    <w:rsid w:val="00087C7C"/>
    <w:rsid w:val="0009083C"/>
    <w:rsid w:val="00090FB9"/>
    <w:rsid w:val="00091F9B"/>
    <w:rsid w:val="00092D38"/>
    <w:rsid w:val="0009377B"/>
    <w:rsid w:val="0009512F"/>
    <w:rsid w:val="0009520A"/>
    <w:rsid w:val="00096133"/>
    <w:rsid w:val="000A056B"/>
    <w:rsid w:val="000A108E"/>
    <w:rsid w:val="000A20C9"/>
    <w:rsid w:val="000A23B1"/>
    <w:rsid w:val="000A262F"/>
    <w:rsid w:val="000A3C65"/>
    <w:rsid w:val="000A4684"/>
    <w:rsid w:val="000A609A"/>
    <w:rsid w:val="000B058F"/>
    <w:rsid w:val="000B0703"/>
    <w:rsid w:val="000B0EFB"/>
    <w:rsid w:val="000B227D"/>
    <w:rsid w:val="000B2315"/>
    <w:rsid w:val="000B2DD9"/>
    <w:rsid w:val="000B393B"/>
    <w:rsid w:val="000B4467"/>
    <w:rsid w:val="000B4DB9"/>
    <w:rsid w:val="000B5B3A"/>
    <w:rsid w:val="000B687A"/>
    <w:rsid w:val="000B6A82"/>
    <w:rsid w:val="000C09AC"/>
    <w:rsid w:val="000C37EE"/>
    <w:rsid w:val="000C4FAB"/>
    <w:rsid w:val="000C7241"/>
    <w:rsid w:val="000C73AA"/>
    <w:rsid w:val="000C767F"/>
    <w:rsid w:val="000D0741"/>
    <w:rsid w:val="000D15AE"/>
    <w:rsid w:val="000D262E"/>
    <w:rsid w:val="000D3BFF"/>
    <w:rsid w:val="000D4BF6"/>
    <w:rsid w:val="000D4BF7"/>
    <w:rsid w:val="000D4C0D"/>
    <w:rsid w:val="000D5A44"/>
    <w:rsid w:val="000D7559"/>
    <w:rsid w:val="000E0010"/>
    <w:rsid w:val="000E3ED2"/>
    <w:rsid w:val="000E4664"/>
    <w:rsid w:val="000E57F2"/>
    <w:rsid w:val="000E7C3E"/>
    <w:rsid w:val="000F1181"/>
    <w:rsid w:val="000F16FF"/>
    <w:rsid w:val="000F28D1"/>
    <w:rsid w:val="000F3DE0"/>
    <w:rsid w:val="000F5CCA"/>
    <w:rsid w:val="000F684D"/>
    <w:rsid w:val="000F68EF"/>
    <w:rsid w:val="00103FF6"/>
    <w:rsid w:val="00104FAC"/>
    <w:rsid w:val="001058D5"/>
    <w:rsid w:val="0010760F"/>
    <w:rsid w:val="001112AA"/>
    <w:rsid w:val="001115E6"/>
    <w:rsid w:val="00112C77"/>
    <w:rsid w:val="00112DCC"/>
    <w:rsid w:val="0011307A"/>
    <w:rsid w:val="00113CDA"/>
    <w:rsid w:val="00113E7A"/>
    <w:rsid w:val="0011431D"/>
    <w:rsid w:val="00114326"/>
    <w:rsid w:val="001152AD"/>
    <w:rsid w:val="00115BD0"/>
    <w:rsid w:val="001164EB"/>
    <w:rsid w:val="001200DC"/>
    <w:rsid w:val="00123DF4"/>
    <w:rsid w:val="00123FD4"/>
    <w:rsid w:val="00124586"/>
    <w:rsid w:val="00124D52"/>
    <w:rsid w:val="00126D76"/>
    <w:rsid w:val="00131F42"/>
    <w:rsid w:val="00133CBD"/>
    <w:rsid w:val="0013577F"/>
    <w:rsid w:val="001357F1"/>
    <w:rsid w:val="001360A9"/>
    <w:rsid w:val="00140ABD"/>
    <w:rsid w:val="00140FA8"/>
    <w:rsid w:val="00142FEB"/>
    <w:rsid w:val="00143A2D"/>
    <w:rsid w:val="00145A41"/>
    <w:rsid w:val="00146899"/>
    <w:rsid w:val="00147453"/>
    <w:rsid w:val="0014793F"/>
    <w:rsid w:val="001503DA"/>
    <w:rsid w:val="00150BDE"/>
    <w:rsid w:val="00151675"/>
    <w:rsid w:val="00151BFE"/>
    <w:rsid w:val="001523A5"/>
    <w:rsid w:val="0015251E"/>
    <w:rsid w:val="00154D17"/>
    <w:rsid w:val="00154F4C"/>
    <w:rsid w:val="00156151"/>
    <w:rsid w:val="00157376"/>
    <w:rsid w:val="00157435"/>
    <w:rsid w:val="001613A1"/>
    <w:rsid w:val="0016182F"/>
    <w:rsid w:val="00163CBE"/>
    <w:rsid w:val="00163D29"/>
    <w:rsid w:val="00165198"/>
    <w:rsid w:val="00166239"/>
    <w:rsid w:val="001669AA"/>
    <w:rsid w:val="00167816"/>
    <w:rsid w:val="0017001D"/>
    <w:rsid w:val="001716A3"/>
    <w:rsid w:val="001718D3"/>
    <w:rsid w:val="00171A9B"/>
    <w:rsid w:val="00171DC2"/>
    <w:rsid w:val="00173150"/>
    <w:rsid w:val="001740BB"/>
    <w:rsid w:val="0017504D"/>
    <w:rsid w:val="00175A61"/>
    <w:rsid w:val="001762C7"/>
    <w:rsid w:val="0017671A"/>
    <w:rsid w:val="0017736B"/>
    <w:rsid w:val="00177422"/>
    <w:rsid w:val="00180546"/>
    <w:rsid w:val="00183CD6"/>
    <w:rsid w:val="00184590"/>
    <w:rsid w:val="00184A7B"/>
    <w:rsid w:val="001855A1"/>
    <w:rsid w:val="001870D1"/>
    <w:rsid w:val="0018781E"/>
    <w:rsid w:val="00190BE8"/>
    <w:rsid w:val="0019262D"/>
    <w:rsid w:val="00196DD7"/>
    <w:rsid w:val="0019701F"/>
    <w:rsid w:val="001972E9"/>
    <w:rsid w:val="001A1B35"/>
    <w:rsid w:val="001A338E"/>
    <w:rsid w:val="001A4470"/>
    <w:rsid w:val="001A48A2"/>
    <w:rsid w:val="001A4953"/>
    <w:rsid w:val="001A602E"/>
    <w:rsid w:val="001A67D3"/>
    <w:rsid w:val="001A68E4"/>
    <w:rsid w:val="001A6CD9"/>
    <w:rsid w:val="001A6F61"/>
    <w:rsid w:val="001A726B"/>
    <w:rsid w:val="001A7CFB"/>
    <w:rsid w:val="001B06C1"/>
    <w:rsid w:val="001B447A"/>
    <w:rsid w:val="001B72B8"/>
    <w:rsid w:val="001B73D1"/>
    <w:rsid w:val="001C09E5"/>
    <w:rsid w:val="001C3466"/>
    <w:rsid w:val="001C3910"/>
    <w:rsid w:val="001C54EC"/>
    <w:rsid w:val="001C5906"/>
    <w:rsid w:val="001C66D2"/>
    <w:rsid w:val="001C68D3"/>
    <w:rsid w:val="001C69B3"/>
    <w:rsid w:val="001C6ABE"/>
    <w:rsid w:val="001C6D35"/>
    <w:rsid w:val="001D25D1"/>
    <w:rsid w:val="001D29EF"/>
    <w:rsid w:val="001D441C"/>
    <w:rsid w:val="001D4670"/>
    <w:rsid w:val="001D5059"/>
    <w:rsid w:val="001D5595"/>
    <w:rsid w:val="001D5D20"/>
    <w:rsid w:val="001D6814"/>
    <w:rsid w:val="001D6F00"/>
    <w:rsid w:val="001D73A5"/>
    <w:rsid w:val="001D7874"/>
    <w:rsid w:val="001D7F22"/>
    <w:rsid w:val="001E04A7"/>
    <w:rsid w:val="001E0DB5"/>
    <w:rsid w:val="001E4484"/>
    <w:rsid w:val="001E453B"/>
    <w:rsid w:val="001E4F69"/>
    <w:rsid w:val="001E5301"/>
    <w:rsid w:val="001E541E"/>
    <w:rsid w:val="001E62B9"/>
    <w:rsid w:val="001E6511"/>
    <w:rsid w:val="001E7680"/>
    <w:rsid w:val="001F075F"/>
    <w:rsid w:val="001F0F17"/>
    <w:rsid w:val="001F1537"/>
    <w:rsid w:val="001F238D"/>
    <w:rsid w:val="001F3347"/>
    <w:rsid w:val="001F4355"/>
    <w:rsid w:val="001F69E4"/>
    <w:rsid w:val="001F738F"/>
    <w:rsid w:val="001F7DE3"/>
    <w:rsid w:val="00204492"/>
    <w:rsid w:val="00204A41"/>
    <w:rsid w:val="00204C44"/>
    <w:rsid w:val="00206BFB"/>
    <w:rsid w:val="002077A3"/>
    <w:rsid w:val="0021130A"/>
    <w:rsid w:val="00211547"/>
    <w:rsid w:val="002125B4"/>
    <w:rsid w:val="00213798"/>
    <w:rsid w:val="00214FF4"/>
    <w:rsid w:val="002155B8"/>
    <w:rsid w:val="002157BB"/>
    <w:rsid w:val="00216A3E"/>
    <w:rsid w:val="0021779F"/>
    <w:rsid w:val="002217FE"/>
    <w:rsid w:val="002223C4"/>
    <w:rsid w:val="00224839"/>
    <w:rsid w:val="002249B2"/>
    <w:rsid w:val="00225D23"/>
    <w:rsid w:val="00226574"/>
    <w:rsid w:val="0022682F"/>
    <w:rsid w:val="002278EC"/>
    <w:rsid w:val="00230723"/>
    <w:rsid w:val="002313EF"/>
    <w:rsid w:val="0023280E"/>
    <w:rsid w:val="00233C44"/>
    <w:rsid w:val="002346E8"/>
    <w:rsid w:val="002349A8"/>
    <w:rsid w:val="00234EA4"/>
    <w:rsid w:val="002358F4"/>
    <w:rsid w:val="00235D3B"/>
    <w:rsid w:val="0023659C"/>
    <w:rsid w:val="0023668C"/>
    <w:rsid w:val="00236E35"/>
    <w:rsid w:val="002377D1"/>
    <w:rsid w:val="002412B0"/>
    <w:rsid w:val="00242780"/>
    <w:rsid w:val="00242B82"/>
    <w:rsid w:val="002435CC"/>
    <w:rsid w:val="00245BA9"/>
    <w:rsid w:val="002476EC"/>
    <w:rsid w:val="00250371"/>
    <w:rsid w:val="002506BC"/>
    <w:rsid w:val="002507F0"/>
    <w:rsid w:val="00252130"/>
    <w:rsid w:val="00252DD9"/>
    <w:rsid w:val="002541CF"/>
    <w:rsid w:val="00254295"/>
    <w:rsid w:val="00254345"/>
    <w:rsid w:val="002556D8"/>
    <w:rsid w:val="00255B4B"/>
    <w:rsid w:val="00255C26"/>
    <w:rsid w:val="00256350"/>
    <w:rsid w:val="00256705"/>
    <w:rsid w:val="002570BE"/>
    <w:rsid w:val="00257720"/>
    <w:rsid w:val="00260090"/>
    <w:rsid w:val="0026381F"/>
    <w:rsid w:val="00264557"/>
    <w:rsid w:val="00264878"/>
    <w:rsid w:val="00265E06"/>
    <w:rsid w:val="00271FDB"/>
    <w:rsid w:val="00272B28"/>
    <w:rsid w:val="00273D2C"/>
    <w:rsid w:val="00273DDF"/>
    <w:rsid w:val="00280020"/>
    <w:rsid w:val="002805AB"/>
    <w:rsid w:val="002819E3"/>
    <w:rsid w:val="00281B46"/>
    <w:rsid w:val="00282BF3"/>
    <w:rsid w:val="00283EC4"/>
    <w:rsid w:val="00284204"/>
    <w:rsid w:val="0028494A"/>
    <w:rsid w:val="00284F7F"/>
    <w:rsid w:val="00286955"/>
    <w:rsid w:val="002870BD"/>
    <w:rsid w:val="002870CE"/>
    <w:rsid w:val="0028779F"/>
    <w:rsid w:val="0029128E"/>
    <w:rsid w:val="00291773"/>
    <w:rsid w:val="002934FF"/>
    <w:rsid w:val="002938A8"/>
    <w:rsid w:val="002943FE"/>
    <w:rsid w:val="00295EC3"/>
    <w:rsid w:val="002A0ED0"/>
    <w:rsid w:val="002A168C"/>
    <w:rsid w:val="002A1ED7"/>
    <w:rsid w:val="002A204A"/>
    <w:rsid w:val="002A3DC7"/>
    <w:rsid w:val="002A58E6"/>
    <w:rsid w:val="002A6A33"/>
    <w:rsid w:val="002A7460"/>
    <w:rsid w:val="002A7B04"/>
    <w:rsid w:val="002A7F3F"/>
    <w:rsid w:val="002B0B0C"/>
    <w:rsid w:val="002B0D7A"/>
    <w:rsid w:val="002B1C3C"/>
    <w:rsid w:val="002B1E4E"/>
    <w:rsid w:val="002B3479"/>
    <w:rsid w:val="002B34CE"/>
    <w:rsid w:val="002B49E2"/>
    <w:rsid w:val="002B5E87"/>
    <w:rsid w:val="002B7B00"/>
    <w:rsid w:val="002B7C44"/>
    <w:rsid w:val="002C1019"/>
    <w:rsid w:val="002C1A55"/>
    <w:rsid w:val="002C2B17"/>
    <w:rsid w:val="002C2CFA"/>
    <w:rsid w:val="002C4EDE"/>
    <w:rsid w:val="002C7DA5"/>
    <w:rsid w:val="002C7F31"/>
    <w:rsid w:val="002D196E"/>
    <w:rsid w:val="002D22CE"/>
    <w:rsid w:val="002D3058"/>
    <w:rsid w:val="002D3DD0"/>
    <w:rsid w:val="002D3FC6"/>
    <w:rsid w:val="002D4160"/>
    <w:rsid w:val="002D617C"/>
    <w:rsid w:val="002D651D"/>
    <w:rsid w:val="002D7D04"/>
    <w:rsid w:val="002E0B34"/>
    <w:rsid w:val="002E1421"/>
    <w:rsid w:val="002E18AA"/>
    <w:rsid w:val="002E1F3A"/>
    <w:rsid w:val="002E298A"/>
    <w:rsid w:val="002E2E84"/>
    <w:rsid w:val="002E4A5E"/>
    <w:rsid w:val="002E502F"/>
    <w:rsid w:val="002F2788"/>
    <w:rsid w:val="002F66A8"/>
    <w:rsid w:val="00301978"/>
    <w:rsid w:val="00302492"/>
    <w:rsid w:val="003027D3"/>
    <w:rsid w:val="00302E02"/>
    <w:rsid w:val="0030332C"/>
    <w:rsid w:val="00303D29"/>
    <w:rsid w:val="00304FDA"/>
    <w:rsid w:val="003051C2"/>
    <w:rsid w:val="00306122"/>
    <w:rsid w:val="003066E7"/>
    <w:rsid w:val="00310F4F"/>
    <w:rsid w:val="003120CE"/>
    <w:rsid w:val="00312296"/>
    <w:rsid w:val="00312643"/>
    <w:rsid w:val="00312CF3"/>
    <w:rsid w:val="00313A85"/>
    <w:rsid w:val="00314D4F"/>
    <w:rsid w:val="00314F0E"/>
    <w:rsid w:val="0032130A"/>
    <w:rsid w:val="00321CA7"/>
    <w:rsid w:val="00321D8E"/>
    <w:rsid w:val="00322C48"/>
    <w:rsid w:val="003255E7"/>
    <w:rsid w:val="00325928"/>
    <w:rsid w:val="00325D30"/>
    <w:rsid w:val="00327C20"/>
    <w:rsid w:val="00327D2F"/>
    <w:rsid w:val="00330896"/>
    <w:rsid w:val="003321A4"/>
    <w:rsid w:val="00332270"/>
    <w:rsid w:val="00332863"/>
    <w:rsid w:val="0033336A"/>
    <w:rsid w:val="00334A36"/>
    <w:rsid w:val="003364ED"/>
    <w:rsid w:val="0033684D"/>
    <w:rsid w:val="003370B4"/>
    <w:rsid w:val="003375FA"/>
    <w:rsid w:val="00337675"/>
    <w:rsid w:val="003378A4"/>
    <w:rsid w:val="00337B42"/>
    <w:rsid w:val="0034057F"/>
    <w:rsid w:val="00341B0C"/>
    <w:rsid w:val="00341B42"/>
    <w:rsid w:val="003431CB"/>
    <w:rsid w:val="0034348F"/>
    <w:rsid w:val="00345291"/>
    <w:rsid w:val="00354A8B"/>
    <w:rsid w:val="003562ED"/>
    <w:rsid w:val="00356653"/>
    <w:rsid w:val="0035743F"/>
    <w:rsid w:val="00357BE2"/>
    <w:rsid w:val="00357FAE"/>
    <w:rsid w:val="0036170C"/>
    <w:rsid w:val="003645B3"/>
    <w:rsid w:val="003650AD"/>
    <w:rsid w:val="00365EA0"/>
    <w:rsid w:val="003660BE"/>
    <w:rsid w:val="003663E8"/>
    <w:rsid w:val="003668A7"/>
    <w:rsid w:val="00366E0F"/>
    <w:rsid w:val="003729EB"/>
    <w:rsid w:val="0037648E"/>
    <w:rsid w:val="00376669"/>
    <w:rsid w:val="0037759E"/>
    <w:rsid w:val="00377944"/>
    <w:rsid w:val="00380594"/>
    <w:rsid w:val="0038099C"/>
    <w:rsid w:val="00380AAA"/>
    <w:rsid w:val="00380F77"/>
    <w:rsid w:val="00381A72"/>
    <w:rsid w:val="00381CCE"/>
    <w:rsid w:val="003822D8"/>
    <w:rsid w:val="00382A27"/>
    <w:rsid w:val="00384168"/>
    <w:rsid w:val="003842EE"/>
    <w:rsid w:val="00384676"/>
    <w:rsid w:val="00385005"/>
    <w:rsid w:val="00387F1E"/>
    <w:rsid w:val="00387F7A"/>
    <w:rsid w:val="00390857"/>
    <w:rsid w:val="00392977"/>
    <w:rsid w:val="00392FFE"/>
    <w:rsid w:val="0039347D"/>
    <w:rsid w:val="0039380A"/>
    <w:rsid w:val="003941DC"/>
    <w:rsid w:val="003962CF"/>
    <w:rsid w:val="00396370"/>
    <w:rsid w:val="003A034F"/>
    <w:rsid w:val="003A0B8C"/>
    <w:rsid w:val="003A0E13"/>
    <w:rsid w:val="003A1133"/>
    <w:rsid w:val="003A1A2E"/>
    <w:rsid w:val="003A23ED"/>
    <w:rsid w:val="003A4241"/>
    <w:rsid w:val="003A4BF3"/>
    <w:rsid w:val="003A6BD8"/>
    <w:rsid w:val="003B15AE"/>
    <w:rsid w:val="003B1A86"/>
    <w:rsid w:val="003B1B20"/>
    <w:rsid w:val="003B26DF"/>
    <w:rsid w:val="003B27D6"/>
    <w:rsid w:val="003B30EA"/>
    <w:rsid w:val="003B3F8C"/>
    <w:rsid w:val="003B420D"/>
    <w:rsid w:val="003B47D2"/>
    <w:rsid w:val="003B5D6D"/>
    <w:rsid w:val="003B6F9A"/>
    <w:rsid w:val="003B7CB4"/>
    <w:rsid w:val="003C0499"/>
    <w:rsid w:val="003C0AF2"/>
    <w:rsid w:val="003C19FC"/>
    <w:rsid w:val="003C2528"/>
    <w:rsid w:val="003C26F5"/>
    <w:rsid w:val="003C2A0F"/>
    <w:rsid w:val="003C6C16"/>
    <w:rsid w:val="003C7C29"/>
    <w:rsid w:val="003D2EB9"/>
    <w:rsid w:val="003D3FDA"/>
    <w:rsid w:val="003D4355"/>
    <w:rsid w:val="003D542B"/>
    <w:rsid w:val="003D609F"/>
    <w:rsid w:val="003D7288"/>
    <w:rsid w:val="003D7744"/>
    <w:rsid w:val="003D794D"/>
    <w:rsid w:val="003E1433"/>
    <w:rsid w:val="003E170F"/>
    <w:rsid w:val="003E1EDE"/>
    <w:rsid w:val="003E3058"/>
    <w:rsid w:val="003E4296"/>
    <w:rsid w:val="003E4F79"/>
    <w:rsid w:val="003E5094"/>
    <w:rsid w:val="003E605A"/>
    <w:rsid w:val="003E6D23"/>
    <w:rsid w:val="003E76A9"/>
    <w:rsid w:val="003F03F0"/>
    <w:rsid w:val="003F0809"/>
    <w:rsid w:val="003F0C59"/>
    <w:rsid w:val="003F1120"/>
    <w:rsid w:val="003F121F"/>
    <w:rsid w:val="003F2410"/>
    <w:rsid w:val="003F3093"/>
    <w:rsid w:val="003F3199"/>
    <w:rsid w:val="003F3949"/>
    <w:rsid w:val="003F43F8"/>
    <w:rsid w:val="003F56EE"/>
    <w:rsid w:val="003F6A8C"/>
    <w:rsid w:val="003F755C"/>
    <w:rsid w:val="003F787D"/>
    <w:rsid w:val="004006BC"/>
    <w:rsid w:val="0040472F"/>
    <w:rsid w:val="00406F01"/>
    <w:rsid w:val="00412DFF"/>
    <w:rsid w:val="0041324F"/>
    <w:rsid w:val="00413D33"/>
    <w:rsid w:val="004142B6"/>
    <w:rsid w:val="004146A8"/>
    <w:rsid w:val="004151A4"/>
    <w:rsid w:val="00416838"/>
    <w:rsid w:val="00416D50"/>
    <w:rsid w:val="00416FD5"/>
    <w:rsid w:val="00417480"/>
    <w:rsid w:val="00417772"/>
    <w:rsid w:val="00417A9E"/>
    <w:rsid w:val="00417C1F"/>
    <w:rsid w:val="00420E6A"/>
    <w:rsid w:val="00424343"/>
    <w:rsid w:val="00425A9E"/>
    <w:rsid w:val="00425FAC"/>
    <w:rsid w:val="00426C05"/>
    <w:rsid w:val="00426D6B"/>
    <w:rsid w:val="00426E9B"/>
    <w:rsid w:val="00427D76"/>
    <w:rsid w:val="00431E6C"/>
    <w:rsid w:val="004333FB"/>
    <w:rsid w:val="00433CE7"/>
    <w:rsid w:val="00435039"/>
    <w:rsid w:val="004352C4"/>
    <w:rsid w:val="00437A02"/>
    <w:rsid w:val="0044139D"/>
    <w:rsid w:val="00443F40"/>
    <w:rsid w:val="00444A0D"/>
    <w:rsid w:val="004524DF"/>
    <w:rsid w:val="00452738"/>
    <w:rsid w:val="00452864"/>
    <w:rsid w:val="00455D9A"/>
    <w:rsid w:val="00456091"/>
    <w:rsid w:val="00456762"/>
    <w:rsid w:val="0045685A"/>
    <w:rsid w:val="00456FA1"/>
    <w:rsid w:val="0045794C"/>
    <w:rsid w:val="0046326C"/>
    <w:rsid w:val="00466321"/>
    <w:rsid w:val="0046688F"/>
    <w:rsid w:val="004674BD"/>
    <w:rsid w:val="00467C9C"/>
    <w:rsid w:val="00470171"/>
    <w:rsid w:val="004723A2"/>
    <w:rsid w:val="00472571"/>
    <w:rsid w:val="004746A3"/>
    <w:rsid w:val="004747D3"/>
    <w:rsid w:val="0047544B"/>
    <w:rsid w:val="004758B6"/>
    <w:rsid w:val="004758F0"/>
    <w:rsid w:val="00477E6A"/>
    <w:rsid w:val="00482BCA"/>
    <w:rsid w:val="00484002"/>
    <w:rsid w:val="00484B9B"/>
    <w:rsid w:val="004855F6"/>
    <w:rsid w:val="004865FB"/>
    <w:rsid w:val="0048661E"/>
    <w:rsid w:val="0049169B"/>
    <w:rsid w:val="00491B5F"/>
    <w:rsid w:val="00491DF5"/>
    <w:rsid w:val="004925BC"/>
    <w:rsid w:val="004936B8"/>
    <w:rsid w:val="00493AF1"/>
    <w:rsid w:val="0049459E"/>
    <w:rsid w:val="00494670"/>
    <w:rsid w:val="00494929"/>
    <w:rsid w:val="00497669"/>
    <w:rsid w:val="004A075D"/>
    <w:rsid w:val="004A0B3B"/>
    <w:rsid w:val="004A20C6"/>
    <w:rsid w:val="004A359D"/>
    <w:rsid w:val="004A3823"/>
    <w:rsid w:val="004A4AA6"/>
    <w:rsid w:val="004A59EC"/>
    <w:rsid w:val="004A67D8"/>
    <w:rsid w:val="004B0010"/>
    <w:rsid w:val="004B0C3F"/>
    <w:rsid w:val="004B2D93"/>
    <w:rsid w:val="004B661C"/>
    <w:rsid w:val="004C0548"/>
    <w:rsid w:val="004C16A5"/>
    <w:rsid w:val="004C2373"/>
    <w:rsid w:val="004C255C"/>
    <w:rsid w:val="004C471B"/>
    <w:rsid w:val="004C5AE3"/>
    <w:rsid w:val="004C5CE2"/>
    <w:rsid w:val="004C653F"/>
    <w:rsid w:val="004C7666"/>
    <w:rsid w:val="004C7B10"/>
    <w:rsid w:val="004D03EA"/>
    <w:rsid w:val="004D18F3"/>
    <w:rsid w:val="004D252C"/>
    <w:rsid w:val="004D268E"/>
    <w:rsid w:val="004D28AD"/>
    <w:rsid w:val="004D2C49"/>
    <w:rsid w:val="004D40C0"/>
    <w:rsid w:val="004D5B58"/>
    <w:rsid w:val="004D6000"/>
    <w:rsid w:val="004D6742"/>
    <w:rsid w:val="004D6E3A"/>
    <w:rsid w:val="004D7AA9"/>
    <w:rsid w:val="004E0B00"/>
    <w:rsid w:val="004E0CE1"/>
    <w:rsid w:val="004E29A1"/>
    <w:rsid w:val="004E3247"/>
    <w:rsid w:val="004E3673"/>
    <w:rsid w:val="004E4633"/>
    <w:rsid w:val="004E4669"/>
    <w:rsid w:val="004E4C6F"/>
    <w:rsid w:val="004E5FC2"/>
    <w:rsid w:val="004E60BA"/>
    <w:rsid w:val="004E6946"/>
    <w:rsid w:val="004F13A1"/>
    <w:rsid w:val="004F1AD8"/>
    <w:rsid w:val="004F2291"/>
    <w:rsid w:val="004F26FF"/>
    <w:rsid w:val="004F4910"/>
    <w:rsid w:val="004F5578"/>
    <w:rsid w:val="004F5ACC"/>
    <w:rsid w:val="004F656B"/>
    <w:rsid w:val="005001D2"/>
    <w:rsid w:val="0050091F"/>
    <w:rsid w:val="00500D24"/>
    <w:rsid w:val="00500D2D"/>
    <w:rsid w:val="00501AC0"/>
    <w:rsid w:val="00502634"/>
    <w:rsid w:val="005039CB"/>
    <w:rsid w:val="0050558F"/>
    <w:rsid w:val="00505E58"/>
    <w:rsid w:val="00506286"/>
    <w:rsid w:val="005066A4"/>
    <w:rsid w:val="005072B3"/>
    <w:rsid w:val="00507741"/>
    <w:rsid w:val="00510813"/>
    <w:rsid w:val="00511990"/>
    <w:rsid w:val="00511DE0"/>
    <w:rsid w:val="00514870"/>
    <w:rsid w:val="00514B9B"/>
    <w:rsid w:val="005154BB"/>
    <w:rsid w:val="00515FA5"/>
    <w:rsid w:val="0051664D"/>
    <w:rsid w:val="00517F02"/>
    <w:rsid w:val="005208B7"/>
    <w:rsid w:val="00523033"/>
    <w:rsid w:val="00524303"/>
    <w:rsid w:val="00524947"/>
    <w:rsid w:val="0052557E"/>
    <w:rsid w:val="005258A2"/>
    <w:rsid w:val="00525C70"/>
    <w:rsid w:val="0052623D"/>
    <w:rsid w:val="00532062"/>
    <w:rsid w:val="005324B4"/>
    <w:rsid w:val="00532AB1"/>
    <w:rsid w:val="005330E9"/>
    <w:rsid w:val="005360F8"/>
    <w:rsid w:val="005362DD"/>
    <w:rsid w:val="0054001A"/>
    <w:rsid w:val="005401AE"/>
    <w:rsid w:val="00540E2D"/>
    <w:rsid w:val="00542E07"/>
    <w:rsid w:val="0054428A"/>
    <w:rsid w:val="00544F8D"/>
    <w:rsid w:val="005452F7"/>
    <w:rsid w:val="00545424"/>
    <w:rsid w:val="00553B98"/>
    <w:rsid w:val="00553C50"/>
    <w:rsid w:val="00554A7B"/>
    <w:rsid w:val="00555619"/>
    <w:rsid w:val="0055572C"/>
    <w:rsid w:val="00555BFE"/>
    <w:rsid w:val="00555EF1"/>
    <w:rsid w:val="005568EB"/>
    <w:rsid w:val="005576ED"/>
    <w:rsid w:val="00557CEA"/>
    <w:rsid w:val="00557FBA"/>
    <w:rsid w:val="0056106A"/>
    <w:rsid w:val="005626F6"/>
    <w:rsid w:val="0056296F"/>
    <w:rsid w:val="00563494"/>
    <w:rsid w:val="00564494"/>
    <w:rsid w:val="00565B59"/>
    <w:rsid w:val="00567653"/>
    <w:rsid w:val="00570E38"/>
    <w:rsid w:val="005720AE"/>
    <w:rsid w:val="005731EA"/>
    <w:rsid w:val="00573A03"/>
    <w:rsid w:val="00574489"/>
    <w:rsid w:val="005770C2"/>
    <w:rsid w:val="005773D9"/>
    <w:rsid w:val="00585195"/>
    <w:rsid w:val="00585819"/>
    <w:rsid w:val="00590272"/>
    <w:rsid w:val="00591673"/>
    <w:rsid w:val="005937E4"/>
    <w:rsid w:val="00594D77"/>
    <w:rsid w:val="00596321"/>
    <w:rsid w:val="00596384"/>
    <w:rsid w:val="005969E4"/>
    <w:rsid w:val="005A023A"/>
    <w:rsid w:val="005A06B7"/>
    <w:rsid w:val="005A170A"/>
    <w:rsid w:val="005A1759"/>
    <w:rsid w:val="005A68A7"/>
    <w:rsid w:val="005A7117"/>
    <w:rsid w:val="005A7A8E"/>
    <w:rsid w:val="005B0725"/>
    <w:rsid w:val="005B0B5E"/>
    <w:rsid w:val="005B1ED7"/>
    <w:rsid w:val="005B25AB"/>
    <w:rsid w:val="005B272E"/>
    <w:rsid w:val="005B3635"/>
    <w:rsid w:val="005B6CC9"/>
    <w:rsid w:val="005B7E37"/>
    <w:rsid w:val="005C09D4"/>
    <w:rsid w:val="005C0F89"/>
    <w:rsid w:val="005C15A2"/>
    <w:rsid w:val="005C4421"/>
    <w:rsid w:val="005C4907"/>
    <w:rsid w:val="005C4DAF"/>
    <w:rsid w:val="005C59FB"/>
    <w:rsid w:val="005C766A"/>
    <w:rsid w:val="005C7E21"/>
    <w:rsid w:val="005C7EBB"/>
    <w:rsid w:val="005C7F11"/>
    <w:rsid w:val="005D0E30"/>
    <w:rsid w:val="005D36AB"/>
    <w:rsid w:val="005D3976"/>
    <w:rsid w:val="005D61EF"/>
    <w:rsid w:val="005E021B"/>
    <w:rsid w:val="005E0984"/>
    <w:rsid w:val="005E0BBC"/>
    <w:rsid w:val="005E16C0"/>
    <w:rsid w:val="005E233F"/>
    <w:rsid w:val="005E2358"/>
    <w:rsid w:val="005E4756"/>
    <w:rsid w:val="005E4933"/>
    <w:rsid w:val="005E55A1"/>
    <w:rsid w:val="005F0099"/>
    <w:rsid w:val="005F0408"/>
    <w:rsid w:val="005F1C16"/>
    <w:rsid w:val="005F41DB"/>
    <w:rsid w:val="005F4C8A"/>
    <w:rsid w:val="005F4F90"/>
    <w:rsid w:val="005F6862"/>
    <w:rsid w:val="005F717D"/>
    <w:rsid w:val="005F7CE7"/>
    <w:rsid w:val="00600B2C"/>
    <w:rsid w:val="006018A5"/>
    <w:rsid w:val="00601B5F"/>
    <w:rsid w:val="00601FAD"/>
    <w:rsid w:val="00602822"/>
    <w:rsid w:val="006033DE"/>
    <w:rsid w:val="00603EB4"/>
    <w:rsid w:val="00603FF4"/>
    <w:rsid w:val="00604581"/>
    <w:rsid w:val="00604DF5"/>
    <w:rsid w:val="00605BAE"/>
    <w:rsid w:val="0060691A"/>
    <w:rsid w:val="0060783E"/>
    <w:rsid w:val="00607A05"/>
    <w:rsid w:val="006100A0"/>
    <w:rsid w:val="00613B2D"/>
    <w:rsid w:val="006152F8"/>
    <w:rsid w:val="00615387"/>
    <w:rsid w:val="00615BF6"/>
    <w:rsid w:val="00615D77"/>
    <w:rsid w:val="006164AC"/>
    <w:rsid w:val="00617675"/>
    <w:rsid w:val="00617845"/>
    <w:rsid w:val="00617CC3"/>
    <w:rsid w:val="006200E4"/>
    <w:rsid w:val="00621392"/>
    <w:rsid w:val="0062378A"/>
    <w:rsid w:val="00623CE2"/>
    <w:rsid w:val="00624A38"/>
    <w:rsid w:val="006263C9"/>
    <w:rsid w:val="00626510"/>
    <w:rsid w:val="006277A8"/>
    <w:rsid w:val="00630074"/>
    <w:rsid w:val="006342B1"/>
    <w:rsid w:val="00635216"/>
    <w:rsid w:val="00635E41"/>
    <w:rsid w:val="00636FA8"/>
    <w:rsid w:val="006377A6"/>
    <w:rsid w:val="00637A3D"/>
    <w:rsid w:val="006411EF"/>
    <w:rsid w:val="00642A4F"/>
    <w:rsid w:val="00643ED7"/>
    <w:rsid w:val="00644ABF"/>
    <w:rsid w:val="00646A53"/>
    <w:rsid w:val="00650EC8"/>
    <w:rsid w:val="00653D71"/>
    <w:rsid w:val="00654218"/>
    <w:rsid w:val="00654A02"/>
    <w:rsid w:val="006551F0"/>
    <w:rsid w:val="00656F43"/>
    <w:rsid w:val="006571F4"/>
    <w:rsid w:val="006576ED"/>
    <w:rsid w:val="00657841"/>
    <w:rsid w:val="00660994"/>
    <w:rsid w:val="00661AC2"/>
    <w:rsid w:val="00663C99"/>
    <w:rsid w:val="00663DBF"/>
    <w:rsid w:val="006644D4"/>
    <w:rsid w:val="00665680"/>
    <w:rsid w:val="00665F3B"/>
    <w:rsid w:val="006665CA"/>
    <w:rsid w:val="00666AA9"/>
    <w:rsid w:val="00670334"/>
    <w:rsid w:val="006710BC"/>
    <w:rsid w:val="00671E65"/>
    <w:rsid w:val="0067262B"/>
    <w:rsid w:val="00672657"/>
    <w:rsid w:val="0067287F"/>
    <w:rsid w:val="006746EF"/>
    <w:rsid w:val="00674850"/>
    <w:rsid w:val="006748B8"/>
    <w:rsid w:val="00674F09"/>
    <w:rsid w:val="00675095"/>
    <w:rsid w:val="00675E8A"/>
    <w:rsid w:val="006775C3"/>
    <w:rsid w:val="006778CC"/>
    <w:rsid w:val="0068122E"/>
    <w:rsid w:val="0068129F"/>
    <w:rsid w:val="00681E11"/>
    <w:rsid w:val="00682BBA"/>
    <w:rsid w:val="00683D73"/>
    <w:rsid w:val="0068654C"/>
    <w:rsid w:val="00686A3E"/>
    <w:rsid w:val="00692508"/>
    <w:rsid w:val="00692893"/>
    <w:rsid w:val="0069290A"/>
    <w:rsid w:val="00693178"/>
    <w:rsid w:val="0069373D"/>
    <w:rsid w:val="006951A2"/>
    <w:rsid w:val="0069545A"/>
    <w:rsid w:val="00696B9E"/>
    <w:rsid w:val="0069737E"/>
    <w:rsid w:val="0069775A"/>
    <w:rsid w:val="006977E5"/>
    <w:rsid w:val="00697813"/>
    <w:rsid w:val="00697C09"/>
    <w:rsid w:val="006A11CA"/>
    <w:rsid w:val="006A25A5"/>
    <w:rsid w:val="006A3EE8"/>
    <w:rsid w:val="006A4601"/>
    <w:rsid w:val="006A4D4D"/>
    <w:rsid w:val="006A6292"/>
    <w:rsid w:val="006A6861"/>
    <w:rsid w:val="006A72BF"/>
    <w:rsid w:val="006A7473"/>
    <w:rsid w:val="006B03F2"/>
    <w:rsid w:val="006B0C70"/>
    <w:rsid w:val="006B0EC1"/>
    <w:rsid w:val="006B107F"/>
    <w:rsid w:val="006B2722"/>
    <w:rsid w:val="006B2D6C"/>
    <w:rsid w:val="006B3747"/>
    <w:rsid w:val="006B37DC"/>
    <w:rsid w:val="006B3DB1"/>
    <w:rsid w:val="006B4ACE"/>
    <w:rsid w:val="006B4F68"/>
    <w:rsid w:val="006B607A"/>
    <w:rsid w:val="006B619B"/>
    <w:rsid w:val="006B74E5"/>
    <w:rsid w:val="006C02BC"/>
    <w:rsid w:val="006C0592"/>
    <w:rsid w:val="006C1B2E"/>
    <w:rsid w:val="006C1DD5"/>
    <w:rsid w:val="006C272E"/>
    <w:rsid w:val="006C3712"/>
    <w:rsid w:val="006C39CE"/>
    <w:rsid w:val="006C5479"/>
    <w:rsid w:val="006D13B5"/>
    <w:rsid w:val="006D26DA"/>
    <w:rsid w:val="006D2DF0"/>
    <w:rsid w:val="006D39C3"/>
    <w:rsid w:val="006D39D7"/>
    <w:rsid w:val="006D5FA9"/>
    <w:rsid w:val="006D72AC"/>
    <w:rsid w:val="006D740F"/>
    <w:rsid w:val="006D79B9"/>
    <w:rsid w:val="006E12FF"/>
    <w:rsid w:val="006E363F"/>
    <w:rsid w:val="006E4359"/>
    <w:rsid w:val="006E607E"/>
    <w:rsid w:val="006F07EA"/>
    <w:rsid w:val="006F0DBC"/>
    <w:rsid w:val="006F0F82"/>
    <w:rsid w:val="006F3AC9"/>
    <w:rsid w:val="006F77E7"/>
    <w:rsid w:val="00700020"/>
    <w:rsid w:val="0070127F"/>
    <w:rsid w:val="007012D6"/>
    <w:rsid w:val="00704196"/>
    <w:rsid w:val="0070484F"/>
    <w:rsid w:val="00704897"/>
    <w:rsid w:val="00704C6C"/>
    <w:rsid w:val="0070667A"/>
    <w:rsid w:val="00706C5D"/>
    <w:rsid w:val="00707045"/>
    <w:rsid w:val="007112E1"/>
    <w:rsid w:val="00711E39"/>
    <w:rsid w:val="00714872"/>
    <w:rsid w:val="00714B58"/>
    <w:rsid w:val="0071621D"/>
    <w:rsid w:val="007201C9"/>
    <w:rsid w:val="007207E9"/>
    <w:rsid w:val="00721A1A"/>
    <w:rsid w:val="007222B4"/>
    <w:rsid w:val="00723B92"/>
    <w:rsid w:val="00723DF9"/>
    <w:rsid w:val="00724E69"/>
    <w:rsid w:val="0072592E"/>
    <w:rsid w:val="007300C6"/>
    <w:rsid w:val="00731B37"/>
    <w:rsid w:val="00732922"/>
    <w:rsid w:val="00733A1F"/>
    <w:rsid w:val="00740691"/>
    <w:rsid w:val="00740C55"/>
    <w:rsid w:val="007437F1"/>
    <w:rsid w:val="00743BD7"/>
    <w:rsid w:val="00743FB6"/>
    <w:rsid w:val="0074529A"/>
    <w:rsid w:val="00747DC3"/>
    <w:rsid w:val="0075162E"/>
    <w:rsid w:val="00753B6B"/>
    <w:rsid w:val="00754014"/>
    <w:rsid w:val="00754034"/>
    <w:rsid w:val="007546AB"/>
    <w:rsid w:val="007549CA"/>
    <w:rsid w:val="00755555"/>
    <w:rsid w:val="00755703"/>
    <w:rsid w:val="00756556"/>
    <w:rsid w:val="00756F6D"/>
    <w:rsid w:val="00760337"/>
    <w:rsid w:val="007618C4"/>
    <w:rsid w:val="00762B21"/>
    <w:rsid w:val="00762DF2"/>
    <w:rsid w:val="007653A1"/>
    <w:rsid w:val="00765FE9"/>
    <w:rsid w:val="00766A1E"/>
    <w:rsid w:val="00767980"/>
    <w:rsid w:val="007706A4"/>
    <w:rsid w:val="00770B19"/>
    <w:rsid w:val="00771844"/>
    <w:rsid w:val="0077463F"/>
    <w:rsid w:val="00774EE5"/>
    <w:rsid w:val="007759F7"/>
    <w:rsid w:val="00775D73"/>
    <w:rsid w:val="007776EC"/>
    <w:rsid w:val="00777FD5"/>
    <w:rsid w:val="0078075D"/>
    <w:rsid w:val="00780A2C"/>
    <w:rsid w:val="00780B59"/>
    <w:rsid w:val="00780EBD"/>
    <w:rsid w:val="00781E6A"/>
    <w:rsid w:val="007836EA"/>
    <w:rsid w:val="0078384A"/>
    <w:rsid w:val="00784CDA"/>
    <w:rsid w:val="0078540D"/>
    <w:rsid w:val="00786971"/>
    <w:rsid w:val="00787A22"/>
    <w:rsid w:val="007906C4"/>
    <w:rsid w:val="0079231D"/>
    <w:rsid w:val="00792C32"/>
    <w:rsid w:val="00793759"/>
    <w:rsid w:val="007940EA"/>
    <w:rsid w:val="007967E8"/>
    <w:rsid w:val="00796EFD"/>
    <w:rsid w:val="00797528"/>
    <w:rsid w:val="00797C4B"/>
    <w:rsid w:val="007A0A11"/>
    <w:rsid w:val="007A13B6"/>
    <w:rsid w:val="007A1639"/>
    <w:rsid w:val="007A1820"/>
    <w:rsid w:val="007A183D"/>
    <w:rsid w:val="007A18F0"/>
    <w:rsid w:val="007A1C88"/>
    <w:rsid w:val="007A1CE3"/>
    <w:rsid w:val="007A1E67"/>
    <w:rsid w:val="007A2170"/>
    <w:rsid w:val="007A22BF"/>
    <w:rsid w:val="007A3323"/>
    <w:rsid w:val="007A34B1"/>
    <w:rsid w:val="007A34F9"/>
    <w:rsid w:val="007A41E1"/>
    <w:rsid w:val="007A5DA7"/>
    <w:rsid w:val="007A777E"/>
    <w:rsid w:val="007A77BA"/>
    <w:rsid w:val="007B0470"/>
    <w:rsid w:val="007B1667"/>
    <w:rsid w:val="007B1796"/>
    <w:rsid w:val="007B622E"/>
    <w:rsid w:val="007B72B8"/>
    <w:rsid w:val="007B7826"/>
    <w:rsid w:val="007B7A58"/>
    <w:rsid w:val="007C21B5"/>
    <w:rsid w:val="007C3693"/>
    <w:rsid w:val="007C4588"/>
    <w:rsid w:val="007C52DB"/>
    <w:rsid w:val="007C6FBF"/>
    <w:rsid w:val="007C7424"/>
    <w:rsid w:val="007D0C71"/>
    <w:rsid w:val="007D125B"/>
    <w:rsid w:val="007D179A"/>
    <w:rsid w:val="007D1BFA"/>
    <w:rsid w:val="007D25AA"/>
    <w:rsid w:val="007D35EC"/>
    <w:rsid w:val="007D3C3A"/>
    <w:rsid w:val="007D3DEE"/>
    <w:rsid w:val="007D3EEE"/>
    <w:rsid w:val="007D4D81"/>
    <w:rsid w:val="007D5D73"/>
    <w:rsid w:val="007D6763"/>
    <w:rsid w:val="007D7F35"/>
    <w:rsid w:val="007E4BD2"/>
    <w:rsid w:val="007E4C38"/>
    <w:rsid w:val="007E55DF"/>
    <w:rsid w:val="007E587C"/>
    <w:rsid w:val="007E6004"/>
    <w:rsid w:val="007E6583"/>
    <w:rsid w:val="007E6A8A"/>
    <w:rsid w:val="007E7832"/>
    <w:rsid w:val="007E7E0C"/>
    <w:rsid w:val="007F0102"/>
    <w:rsid w:val="007F3A4A"/>
    <w:rsid w:val="007F571D"/>
    <w:rsid w:val="007F61E1"/>
    <w:rsid w:val="007F684E"/>
    <w:rsid w:val="0080081C"/>
    <w:rsid w:val="00800FDD"/>
    <w:rsid w:val="00801393"/>
    <w:rsid w:val="00801BBA"/>
    <w:rsid w:val="008025FA"/>
    <w:rsid w:val="00802F88"/>
    <w:rsid w:val="00803235"/>
    <w:rsid w:val="00803481"/>
    <w:rsid w:val="00806A67"/>
    <w:rsid w:val="00806B5F"/>
    <w:rsid w:val="00807189"/>
    <w:rsid w:val="008072F6"/>
    <w:rsid w:val="008117A4"/>
    <w:rsid w:val="0081293E"/>
    <w:rsid w:val="00812981"/>
    <w:rsid w:val="00812BF3"/>
    <w:rsid w:val="00813230"/>
    <w:rsid w:val="008151F4"/>
    <w:rsid w:val="00815465"/>
    <w:rsid w:val="00816B1C"/>
    <w:rsid w:val="00816C62"/>
    <w:rsid w:val="0081774B"/>
    <w:rsid w:val="00817E9A"/>
    <w:rsid w:val="00817FBF"/>
    <w:rsid w:val="00820224"/>
    <w:rsid w:val="008229F9"/>
    <w:rsid w:val="00822D1E"/>
    <w:rsid w:val="00823C09"/>
    <w:rsid w:val="0082487B"/>
    <w:rsid w:val="00824B37"/>
    <w:rsid w:val="00825051"/>
    <w:rsid w:val="008250D6"/>
    <w:rsid w:val="00827346"/>
    <w:rsid w:val="00827767"/>
    <w:rsid w:val="00827E2D"/>
    <w:rsid w:val="0083014E"/>
    <w:rsid w:val="00830323"/>
    <w:rsid w:val="008306BD"/>
    <w:rsid w:val="00831121"/>
    <w:rsid w:val="00831A80"/>
    <w:rsid w:val="008324DB"/>
    <w:rsid w:val="00832FA6"/>
    <w:rsid w:val="00833743"/>
    <w:rsid w:val="008340A4"/>
    <w:rsid w:val="008342D1"/>
    <w:rsid w:val="00834712"/>
    <w:rsid w:val="008373BF"/>
    <w:rsid w:val="0084229D"/>
    <w:rsid w:val="0084284F"/>
    <w:rsid w:val="00843AEA"/>
    <w:rsid w:val="00846BFF"/>
    <w:rsid w:val="00846D30"/>
    <w:rsid w:val="00847468"/>
    <w:rsid w:val="0084792F"/>
    <w:rsid w:val="00847DF0"/>
    <w:rsid w:val="008517B7"/>
    <w:rsid w:val="00852415"/>
    <w:rsid w:val="00852E24"/>
    <w:rsid w:val="00852F42"/>
    <w:rsid w:val="00853B8F"/>
    <w:rsid w:val="0085562A"/>
    <w:rsid w:val="0085684D"/>
    <w:rsid w:val="00857002"/>
    <w:rsid w:val="008571BF"/>
    <w:rsid w:val="008602D8"/>
    <w:rsid w:val="00860622"/>
    <w:rsid w:val="008607C6"/>
    <w:rsid w:val="00860FA1"/>
    <w:rsid w:val="00861537"/>
    <w:rsid w:val="0086424C"/>
    <w:rsid w:val="00864365"/>
    <w:rsid w:val="008657B7"/>
    <w:rsid w:val="0086588B"/>
    <w:rsid w:val="00865FB1"/>
    <w:rsid w:val="0087135F"/>
    <w:rsid w:val="00871856"/>
    <w:rsid w:val="0087256E"/>
    <w:rsid w:val="00872D94"/>
    <w:rsid w:val="00873F72"/>
    <w:rsid w:val="00876804"/>
    <w:rsid w:val="0087686D"/>
    <w:rsid w:val="008802A3"/>
    <w:rsid w:val="00880364"/>
    <w:rsid w:val="0088103D"/>
    <w:rsid w:val="0088257C"/>
    <w:rsid w:val="00885668"/>
    <w:rsid w:val="00885A35"/>
    <w:rsid w:val="008864ED"/>
    <w:rsid w:val="00886521"/>
    <w:rsid w:val="00891592"/>
    <w:rsid w:val="00891E9E"/>
    <w:rsid w:val="0089246C"/>
    <w:rsid w:val="008928DD"/>
    <w:rsid w:val="0089294F"/>
    <w:rsid w:val="00892CAA"/>
    <w:rsid w:val="00894C81"/>
    <w:rsid w:val="00894D39"/>
    <w:rsid w:val="00896898"/>
    <w:rsid w:val="0089707B"/>
    <w:rsid w:val="008972D6"/>
    <w:rsid w:val="00897BA7"/>
    <w:rsid w:val="008A2338"/>
    <w:rsid w:val="008A2F68"/>
    <w:rsid w:val="008A5210"/>
    <w:rsid w:val="008A67F3"/>
    <w:rsid w:val="008A7023"/>
    <w:rsid w:val="008B00BC"/>
    <w:rsid w:val="008B179A"/>
    <w:rsid w:val="008B1DEB"/>
    <w:rsid w:val="008B2408"/>
    <w:rsid w:val="008B297F"/>
    <w:rsid w:val="008B2C7D"/>
    <w:rsid w:val="008B491D"/>
    <w:rsid w:val="008B4FA6"/>
    <w:rsid w:val="008B5282"/>
    <w:rsid w:val="008B6794"/>
    <w:rsid w:val="008B7C17"/>
    <w:rsid w:val="008C00C0"/>
    <w:rsid w:val="008C2D01"/>
    <w:rsid w:val="008C40E6"/>
    <w:rsid w:val="008C453E"/>
    <w:rsid w:val="008C4CA0"/>
    <w:rsid w:val="008C5FA4"/>
    <w:rsid w:val="008C700F"/>
    <w:rsid w:val="008C798A"/>
    <w:rsid w:val="008D0F7A"/>
    <w:rsid w:val="008D1937"/>
    <w:rsid w:val="008D1E31"/>
    <w:rsid w:val="008D1F25"/>
    <w:rsid w:val="008D20D0"/>
    <w:rsid w:val="008D266A"/>
    <w:rsid w:val="008D366B"/>
    <w:rsid w:val="008D68E4"/>
    <w:rsid w:val="008E0022"/>
    <w:rsid w:val="008E0506"/>
    <w:rsid w:val="008E0CFF"/>
    <w:rsid w:val="008E1419"/>
    <w:rsid w:val="008E19D4"/>
    <w:rsid w:val="008E1BF0"/>
    <w:rsid w:val="008E2E4D"/>
    <w:rsid w:val="008E5D6B"/>
    <w:rsid w:val="008E6847"/>
    <w:rsid w:val="008E76F0"/>
    <w:rsid w:val="008F15FE"/>
    <w:rsid w:val="008F1BAA"/>
    <w:rsid w:val="008F2574"/>
    <w:rsid w:val="008F266C"/>
    <w:rsid w:val="008F2D29"/>
    <w:rsid w:val="008F4681"/>
    <w:rsid w:val="008F5187"/>
    <w:rsid w:val="008F518D"/>
    <w:rsid w:val="008F60D8"/>
    <w:rsid w:val="008F6372"/>
    <w:rsid w:val="0090159C"/>
    <w:rsid w:val="00902727"/>
    <w:rsid w:val="00902F45"/>
    <w:rsid w:val="0090312B"/>
    <w:rsid w:val="0090318F"/>
    <w:rsid w:val="00903DDA"/>
    <w:rsid w:val="00906B1F"/>
    <w:rsid w:val="009072D7"/>
    <w:rsid w:val="0091031C"/>
    <w:rsid w:val="00910892"/>
    <w:rsid w:val="00912027"/>
    <w:rsid w:val="00913883"/>
    <w:rsid w:val="00913A06"/>
    <w:rsid w:val="0091736D"/>
    <w:rsid w:val="009201B2"/>
    <w:rsid w:val="0092164F"/>
    <w:rsid w:val="0092450C"/>
    <w:rsid w:val="0092517C"/>
    <w:rsid w:val="00925856"/>
    <w:rsid w:val="009264DC"/>
    <w:rsid w:val="00927A79"/>
    <w:rsid w:val="0093037A"/>
    <w:rsid w:val="009315EC"/>
    <w:rsid w:val="0093287A"/>
    <w:rsid w:val="00932BAF"/>
    <w:rsid w:val="00933841"/>
    <w:rsid w:val="00934845"/>
    <w:rsid w:val="00935BF3"/>
    <w:rsid w:val="0093667E"/>
    <w:rsid w:val="00936F45"/>
    <w:rsid w:val="00940732"/>
    <w:rsid w:val="0094154D"/>
    <w:rsid w:val="009419C5"/>
    <w:rsid w:val="0094233F"/>
    <w:rsid w:val="00942723"/>
    <w:rsid w:val="00943913"/>
    <w:rsid w:val="00946D38"/>
    <w:rsid w:val="00946F86"/>
    <w:rsid w:val="00950076"/>
    <w:rsid w:val="009508D3"/>
    <w:rsid w:val="009511F7"/>
    <w:rsid w:val="0095155F"/>
    <w:rsid w:val="00953633"/>
    <w:rsid w:val="00954429"/>
    <w:rsid w:val="009545E8"/>
    <w:rsid w:val="009549BD"/>
    <w:rsid w:val="00955775"/>
    <w:rsid w:val="009563CE"/>
    <w:rsid w:val="009566D6"/>
    <w:rsid w:val="00956817"/>
    <w:rsid w:val="00956BD4"/>
    <w:rsid w:val="009577B6"/>
    <w:rsid w:val="009578D1"/>
    <w:rsid w:val="00961C82"/>
    <w:rsid w:val="00961D4B"/>
    <w:rsid w:val="00963FA7"/>
    <w:rsid w:val="0096444A"/>
    <w:rsid w:val="0096607D"/>
    <w:rsid w:val="00966133"/>
    <w:rsid w:val="00967526"/>
    <w:rsid w:val="00967AA4"/>
    <w:rsid w:val="00967E27"/>
    <w:rsid w:val="009700A7"/>
    <w:rsid w:val="009709D2"/>
    <w:rsid w:val="0097320A"/>
    <w:rsid w:val="009732F2"/>
    <w:rsid w:val="0097436A"/>
    <w:rsid w:val="009743AB"/>
    <w:rsid w:val="0097623D"/>
    <w:rsid w:val="00976328"/>
    <w:rsid w:val="0097680D"/>
    <w:rsid w:val="00976BF4"/>
    <w:rsid w:val="0097725C"/>
    <w:rsid w:val="0097728A"/>
    <w:rsid w:val="00977C2F"/>
    <w:rsid w:val="00980F63"/>
    <w:rsid w:val="00982438"/>
    <w:rsid w:val="0098404C"/>
    <w:rsid w:val="00985283"/>
    <w:rsid w:val="00985334"/>
    <w:rsid w:val="00987034"/>
    <w:rsid w:val="00991C57"/>
    <w:rsid w:val="00992567"/>
    <w:rsid w:val="00993C3B"/>
    <w:rsid w:val="0099567E"/>
    <w:rsid w:val="00995992"/>
    <w:rsid w:val="0099601F"/>
    <w:rsid w:val="009968C6"/>
    <w:rsid w:val="00997264"/>
    <w:rsid w:val="009A03E5"/>
    <w:rsid w:val="009A0CFE"/>
    <w:rsid w:val="009A0F3B"/>
    <w:rsid w:val="009A13AA"/>
    <w:rsid w:val="009A19D0"/>
    <w:rsid w:val="009A1BB4"/>
    <w:rsid w:val="009A2628"/>
    <w:rsid w:val="009A3200"/>
    <w:rsid w:val="009A3A07"/>
    <w:rsid w:val="009A4221"/>
    <w:rsid w:val="009A4F9D"/>
    <w:rsid w:val="009B0781"/>
    <w:rsid w:val="009B0897"/>
    <w:rsid w:val="009B4007"/>
    <w:rsid w:val="009B4335"/>
    <w:rsid w:val="009B54B4"/>
    <w:rsid w:val="009B69D2"/>
    <w:rsid w:val="009B7BD9"/>
    <w:rsid w:val="009C0A2E"/>
    <w:rsid w:val="009C50DB"/>
    <w:rsid w:val="009C582C"/>
    <w:rsid w:val="009C5A56"/>
    <w:rsid w:val="009C78C9"/>
    <w:rsid w:val="009C7DD5"/>
    <w:rsid w:val="009D054A"/>
    <w:rsid w:val="009D2B81"/>
    <w:rsid w:val="009D41F2"/>
    <w:rsid w:val="009D5E53"/>
    <w:rsid w:val="009D765A"/>
    <w:rsid w:val="009D7EA6"/>
    <w:rsid w:val="009E097D"/>
    <w:rsid w:val="009E0F93"/>
    <w:rsid w:val="009E21F9"/>
    <w:rsid w:val="009E227D"/>
    <w:rsid w:val="009E5019"/>
    <w:rsid w:val="009E714F"/>
    <w:rsid w:val="009E7CB7"/>
    <w:rsid w:val="009F079E"/>
    <w:rsid w:val="009F0AA2"/>
    <w:rsid w:val="009F0ABA"/>
    <w:rsid w:val="009F0FBA"/>
    <w:rsid w:val="009F2EB7"/>
    <w:rsid w:val="009F316A"/>
    <w:rsid w:val="009F6109"/>
    <w:rsid w:val="009F61DF"/>
    <w:rsid w:val="00A011AE"/>
    <w:rsid w:val="00A020E0"/>
    <w:rsid w:val="00A03384"/>
    <w:rsid w:val="00A0447A"/>
    <w:rsid w:val="00A04F1B"/>
    <w:rsid w:val="00A0501B"/>
    <w:rsid w:val="00A05406"/>
    <w:rsid w:val="00A072E5"/>
    <w:rsid w:val="00A073FC"/>
    <w:rsid w:val="00A07B9D"/>
    <w:rsid w:val="00A11648"/>
    <w:rsid w:val="00A14947"/>
    <w:rsid w:val="00A17002"/>
    <w:rsid w:val="00A171CD"/>
    <w:rsid w:val="00A20174"/>
    <w:rsid w:val="00A2220F"/>
    <w:rsid w:val="00A23BEA"/>
    <w:rsid w:val="00A24001"/>
    <w:rsid w:val="00A24AAC"/>
    <w:rsid w:val="00A260D6"/>
    <w:rsid w:val="00A26DB2"/>
    <w:rsid w:val="00A277DB"/>
    <w:rsid w:val="00A307F9"/>
    <w:rsid w:val="00A31170"/>
    <w:rsid w:val="00A3262D"/>
    <w:rsid w:val="00A32A83"/>
    <w:rsid w:val="00A34F0A"/>
    <w:rsid w:val="00A365AC"/>
    <w:rsid w:val="00A368DB"/>
    <w:rsid w:val="00A376E4"/>
    <w:rsid w:val="00A37ED1"/>
    <w:rsid w:val="00A4168C"/>
    <w:rsid w:val="00A417DA"/>
    <w:rsid w:val="00A423AA"/>
    <w:rsid w:val="00A432CE"/>
    <w:rsid w:val="00A46861"/>
    <w:rsid w:val="00A47A11"/>
    <w:rsid w:val="00A50EE5"/>
    <w:rsid w:val="00A5117B"/>
    <w:rsid w:val="00A526EB"/>
    <w:rsid w:val="00A527D5"/>
    <w:rsid w:val="00A53EC6"/>
    <w:rsid w:val="00A541E2"/>
    <w:rsid w:val="00A55C0F"/>
    <w:rsid w:val="00A56BC2"/>
    <w:rsid w:val="00A570CD"/>
    <w:rsid w:val="00A6075C"/>
    <w:rsid w:val="00A60AE7"/>
    <w:rsid w:val="00A6260C"/>
    <w:rsid w:val="00A6463B"/>
    <w:rsid w:val="00A6511D"/>
    <w:rsid w:val="00A65BD5"/>
    <w:rsid w:val="00A66BEB"/>
    <w:rsid w:val="00A67FB9"/>
    <w:rsid w:val="00A702C1"/>
    <w:rsid w:val="00A705DE"/>
    <w:rsid w:val="00A7557B"/>
    <w:rsid w:val="00A75849"/>
    <w:rsid w:val="00A75996"/>
    <w:rsid w:val="00A77A9A"/>
    <w:rsid w:val="00A803C1"/>
    <w:rsid w:val="00A81476"/>
    <w:rsid w:val="00A8235C"/>
    <w:rsid w:val="00A82886"/>
    <w:rsid w:val="00A82999"/>
    <w:rsid w:val="00A82C1A"/>
    <w:rsid w:val="00A837E4"/>
    <w:rsid w:val="00A85201"/>
    <w:rsid w:val="00A85E2B"/>
    <w:rsid w:val="00A8713F"/>
    <w:rsid w:val="00A8799B"/>
    <w:rsid w:val="00A87C05"/>
    <w:rsid w:val="00A90BA1"/>
    <w:rsid w:val="00A914CF"/>
    <w:rsid w:val="00A92AF6"/>
    <w:rsid w:val="00A94861"/>
    <w:rsid w:val="00A94B5A"/>
    <w:rsid w:val="00A96A02"/>
    <w:rsid w:val="00A9719D"/>
    <w:rsid w:val="00A97A9A"/>
    <w:rsid w:val="00A97CF4"/>
    <w:rsid w:val="00AA0671"/>
    <w:rsid w:val="00AA1DA6"/>
    <w:rsid w:val="00AA1FC2"/>
    <w:rsid w:val="00AA2183"/>
    <w:rsid w:val="00AA2531"/>
    <w:rsid w:val="00AA739D"/>
    <w:rsid w:val="00AB0CCF"/>
    <w:rsid w:val="00AB0D6B"/>
    <w:rsid w:val="00AB0E83"/>
    <w:rsid w:val="00AB1E09"/>
    <w:rsid w:val="00AB28F2"/>
    <w:rsid w:val="00AB38B3"/>
    <w:rsid w:val="00AB4C49"/>
    <w:rsid w:val="00AB5330"/>
    <w:rsid w:val="00AB6167"/>
    <w:rsid w:val="00AB6D1F"/>
    <w:rsid w:val="00AB7747"/>
    <w:rsid w:val="00AC0006"/>
    <w:rsid w:val="00AC102F"/>
    <w:rsid w:val="00AC14C1"/>
    <w:rsid w:val="00AC14CE"/>
    <w:rsid w:val="00AC19B6"/>
    <w:rsid w:val="00AC2274"/>
    <w:rsid w:val="00AC2A56"/>
    <w:rsid w:val="00AC2DC9"/>
    <w:rsid w:val="00AC380A"/>
    <w:rsid w:val="00AC506E"/>
    <w:rsid w:val="00AC554D"/>
    <w:rsid w:val="00AC5D4E"/>
    <w:rsid w:val="00AC6DA4"/>
    <w:rsid w:val="00AD0552"/>
    <w:rsid w:val="00AD055E"/>
    <w:rsid w:val="00AD1AA7"/>
    <w:rsid w:val="00AD248D"/>
    <w:rsid w:val="00AD2CA4"/>
    <w:rsid w:val="00AD31BB"/>
    <w:rsid w:val="00AD4682"/>
    <w:rsid w:val="00AD47A7"/>
    <w:rsid w:val="00AD496B"/>
    <w:rsid w:val="00AD646B"/>
    <w:rsid w:val="00AD6489"/>
    <w:rsid w:val="00AD6D97"/>
    <w:rsid w:val="00AD6E33"/>
    <w:rsid w:val="00AD7270"/>
    <w:rsid w:val="00AE07AE"/>
    <w:rsid w:val="00AE160E"/>
    <w:rsid w:val="00AE1805"/>
    <w:rsid w:val="00AE2218"/>
    <w:rsid w:val="00AE2814"/>
    <w:rsid w:val="00AE48F2"/>
    <w:rsid w:val="00AE5363"/>
    <w:rsid w:val="00AE637D"/>
    <w:rsid w:val="00AF0CBF"/>
    <w:rsid w:val="00AF0F47"/>
    <w:rsid w:val="00AF104F"/>
    <w:rsid w:val="00AF18FD"/>
    <w:rsid w:val="00AF257F"/>
    <w:rsid w:val="00AF2961"/>
    <w:rsid w:val="00AF33CF"/>
    <w:rsid w:val="00AF4D50"/>
    <w:rsid w:val="00AF6179"/>
    <w:rsid w:val="00AF64D6"/>
    <w:rsid w:val="00AF65AF"/>
    <w:rsid w:val="00AF6831"/>
    <w:rsid w:val="00B021F4"/>
    <w:rsid w:val="00B02366"/>
    <w:rsid w:val="00B04AB5"/>
    <w:rsid w:val="00B05C2B"/>
    <w:rsid w:val="00B07301"/>
    <w:rsid w:val="00B1295A"/>
    <w:rsid w:val="00B131A0"/>
    <w:rsid w:val="00B132E1"/>
    <w:rsid w:val="00B15926"/>
    <w:rsid w:val="00B16919"/>
    <w:rsid w:val="00B20A45"/>
    <w:rsid w:val="00B20C2D"/>
    <w:rsid w:val="00B2131A"/>
    <w:rsid w:val="00B22043"/>
    <w:rsid w:val="00B22C5C"/>
    <w:rsid w:val="00B24F30"/>
    <w:rsid w:val="00B2597D"/>
    <w:rsid w:val="00B277F8"/>
    <w:rsid w:val="00B30A7B"/>
    <w:rsid w:val="00B31ABF"/>
    <w:rsid w:val="00B32BF4"/>
    <w:rsid w:val="00B3394C"/>
    <w:rsid w:val="00B33A26"/>
    <w:rsid w:val="00B33BE3"/>
    <w:rsid w:val="00B33C8D"/>
    <w:rsid w:val="00B36DD7"/>
    <w:rsid w:val="00B37245"/>
    <w:rsid w:val="00B37BCC"/>
    <w:rsid w:val="00B414B9"/>
    <w:rsid w:val="00B4247D"/>
    <w:rsid w:val="00B43BB5"/>
    <w:rsid w:val="00B44A82"/>
    <w:rsid w:val="00B4622E"/>
    <w:rsid w:val="00B47B21"/>
    <w:rsid w:val="00B47F09"/>
    <w:rsid w:val="00B53B5D"/>
    <w:rsid w:val="00B5789E"/>
    <w:rsid w:val="00B578CB"/>
    <w:rsid w:val="00B57FC0"/>
    <w:rsid w:val="00B6055E"/>
    <w:rsid w:val="00B609EF"/>
    <w:rsid w:val="00B60EFA"/>
    <w:rsid w:val="00B61517"/>
    <w:rsid w:val="00B619A0"/>
    <w:rsid w:val="00B61A6F"/>
    <w:rsid w:val="00B61B2B"/>
    <w:rsid w:val="00B62D3E"/>
    <w:rsid w:val="00B6317D"/>
    <w:rsid w:val="00B6535A"/>
    <w:rsid w:val="00B66040"/>
    <w:rsid w:val="00B67352"/>
    <w:rsid w:val="00B67BC2"/>
    <w:rsid w:val="00B718A6"/>
    <w:rsid w:val="00B7425B"/>
    <w:rsid w:val="00B768D1"/>
    <w:rsid w:val="00B7723F"/>
    <w:rsid w:val="00B77A96"/>
    <w:rsid w:val="00B800EA"/>
    <w:rsid w:val="00B80534"/>
    <w:rsid w:val="00B807D9"/>
    <w:rsid w:val="00B80A08"/>
    <w:rsid w:val="00B80F8A"/>
    <w:rsid w:val="00B82C18"/>
    <w:rsid w:val="00B8433C"/>
    <w:rsid w:val="00B862AB"/>
    <w:rsid w:val="00B87491"/>
    <w:rsid w:val="00B9038A"/>
    <w:rsid w:val="00B91A1F"/>
    <w:rsid w:val="00B9247D"/>
    <w:rsid w:val="00B9297C"/>
    <w:rsid w:val="00B959A0"/>
    <w:rsid w:val="00B9713F"/>
    <w:rsid w:val="00BA0F18"/>
    <w:rsid w:val="00BA1EEC"/>
    <w:rsid w:val="00BA29E9"/>
    <w:rsid w:val="00BA45B7"/>
    <w:rsid w:val="00BA4955"/>
    <w:rsid w:val="00BA6EF3"/>
    <w:rsid w:val="00BA7142"/>
    <w:rsid w:val="00BB0181"/>
    <w:rsid w:val="00BB02BC"/>
    <w:rsid w:val="00BB1C05"/>
    <w:rsid w:val="00BB237C"/>
    <w:rsid w:val="00BB41A3"/>
    <w:rsid w:val="00BB53F2"/>
    <w:rsid w:val="00BC01A6"/>
    <w:rsid w:val="00BC11EC"/>
    <w:rsid w:val="00BC2B2A"/>
    <w:rsid w:val="00BC2D17"/>
    <w:rsid w:val="00BC2FFE"/>
    <w:rsid w:val="00BC32DC"/>
    <w:rsid w:val="00BC35B6"/>
    <w:rsid w:val="00BC4578"/>
    <w:rsid w:val="00BC492E"/>
    <w:rsid w:val="00BC5530"/>
    <w:rsid w:val="00BC5D7B"/>
    <w:rsid w:val="00BC70E8"/>
    <w:rsid w:val="00BC7D20"/>
    <w:rsid w:val="00BD1B51"/>
    <w:rsid w:val="00BD279B"/>
    <w:rsid w:val="00BD3A71"/>
    <w:rsid w:val="00BD44B2"/>
    <w:rsid w:val="00BD4596"/>
    <w:rsid w:val="00BD6968"/>
    <w:rsid w:val="00BD75FE"/>
    <w:rsid w:val="00BE09C5"/>
    <w:rsid w:val="00BE0DE1"/>
    <w:rsid w:val="00BE1405"/>
    <w:rsid w:val="00BE2B94"/>
    <w:rsid w:val="00BE312D"/>
    <w:rsid w:val="00BE4447"/>
    <w:rsid w:val="00BE6800"/>
    <w:rsid w:val="00BE6814"/>
    <w:rsid w:val="00BF1C20"/>
    <w:rsid w:val="00BF21DD"/>
    <w:rsid w:val="00BF3E75"/>
    <w:rsid w:val="00BF5D7C"/>
    <w:rsid w:val="00C00FDF"/>
    <w:rsid w:val="00C01BB6"/>
    <w:rsid w:val="00C036A9"/>
    <w:rsid w:val="00C0610D"/>
    <w:rsid w:val="00C07133"/>
    <w:rsid w:val="00C075B0"/>
    <w:rsid w:val="00C100A4"/>
    <w:rsid w:val="00C10578"/>
    <w:rsid w:val="00C10C4B"/>
    <w:rsid w:val="00C113FB"/>
    <w:rsid w:val="00C11948"/>
    <w:rsid w:val="00C11EF6"/>
    <w:rsid w:val="00C12950"/>
    <w:rsid w:val="00C135BC"/>
    <w:rsid w:val="00C151F6"/>
    <w:rsid w:val="00C15C95"/>
    <w:rsid w:val="00C16D72"/>
    <w:rsid w:val="00C1719B"/>
    <w:rsid w:val="00C20853"/>
    <w:rsid w:val="00C22AEC"/>
    <w:rsid w:val="00C23827"/>
    <w:rsid w:val="00C241ED"/>
    <w:rsid w:val="00C2596A"/>
    <w:rsid w:val="00C259D7"/>
    <w:rsid w:val="00C25F7B"/>
    <w:rsid w:val="00C27537"/>
    <w:rsid w:val="00C30239"/>
    <w:rsid w:val="00C309CD"/>
    <w:rsid w:val="00C30EF5"/>
    <w:rsid w:val="00C312D6"/>
    <w:rsid w:val="00C31431"/>
    <w:rsid w:val="00C31453"/>
    <w:rsid w:val="00C31578"/>
    <w:rsid w:val="00C316F5"/>
    <w:rsid w:val="00C328FE"/>
    <w:rsid w:val="00C32D0E"/>
    <w:rsid w:val="00C33507"/>
    <w:rsid w:val="00C34078"/>
    <w:rsid w:val="00C34B7A"/>
    <w:rsid w:val="00C34B87"/>
    <w:rsid w:val="00C3506E"/>
    <w:rsid w:val="00C36430"/>
    <w:rsid w:val="00C37D74"/>
    <w:rsid w:val="00C405CA"/>
    <w:rsid w:val="00C410C3"/>
    <w:rsid w:val="00C41C50"/>
    <w:rsid w:val="00C43430"/>
    <w:rsid w:val="00C4409D"/>
    <w:rsid w:val="00C44E72"/>
    <w:rsid w:val="00C44FBE"/>
    <w:rsid w:val="00C45A06"/>
    <w:rsid w:val="00C47E5B"/>
    <w:rsid w:val="00C511D2"/>
    <w:rsid w:val="00C52B3D"/>
    <w:rsid w:val="00C54C3E"/>
    <w:rsid w:val="00C55CFA"/>
    <w:rsid w:val="00C55F35"/>
    <w:rsid w:val="00C5604C"/>
    <w:rsid w:val="00C56270"/>
    <w:rsid w:val="00C57B33"/>
    <w:rsid w:val="00C57D1E"/>
    <w:rsid w:val="00C6082E"/>
    <w:rsid w:val="00C61E4B"/>
    <w:rsid w:val="00C6218C"/>
    <w:rsid w:val="00C62CC2"/>
    <w:rsid w:val="00C6347E"/>
    <w:rsid w:val="00C643E1"/>
    <w:rsid w:val="00C64BFF"/>
    <w:rsid w:val="00C651B0"/>
    <w:rsid w:val="00C65E38"/>
    <w:rsid w:val="00C669A6"/>
    <w:rsid w:val="00C66D49"/>
    <w:rsid w:val="00C67F23"/>
    <w:rsid w:val="00C70049"/>
    <w:rsid w:val="00C702B0"/>
    <w:rsid w:val="00C704E9"/>
    <w:rsid w:val="00C708CA"/>
    <w:rsid w:val="00C70A15"/>
    <w:rsid w:val="00C717AE"/>
    <w:rsid w:val="00C72648"/>
    <w:rsid w:val="00C72E17"/>
    <w:rsid w:val="00C7357B"/>
    <w:rsid w:val="00C74AFC"/>
    <w:rsid w:val="00C763C9"/>
    <w:rsid w:val="00C76656"/>
    <w:rsid w:val="00C76804"/>
    <w:rsid w:val="00C770A2"/>
    <w:rsid w:val="00C77AC7"/>
    <w:rsid w:val="00C80057"/>
    <w:rsid w:val="00C8005A"/>
    <w:rsid w:val="00C80B2B"/>
    <w:rsid w:val="00C82232"/>
    <w:rsid w:val="00C822F6"/>
    <w:rsid w:val="00C82913"/>
    <w:rsid w:val="00C8432E"/>
    <w:rsid w:val="00C84A95"/>
    <w:rsid w:val="00C8731A"/>
    <w:rsid w:val="00C9181B"/>
    <w:rsid w:val="00C921BD"/>
    <w:rsid w:val="00C92F6A"/>
    <w:rsid w:val="00C93541"/>
    <w:rsid w:val="00C94650"/>
    <w:rsid w:val="00C955FD"/>
    <w:rsid w:val="00C968B3"/>
    <w:rsid w:val="00C972B1"/>
    <w:rsid w:val="00C97BDD"/>
    <w:rsid w:val="00CA0F02"/>
    <w:rsid w:val="00CA26D4"/>
    <w:rsid w:val="00CA2BB2"/>
    <w:rsid w:val="00CA2CCE"/>
    <w:rsid w:val="00CA43FD"/>
    <w:rsid w:val="00CA7011"/>
    <w:rsid w:val="00CA71A4"/>
    <w:rsid w:val="00CA7229"/>
    <w:rsid w:val="00CA7EF8"/>
    <w:rsid w:val="00CB1E6A"/>
    <w:rsid w:val="00CB1EB7"/>
    <w:rsid w:val="00CB29A7"/>
    <w:rsid w:val="00CB37F3"/>
    <w:rsid w:val="00CB4724"/>
    <w:rsid w:val="00CB51B7"/>
    <w:rsid w:val="00CB574B"/>
    <w:rsid w:val="00CB5C20"/>
    <w:rsid w:val="00CB5D60"/>
    <w:rsid w:val="00CB69E2"/>
    <w:rsid w:val="00CB7296"/>
    <w:rsid w:val="00CC12A2"/>
    <w:rsid w:val="00CC1A5A"/>
    <w:rsid w:val="00CC1B14"/>
    <w:rsid w:val="00CC1B77"/>
    <w:rsid w:val="00CC23CC"/>
    <w:rsid w:val="00CC297A"/>
    <w:rsid w:val="00CC4782"/>
    <w:rsid w:val="00CC489B"/>
    <w:rsid w:val="00CC4A76"/>
    <w:rsid w:val="00CC5EE4"/>
    <w:rsid w:val="00CC60BF"/>
    <w:rsid w:val="00CC6C39"/>
    <w:rsid w:val="00CD0FB4"/>
    <w:rsid w:val="00CD2BCD"/>
    <w:rsid w:val="00CD2F3F"/>
    <w:rsid w:val="00CD36D0"/>
    <w:rsid w:val="00CD3A4C"/>
    <w:rsid w:val="00CD5A75"/>
    <w:rsid w:val="00CD6B0E"/>
    <w:rsid w:val="00CE105A"/>
    <w:rsid w:val="00CE10E9"/>
    <w:rsid w:val="00CE2910"/>
    <w:rsid w:val="00CE3B8C"/>
    <w:rsid w:val="00CE4B6D"/>
    <w:rsid w:val="00CE5393"/>
    <w:rsid w:val="00CE572E"/>
    <w:rsid w:val="00CE72DA"/>
    <w:rsid w:val="00CE756D"/>
    <w:rsid w:val="00CF3118"/>
    <w:rsid w:val="00CF36BE"/>
    <w:rsid w:val="00CF6000"/>
    <w:rsid w:val="00D003F3"/>
    <w:rsid w:val="00D00D44"/>
    <w:rsid w:val="00D00DF3"/>
    <w:rsid w:val="00D0127E"/>
    <w:rsid w:val="00D023DB"/>
    <w:rsid w:val="00D025E6"/>
    <w:rsid w:val="00D0364F"/>
    <w:rsid w:val="00D03AB9"/>
    <w:rsid w:val="00D03E3A"/>
    <w:rsid w:val="00D04568"/>
    <w:rsid w:val="00D06834"/>
    <w:rsid w:val="00D115E3"/>
    <w:rsid w:val="00D1339B"/>
    <w:rsid w:val="00D13B15"/>
    <w:rsid w:val="00D1473E"/>
    <w:rsid w:val="00D14F84"/>
    <w:rsid w:val="00D15088"/>
    <w:rsid w:val="00D15510"/>
    <w:rsid w:val="00D1588D"/>
    <w:rsid w:val="00D15C55"/>
    <w:rsid w:val="00D15FB3"/>
    <w:rsid w:val="00D1762B"/>
    <w:rsid w:val="00D21569"/>
    <w:rsid w:val="00D21AEB"/>
    <w:rsid w:val="00D21E20"/>
    <w:rsid w:val="00D2217E"/>
    <w:rsid w:val="00D249EA"/>
    <w:rsid w:val="00D25320"/>
    <w:rsid w:val="00D25D44"/>
    <w:rsid w:val="00D26CE6"/>
    <w:rsid w:val="00D274EF"/>
    <w:rsid w:val="00D275B3"/>
    <w:rsid w:val="00D307D8"/>
    <w:rsid w:val="00D308ED"/>
    <w:rsid w:val="00D3125D"/>
    <w:rsid w:val="00D31CE8"/>
    <w:rsid w:val="00D32C95"/>
    <w:rsid w:val="00D331A6"/>
    <w:rsid w:val="00D33EF8"/>
    <w:rsid w:val="00D35062"/>
    <w:rsid w:val="00D354A4"/>
    <w:rsid w:val="00D36D86"/>
    <w:rsid w:val="00D41198"/>
    <w:rsid w:val="00D41C4B"/>
    <w:rsid w:val="00D428AA"/>
    <w:rsid w:val="00D4379C"/>
    <w:rsid w:val="00D44426"/>
    <w:rsid w:val="00D471CC"/>
    <w:rsid w:val="00D47C9A"/>
    <w:rsid w:val="00D506D9"/>
    <w:rsid w:val="00D50A34"/>
    <w:rsid w:val="00D50C02"/>
    <w:rsid w:val="00D50DB7"/>
    <w:rsid w:val="00D53EFA"/>
    <w:rsid w:val="00D5411A"/>
    <w:rsid w:val="00D54FF4"/>
    <w:rsid w:val="00D55CE1"/>
    <w:rsid w:val="00D56625"/>
    <w:rsid w:val="00D56F55"/>
    <w:rsid w:val="00D63774"/>
    <w:rsid w:val="00D6481D"/>
    <w:rsid w:val="00D65AA8"/>
    <w:rsid w:val="00D66103"/>
    <w:rsid w:val="00D70D8E"/>
    <w:rsid w:val="00D714A6"/>
    <w:rsid w:val="00D7153F"/>
    <w:rsid w:val="00D72A7E"/>
    <w:rsid w:val="00D73335"/>
    <w:rsid w:val="00D736A6"/>
    <w:rsid w:val="00D73922"/>
    <w:rsid w:val="00D73F76"/>
    <w:rsid w:val="00D744C9"/>
    <w:rsid w:val="00D75B70"/>
    <w:rsid w:val="00D8060E"/>
    <w:rsid w:val="00D818C5"/>
    <w:rsid w:val="00D81FC0"/>
    <w:rsid w:val="00D83A68"/>
    <w:rsid w:val="00D84166"/>
    <w:rsid w:val="00D850DD"/>
    <w:rsid w:val="00D859AF"/>
    <w:rsid w:val="00D85BA0"/>
    <w:rsid w:val="00D86FDF"/>
    <w:rsid w:val="00D87CB4"/>
    <w:rsid w:val="00D901A0"/>
    <w:rsid w:val="00D907DB"/>
    <w:rsid w:val="00D90F63"/>
    <w:rsid w:val="00D91897"/>
    <w:rsid w:val="00D94A7C"/>
    <w:rsid w:val="00D95896"/>
    <w:rsid w:val="00D973CC"/>
    <w:rsid w:val="00DA5FEE"/>
    <w:rsid w:val="00DA6A00"/>
    <w:rsid w:val="00DB0FB6"/>
    <w:rsid w:val="00DB2983"/>
    <w:rsid w:val="00DB3C8C"/>
    <w:rsid w:val="00DB5F05"/>
    <w:rsid w:val="00DB7CBD"/>
    <w:rsid w:val="00DC1257"/>
    <w:rsid w:val="00DC2A54"/>
    <w:rsid w:val="00DC3DC0"/>
    <w:rsid w:val="00DC5458"/>
    <w:rsid w:val="00DC5A12"/>
    <w:rsid w:val="00DC5B2B"/>
    <w:rsid w:val="00DC5FE4"/>
    <w:rsid w:val="00DC6759"/>
    <w:rsid w:val="00DC738D"/>
    <w:rsid w:val="00DC7715"/>
    <w:rsid w:val="00DD0C53"/>
    <w:rsid w:val="00DD1FA7"/>
    <w:rsid w:val="00DD2CF7"/>
    <w:rsid w:val="00DD318D"/>
    <w:rsid w:val="00DD711C"/>
    <w:rsid w:val="00DD7474"/>
    <w:rsid w:val="00DD7FD5"/>
    <w:rsid w:val="00DE0206"/>
    <w:rsid w:val="00DE30E5"/>
    <w:rsid w:val="00DE38FC"/>
    <w:rsid w:val="00DE5219"/>
    <w:rsid w:val="00DE5803"/>
    <w:rsid w:val="00DE5F3E"/>
    <w:rsid w:val="00DF00C2"/>
    <w:rsid w:val="00DF0901"/>
    <w:rsid w:val="00DF1811"/>
    <w:rsid w:val="00DF23EF"/>
    <w:rsid w:val="00DF2C75"/>
    <w:rsid w:val="00DF2E12"/>
    <w:rsid w:val="00DF3FBB"/>
    <w:rsid w:val="00DF4585"/>
    <w:rsid w:val="00DF4BA5"/>
    <w:rsid w:val="00DF514A"/>
    <w:rsid w:val="00DF5385"/>
    <w:rsid w:val="00DF57E8"/>
    <w:rsid w:val="00DF6690"/>
    <w:rsid w:val="00DF6804"/>
    <w:rsid w:val="00DF7643"/>
    <w:rsid w:val="00DF7673"/>
    <w:rsid w:val="00DF7E67"/>
    <w:rsid w:val="00E025AD"/>
    <w:rsid w:val="00E02C6A"/>
    <w:rsid w:val="00E0358D"/>
    <w:rsid w:val="00E04323"/>
    <w:rsid w:val="00E0440C"/>
    <w:rsid w:val="00E05AB1"/>
    <w:rsid w:val="00E06367"/>
    <w:rsid w:val="00E070A2"/>
    <w:rsid w:val="00E075B2"/>
    <w:rsid w:val="00E12030"/>
    <w:rsid w:val="00E12327"/>
    <w:rsid w:val="00E12975"/>
    <w:rsid w:val="00E13312"/>
    <w:rsid w:val="00E144FD"/>
    <w:rsid w:val="00E15BDC"/>
    <w:rsid w:val="00E1628A"/>
    <w:rsid w:val="00E179F9"/>
    <w:rsid w:val="00E20C9C"/>
    <w:rsid w:val="00E21551"/>
    <w:rsid w:val="00E22000"/>
    <w:rsid w:val="00E225F5"/>
    <w:rsid w:val="00E22BA6"/>
    <w:rsid w:val="00E236F4"/>
    <w:rsid w:val="00E251DD"/>
    <w:rsid w:val="00E2656A"/>
    <w:rsid w:val="00E2691D"/>
    <w:rsid w:val="00E26C01"/>
    <w:rsid w:val="00E300A6"/>
    <w:rsid w:val="00E30445"/>
    <w:rsid w:val="00E308B1"/>
    <w:rsid w:val="00E31196"/>
    <w:rsid w:val="00E318F5"/>
    <w:rsid w:val="00E32DD7"/>
    <w:rsid w:val="00E33762"/>
    <w:rsid w:val="00E337A7"/>
    <w:rsid w:val="00E36A87"/>
    <w:rsid w:val="00E36B13"/>
    <w:rsid w:val="00E37A12"/>
    <w:rsid w:val="00E41280"/>
    <w:rsid w:val="00E412D0"/>
    <w:rsid w:val="00E4233D"/>
    <w:rsid w:val="00E43010"/>
    <w:rsid w:val="00E44800"/>
    <w:rsid w:val="00E46A75"/>
    <w:rsid w:val="00E47269"/>
    <w:rsid w:val="00E47FF8"/>
    <w:rsid w:val="00E51797"/>
    <w:rsid w:val="00E51961"/>
    <w:rsid w:val="00E52B0B"/>
    <w:rsid w:val="00E52EE4"/>
    <w:rsid w:val="00E530E2"/>
    <w:rsid w:val="00E535AA"/>
    <w:rsid w:val="00E53FBE"/>
    <w:rsid w:val="00E56322"/>
    <w:rsid w:val="00E56FE9"/>
    <w:rsid w:val="00E572D9"/>
    <w:rsid w:val="00E60982"/>
    <w:rsid w:val="00E611F6"/>
    <w:rsid w:val="00E61558"/>
    <w:rsid w:val="00E62902"/>
    <w:rsid w:val="00E62C62"/>
    <w:rsid w:val="00E63BA8"/>
    <w:rsid w:val="00E654C1"/>
    <w:rsid w:val="00E65D97"/>
    <w:rsid w:val="00E66924"/>
    <w:rsid w:val="00E705FA"/>
    <w:rsid w:val="00E70771"/>
    <w:rsid w:val="00E70A6B"/>
    <w:rsid w:val="00E70C7F"/>
    <w:rsid w:val="00E72177"/>
    <w:rsid w:val="00E72A5A"/>
    <w:rsid w:val="00E73354"/>
    <w:rsid w:val="00E749F2"/>
    <w:rsid w:val="00E74C4C"/>
    <w:rsid w:val="00E74D63"/>
    <w:rsid w:val="00E75454"/>
    <w:rsid w:val="00E75E8C"/>
    <w:rsid w:val="00E80449"/>
    <w:rsid w:val="00E80FF8"/>
    <w:rsid w:val="00E810C5"/>
    <w:rsid w:val="00E81832"/>
    <w:rsid w:val="00E854B9"/>
    <w:rsid w:val="00E85F1E"/>
    <w:rsid w:val="00E870A9"/>
    <w:rsid w:val="00E90134"/>
    <w:rsid w:val="00E90331"/>
    <w:rsid w:val="00E9242D"/>
    <w:rsid w:val="00E94410"/>
    <w:rsid w:val="00E961F2"/>
    <w:rsid w:val="00E9783B"/>
    <w:rsid w:val="00E97B10"/>
    <w:rsid w:val="00E97C2F"/>
    <w:rsid w:val="00E97EC7"/>
    <w:rsid w:val="00EA0CC7"/>
    <w:rsid w:val="00EA1627"/>
    <w:rsid w:val="00EA38E8"/>
    <w:rsid w:val="00EA3EA7"/>
    <w:rsid w:val="00EA46F3"/>
    <w:rsid w:val="00EA4C35"/>
    <w:rsid w:val="00EA4D56"/>
    <w:rsid w:val="00EA4EB8"/>
    <w:rsid w:val="00EA6131"/>
    <w:rsid w:val="00EB0F20"/>
    <w:rsid w:val="00EB2AFF"/>
    <w:rsid w:val="00EB31E8"/>
    <w:rsid w:val="00EB3B68"/>
    <w:rsid w:val="00EB5255"/>
    <w:rsid w:val="00EB5C47"/>
    <w:rsid w:val="00EB5EC9"/>
    <w:rsid w:val="00EB712C"/>
    <w:rsid w:val="00EC1F5F"/>
    <w:rsid w:val="00EC2D3D"/>
    <w:rsid w:val="00EC3578"/>
    <w:rsid w:val="00EC452F"/>
    <w:rsid w:val="00EC48B4"/>
    <w:rsid w:val="00EC4CB9"/>
    <w:rsid w:val="00EC4EAA"/>
    <w:rsid w:val="00EC549B"/>
    <w:rsid w:val="00EC6793"/>
    <w:rsid w:val="00EC702E"/>
    <w:rsid w:val="00ED0639"/>
    <w:rsid w:val="00ED175A"/>
    <w:rsid w:val="00ED2C87"/>
    <w:rsid w:val="00ED34B6"/>
    <w:rsid w:val="00ED35FC"/>
    <w:rsid w:val="00ED450D"/>
    <w:rsid w:val="00ED4C6F"/>
    <w:rsid w:val="00ED7263"/>
    <w:rsid w:val="00EE0F5F"/>
    <w:rsid w:val="00EE556A"/>
    <w:rsid w:val="00EE76BE"/>
    <w:rsid w:val="00EF398F"/>
    <w:rsid w:val="00EF4755"/>
    <w:rsid w:val="00EF4BDC"/>
    <w:rsid w:val="00EF59AD"/>
    <w:rsid w:val="00EF7135"/>
    <w:rsid w:val="00EF73DB"/>
    <w:rsid w:val="00F00316"/>
    <w:rsid w:val="00F026C7"/>
    <w:rsid w:val="00F027DB"/>
    <w:rsid w:val="00F037FB"/>
    <w:rsid w:val="00F042A7"/>
    <w:rsid w:val="00F05508"/>
    <w:rsid w:val="00F062A0"/>
    <w:rsid w:val="00F06465"/>
    <w:rsid w:val="00F06FDE"/>
    <w:rsid w:val="00F11006"/>
    <w:rsid w:val="00F11CF0"/>
    <w:rsid w:val="00F12507"/>
    <w:rsid w:val="00F1333F"/>
    <w:rsid w:val="00F141BE"/>
    <w:rsid w:val="00F1488E"/>
    <w:rsid w:val="00F14A7A"/>
    <w:rsid w:val="00F17584"/>
    <w:rsid w:val="00F22985"/>
    <w:rsid w:val="00F2501A"/>
    <w:rsid w:val="00F27424"/>
    <w:rsid w:val="00F312C9"/>
    <w:rsid w:val="00F31349"/>
    <w:rsid w:val="00F3383E"/>
    <w:rsid w:val="00F341C9"/>
    <w:rsid w:val="00F343CC"/>
    <w:rsid w:val="00F34A02"/>
    <w:rsid w:val="00F43C7C"/>
    <w:rsid w:val="00F43D65"/>
    <w:rsid w:val="00F45AF6"/>
    <w:rsid w:val="00F46407"/>
    <w:rsid w:val="00F465A7"/>
    <w:rsid w:val="00F46EE2"/>
    <w:rsid w:val="00F46F3E"/>
    <w:rsid w:val="00F50B7C"/>
    <w:rsid w:val="00F5134C"/>
    <w:rsid w:val="00F5361B"/>
    <w:rsid w:val="00F550E6"/>
    <w:rsid w:val="00F564B0"/>
    <w:rsid w:val="00F5773A"/>
    <w:rsid w:val="00F57DB3"/>
    <w:rsid w:val="00F57F52"/>
    <w:rsid w:val="00F60170"/>
    <w:rsid w:val="00F606C8"/>
    <w:rsid w:val="00F61CC5"/>
    <w:rsid w:val="00F61E71"/>
    <w:rsid w:val="00F633E6"/>
    <w:rsid w:val="00F634D2"/>
    <w:rsid w:val="00F6429A"/>
    <w:rsid w:val="00F654B4"/>
    <w:rsid w:val="00F671F5"/>
    <w:rsid w:val="00F67FA2"/>
    <w:rsid w:val="00F70CCE"/>
    <w:rsid w:val="00F71CB9"/>
    <w:rsid w:val="00F74345"/>
    <w:rsid w:val="00F745E3"/>
    <w:rsid w:val="00F7622A"/>
    <w:rsid w:val="00F806CC"/>
    <w:rsid w:val="00F8081D"/>
    <w:rsid w:val="00F80A0A"/>
    <w:rsid w:val="00F8123A"/>
    <w:rsid w:val="00F815DA"/>
    <w:rsid w:val="00F81913"/>
    <w:rsid w:val="00F81D45"/>
    <w:rsid w:val="00F8293F"/>
    <w:rsid w:val="00F82B19"/>
    <w:rsid w:val="00F839D4"/>
    <w:rsid w:val="00F8614E"/>
    <w:rsid w:val="00F8616D"/>
    <w:rsid w:val="00F86D3F"/>
    <w:rsid w:val="00F87915"/>
    <w:rsid w:val="00F91632"/>
    <w:rsid w:val="00F9212D"/>
    <w:rsid w:val="00F9269A"/>
    <w:rsid w:val="00F94712"/>
    <w:rsid w:val="00F94CEE"/>
    <w:rsid w:val="00F94F94"/>
    <w:rsid w:val="00F965DA"/>
    <w:rsid w:val="00F966E2"/>
    <w:rsid w:val="00F96A9A"/>
    <w:rsid w:val="00F96B36"/>
    <w:rsid w:val="00F96D7A"/>
    <w:rsid w:val="00FA1E55"/>
    <w:rsid w:val="00FA3315"/>
    <w:rsid w:val="00FA3EDC"/>
    <w:rsid w:val="00FA406A"/>
    <w:rsid w:val="00FA6CF8"/>
    <w:rsid w:val="00FA7805"/>
    <w:rsid w:val="00FA7DA1"/>
    <w:rsid w:val="00FB0E23"/>
    <w:rsid w:val="00FB1A1A"/>
    <w:rsid w:val="00FB28D2"/>
    <w:rsid w:val="00FB2932"/>
    <w:rsid w:val="00FB2DC0"/>
    <w:rsid w:val="00FB32AF"/>
    <w:rsid w:val="00FB503A"/>
    <w:rsid w:val="00FB516C"/>
    <w:rsid w:val="00FB7CC4"/>
    <w:rsid w:val="00FC0F2F"/>
    <w:rsid w:val="00FC195E"/>
    <w:rsid w:val="00FC3D00"/>
    <w:rsid w:val="00FC4552"/>
    <w:rsid w:val="00FC4C50"/>
    <w:rsid w:val="00FC5631"/>
    <w:rsid w:val="00FC59C5"/>
    <w:rsid w:val="00FD00EB"/>
    <w:rsid w:val="00FD0236"/>
    <w:rsid w:val="00FD0356"/>
    <w:rsid w:val="00FD18F4"/>
    <w:rsid w:val="00FD2AA7"/>
    <w:rsid w:val="00FD4B8C"/>
    <w:rsid w:val="00FD54DB"/>
    <w:rsid w:val="00FD59A6"/>
    <w:rsid w:val="00FD5DC0"/>
    <w:rsid w:val="00FD619F"/>
    <w:rsid w:val="00FD67D3"/>
    <w:rsid w:val="00FE00E0"/>
    <w:rsid w:val="00FE013F"/>
    <w:rsid w:val="00FE0219"/>
    <w:rsid w:val="00FE16BA"/>
    <w:rsid w:val="00FE1919"/>
    <w:rsid w:val="00FE3BD8"/>
    <w:rsid w:val="00FF22F9"/>
    <w:rsid w:val="00FF298C"/>
    <w:rsid w:val="00FF3B16"/>
    <w:rsid w:val="00FF4F75"/>
    <w:rsid w:val="00FF512F"/>
    <w:rsid w:val="00FF61A3"/>
    <w:rsid w:val="00FF7006"/>
    <w:rsid w:val="00FF7078"/>
    <w:rsid w:val="00FF7745"/>
    <w:rsid w:val="00FF7DCD"/>
    <w:rsid w:val="01290F7E"/>
    <w:rsid w:val="013C2082"/>
    <w:rsid w:val="015D1E09"/>
    <w:rsid w:val="02697903"/>
    <w:rsid w:val="02F96569"/>
    <w:rsid w:val="0323612F"/>
    <w:rsid w:val="038808C0"/>
    <w:rsid w:val="03EA7B21"/>
    <w:rsid w:val="05F83EAE"/>
    <w:rsid w:val="063E7D85"/>
    <w:rsid w:val="06B46F0A"/>
    <w:rsid w:val="070941AB"/>
    <w:rsid w:val="071A0C9D"/>
    <w:rsid w:val="071E2464"/>
    <w:rsid w:val="07293586"/>
    <w:rsid w:val="07295285"/>
    <w:rsid w:val="07636392"/>
    <w:rsid w:val="07770C56"/>
    <w:rsid w:val="07B56BF8"/>
    <w:rsid w:val="086906B8"/>
    <w:rsid w:val="08E335FC"/>
    <w:rsid w:val="092217DD"/>
    <w:rsid w:val="093A7294"/>
    <w:rsid w:val="0A2014E0"/>
    <w:rsid w:val="0A263993"/>
    <w:rsid w:val="0A2D3AC2"/>
    <w:rsid w:val="0AA755DF"/>
    <w:rsid w:val="0B120D44"/>
    <w:rsid w:val="0BD27BF6"/>
    <w:rsid w:val="0C291D6B"/>
    <w:rsid w:val="0C3B3C7D"/>
    <w:rsid w:val="0CAB2EAE"/>
    <w:rsid w:val="0CD76A2F"/>
    <w:rsid w:val="0D582DDE"/>
    <w:rsid w:val="0D621C7D"/>
    <w:rsid w:val="0E73034D"/>
    <w:rsid w:val="0EE75144"/>
    <w:rsid w:val="0EFA44F5"/>
    <w:rsid w:val="0F115557"/>
    <w:rsid w:val="0F13775A"/>
    <w:rsid w:val="0F5F45FE"/>
    <w:rsid w:val="0F9A112B"/>
    <w:rsid w:val="10596FD1"/>
    <w:rsid w:val="106D2F64"/>
    <w:rsid w:val="108D68D7"/>
    <w:rsid w:val="109103B5"/>
    <w:rsid w:val="10B63710"/>
    <w:rsid w:val="10CD04E0"/>
    <w:rsid w:val="10F10820"/>
    <w:rsid w:val="111C2F7A"/>
    <w:rsid w:val="11665CA1"/>
    <w:rsid w:val="11944CD7"/>
    <w:rsid w:val="138E7397"/>
    <w:rsid w:val="13951726"/>
    <w:rsid w:val="14396509"/>
    <w:rsid w:val="14DD2C3C"/>
    <w:rsid w:val="15840621"/>
    <w:rsid w:val="16087E1D"/>
    <w:rsid w:val="166E5E67"/>
    <w:rsid w:val="16B37253"/>
    <w:rsid w:val="174A4C50"/>
    <w:rsid w:val="17701D14"/>
    <w:rsid w:val="17735226"/>
    <w:rsid w:val="17AD3F41"/>
    <w:rsid w:val="189F624C"/>
    <w:rsid w:val="191E2C15"/>
    <w:rsid w:val="194849DD"/>
    <w:rsid w:val="1A1C66C0"/>
    <w:rsid w:val="1A42393B"/>
    <w:rsid w:val="1AAA171E"/>
    <w:rsid w:val="1AAD45DE"/>
    <w:rsid w:val="1AED2293"/>
    <w:rsid w:val="1B046F80"/>
    <w:rsid w:val="1B2D5148"/>
    <w:rsid w:val="1B3267B5"/>
    <w:rsid w:val="1B40161D"/>
    <w:rsid w:val="1B441859"/>
    <w:rsid w:val="1B6606B1"/>
    <w:rsid w:val="1BCB26F3"/>
    <w:rsid w:val="1C5E7925"/>
    <w:rsid w:val="1CFD070F"/>
    <w:rsid w:val="1D114798"/>
    <w:rsid w:val="1D5F6196"/>
    <w:rsid w:val="1D6132A5"/>
    <w:rsid w:val="1D79668D"/>
    <w:rsid w:val="1D8E56D5"/>
    <w:rsid w:val="1E30266B"/>
    <w:rsid w:val="1E7A43DA"/>
    <w:rsid w:val="1F436D03"/>
    <w:rsid w:val="1FE7539E"/>
    <w:rsid w:val="20671BE0"/>
    <w:rsid w:val="20963CB8"/>
    <w:rsid w:val="20A81A1B"/>
    <w:rsid w:val="20B07FB6"/>
    <w:rsid w:val="20B646FB"/>
    <w:rsid w:val="213B74B1"/>
    <w:rsid w:val="215A2310"/>
    <w:rsid w:val="21DE318A"/>
    <w:rsid w:val="21EF5B80"/>
    <w:rsid w:val="22576990"/>
    <w:rsid w:val="22605E1F"/>
    <w:rsid w:val="22F47480"/>
    <w:rsid w:val="231620BA"/>
    <w:rsid w:val="238C55B7"/>
    <w:rsid w:val="23DE1C48"/>
    <w:rsid w:val="240210CD"/>
    <w:rsid w:val="245E5E4E"/>
    <w:rsid w:val="24BF09F7"/>
    <w:rsid w:val="252D53FE"/>
    <w:rsid w:val="25EC2D81"/>
    <w:rsid w:val="26013EF7"/>
    <w:rsid w:val="27677F3A"/>
    <w:rsid w:val="277057A2"/>
    <w:rsid w:val="28D1587C"/>
    <w:rsid w:val="29206EB8"/>
    <w:rsid w:val="29595666"/>
    <w:rsid w:val="295B32E9"/>
    <w:rsid w:val="29874881"/>
    <w:rsid w:val="29E325E0"/>
    <w:rsid w:val="29F716B8"/>
    <w:rsid w:val="2A452503"/>
    <w:rsid w:val="2B652558"/>
    <w:rsid w:val="2BA936A8"/>
    <w:rsid w:val="2C026DC2"/>
    <w:rsid w:val="2C315A5A"/>
    <w:rsid w:val="2C3F2913"/>
    <w:rsid w:val="2C4B1C25"/>
    <w:rsid w:val="2D9E56F5"/>
    <w:rsid w:val="2E060399"/>
    <w:rsid w:val="2E667F96"/>
    <w:rsid w:val="2E8226AB"/>
    <w:rsid w:val="2EE441DB"/>
    <w:rsid w:val="2F1256AC"/>
    <w:rsid w:val="2FD065E6"/>
    <w:rsid w:val="2FD96870"/>
    <w:rsid w:val="30580BC9"/>
    <w:rsid w:val="311E2ED7"/>
    <w:rsid w:val="315619EE"/>
    <w:rsid w:val="315C449C"/>
    <w:rsid w:val="31B82709"/>
    <w:rsid w:val="31D05482"/>
    <w:rsid w:val="320E589E"/>
    <w:rsid w:val="322A2024"/>
    <w:rsid w:val="32400B34"/>
    <w:rsid w:val="327057EC"/>
    <w:rsid w:val="329E6876"/>
    <w:rsid w:val="333015F2"/>
    <w:rsid w:val="334B6320"/>
    <w:rsid w:val="33D934D4"/>
    <w:rsid w:val="33FE2F6A"/>
    <w:rsid w:val="340E07E5"/>
    <w:rsid w:val="34235BF7"/>
    <w:rsid w:val="34962906"/>
    <w:rsid w:val="34E27E14"/>
    <w:rsid w:val="35212E1A"/>
    <w:rsid w:val="35876904"/>
    <w:rsid w:val="358C5FA8"/>
    <w:rsid w:val="35C15DF1"/>
    <w:rsid w:val="36074A7F"/>
    <w:rsid w:val="36923549"/>
    <w:rsid w:val="36B75FBF"/>
    <w:rsid w:val="36BD0C45"/>
    <w:rsid w:val="36CE6514"/>
    <w:rsid w:val="37E00298"/>
    <w:rsid w:val="38B302F9"/>
    <w:rsid w:val="38BC585D"/>
    <w:rsid w:val="38F12CD3"/>
    <w:rsid w:val="38F94775"/>
    <w:rsid w:val="39154A28"/>
    <w:rsid w:val="392971ED"/>
    <w:rsid w:val="39325651"/>
    <w:rsid w:val="3A872856"/>
    <w:rsid w:val="3B3763D1"/>
    <w:rsid w:val="3BF90BB6"/>
    <w:rsid w:val="3C2F6E1E"/>
    <w:rsid w:val="3C4F64BA"/>
    <w:rsid w:val="3CC6680F"/>
    <w:rsid w:val="3CDA245A"/>
    <w:rsid w:val="3D1E06B7"/>
    <w:rsid w:val="3D44750D"/>
    <w:rsid w:val="3E880014"/>
    <w:rsid w:val="3EDA0523"/>
    <w:rsid w:val="3F4F432A"/>
    <w:rsid w:val="3F7E3265"/>
    <w:rsid w:val="407A6407"/>
    <w:rsid w:val="416609A3"/>
    <w:rsid w:val="4200449D"/>
    <w:rsid w:val="423A3BCC"/>
    <w:rsid w:val="424E57D2"/>
    <w:rsid w:val="42B26C49"/>
    <w:rsid w:val="430D3026"/>
    <w:rsid w:val="433A6FE6"/>
    <w:rsid w:val="43480868"/>
    <w:rsid w:val="4350713C"/>
    <w:rsid w:val="436653E0"/>
    <w:rsid w:val="43C4431A"/>
    <w:rsid w:val="44991C5A"/>
    <w:rsid w:val="44B951CC"/>
    <w:rsid w:val="44CD14E0"/>
    <w:rsid w:val="44F20B0B"/>
    <w:rsid w:val="45005DF7"/>
    <w:rsid w:val="452738D6"/>
    <w:rsid w:val="452E5F4C"/>
    <w:rsid w:val="45612018"/>
    <w:rsid w:val="458946E9"/>
    <w:rsid w:val="45A47C0E"/>
    <w:rsid w:val="461A18C0"/>
    <w:rsid w:val="461B6832"/>
    <w:rsid w:val="461F1E7A"/>
    <w:rsid w:val="46394C1C"/>
    <w:rsid w:val="46577FD6"/>
    <w:rsid w:val="46D955A7"/>
    <w:rsid w:val="47133957"/>
    <w:rsid w:val="47A07E0C"/>
    <w:rsid w:val="4870272E"/>
    <w:rsid w:val="49491536"/>
    <w:rsid w:val="49DC7715"/>
    <w:rsid w:val="4A023139"/>
    <w:rsid w:val="4A23435A"/>
    <w:rsid w:val="4A7B576F"/>
    <w:rsid w:val="4A862DEE"/>
    <w:rsid w:val="4AAA77D0"/>
    <w:rsid w:val="4AF561A9"/>
    <w:rsid w:val="4B334EE2"/>
    <w:rsid w:val="4B707FF2"/>
    <w:rsid w:val="4B931AB7"/>
    <w:rsid w:val="4C4A0649"/>
    <w:rsid w:val="4C7E5ECA"/>
    <w:rsid w:val="4C876AA5"/>
    <w:rsid w:val="4C9C6CDC"/>
    <w:rsid w:val="4D0E00FB"/>
    <w:rsid w:val="4D176606"/>
    <w:rsid w:val="4DEC4FB0"/>
    <w:rsid w:val="4E075D8A"/>
    <w:rsid w:val="4EC00FAD"/>
    <w:rsid w:val="4F2E264F"/>
    <w:rsid w:val="4F3568D3"/>
    <w:rsid w:val="4F9843DC"/>
    <w:rsid w:val="4FC43C13"/>
    <w:rsid w:val="4FC62A8C"/>
    <w:rsid w:val="4FE20F0D"/>
    <w:rsid w:val="4FE51552"/>
    <w:rsid w:val="50504C4B"/>
    <w:rsid w:val="509C6E7C"/>
    <w:rsid w:val="50B01460"/>
    <w:rsid w:val="5162104E"/>
    <w:rsid w:val="528D3FD5"/>
    <w:rsid w:val="52DD49F1"/>
    <w:rsid w:val="5384798A"/>
    <w:rsid w:val="53A039CC"/>
    <w:rsid w:val="53A1505A"/>
    <w:rsid w:val="54063E08"/>
    <w:rsid w:val="543437E8"/>
    <w:rsid w:val="54F73313"/>
    <w:rsid w:val="54F80955"/>
    <w:rsid w:val="555170A7"/>
    <w:rsid w:val="5587536D"/>
    <w:rsid w:val="559B174B"/>
    <w:rsid w:val="55CE0CF4"/>
    <w:rsid w:val="56B22A9C"/>
    <w:rsid w:val="56C770A9"/>
    <w:rsid w:val="57B72A76"/>
    <w:rsid w:val="57C3426C"/>
    <w:rsid w:val="57CE1F93"/>
    <w:rsid w:val="57D360F0"/>
    <w:rsid w:val="588743D1"/>
    <w:rsid w:val="5887701A"/>
    <w:rsid w:val="5916374F"/>
    <w:rsid w:val="59C0439F"/>
    <w:rsid w:val="59CE38A5"/>
    <w:rsid w:val="5A8B06DF"/>
    <w:rsid w:val="5ABE2233"/>
    <w:rsid w:val="5B8E7E22"/>
    <w:rsid w:val="5BDF5D95"/>
    <w:rsid w:val="5BFE7528"/>
    <w:rsid w:val="5D386F40"/>
    <w:rsid w:val="5D911E45"/>
    <w:rsid w:val="5D9D7425"/>
    <w:rsid w:val="5E2467F1"/>
    <w:rsid w:val="5E455A43"/>
    <w:rsid w:val="5EDF1B9D"/>
    <w:rsid w:val="5EEA2FB3"/>
    <w:rsid w:val="5F1A2B43"/>
    <w:rsid w:val="5F2D57BD"/>
    <w:rsid w:val="5FB837BB"/>
    <w:rsid w:val="5FF3221F"/>
    <w:rsid w:val="600A6253"/>
    <w:rsid w:val="60CC405A"/>
    <w:rsid w:val="61E215D8"/>
    <w:rsid w:val="621B3775"/>
    <w:rsid w:val="62364782"/>
    <w:rsid w:val="63572F04"/>
    <w:rsid w:val="6394356A"/>
    <w:rsid w:val="63C61B2C"/>
    <w:rsid w:val="63D40BE9"/>
    <w:rsid w:val="64102431"/>
    <w:rsid w:val="64184637"/>
    <w:rsid w:val="646602ED"/>
    <w:rsid w:val="64A5243A"/>
    <w:rsid w:val="64F531DE"/>
    <w:rsid w:val="65373578"/>
    <w:rsid w:val="671F124A"/>
    <w:rsid w:val="677A33C6"/>
    <w:rsid w:val="679C08CE"/>
    <w:rsid w:val="681F6961"/>
    <w:rsid w:val="68610A2F"/>
    <w:rsid w:val="68805514"/>
    <w:rsid w:val="68D66D9C"/>
    <w:rsid w:val="69316E2F"/>
    <w:rsid w:val="694E2071"/>
    <w:rsid w:val="69735642"/>
    <w:rsid w:val="69766163"/>
    <w:rsid w:val="697A3B33"/>
    <w:rsid w:val="69A64809"/>
    <w:rsid w:val="69D44760"/>
    <w:rsid w:val="6A437F39"/>
    <w:rsid w:val="6A520EC7"/>
    <w:rsid w:val="6AF87E20"/>
    <w:rsid w:val="6B322639"/>
    <w:rsid w:val="6C636C38"/>
    <w:rsid w:val="6DB34098"/>
    <w:rsid w:val="6DB545B6"/>
    <w:rsid w:val="6DE02FB4"/>
    <w:rsid w:val="6E514CED"/>
    <w:rsid w:val="6EB563D5"/>
    <w:rsid w:val="6ED92677"/>
    <w:rsid w:val="6F225983"/>
    <w:rsid w:val="6FCF7E8B"/>
    <w:rsid w:val="6FFC5590"/>
    <w:rsid w:val="706D1DD0"/>
    <w:rsid w:val="70856B87"/>
    <w:rsid w:val="70D527EE"/>
    <w:rsid w:val="711F2CA7"/>
    <w:rsid w:val="715B5300"/>
    <w:rsid w:val="71D27F8A"/>
    <w:rsid w:val="72553024"/>
    <w:rsid w:val="73122968"/>
    <w:rsid w:val="731F5D5E"/>
    <w:rsid w:val="73C51AD5"/>
    <w:rsid w:val="741E793C"/>
    <w:rsid w:val="745E3944"/>
    <w:rsid w:val="75C802D4"/>
    <w:rsid w:val="7635099D"/>
    <w:rsid w:val="76971282"/>
    <w:rsid w:val="76B67583"/>
    <w:rsid w:val="76B93742"/>
    <w:rsid w:val="77762421"/>
    <w:rsid w:val="778551E5"/>
    <w:rsid w:val="77B56B1F"/>
    <w:rsid w:val="780F09F4"/>
    <w:rsid w:val="78A90480"/>
    <w:rsid w:val="78EE7727"/>
    <w:rsid w:val="7A364017"/>
    <w:rsid w:val="7A4E4C3A"/>
    <w:rsid w:val="7A8265E1"/>
    <w:rsid w:val="7B686D42"/>
    <w:rsid w:val="7B841746"/>
    <w:rsid w:val="7BB51930"/>
    <w:rsid w:val="7C6C5AC7"/>
    <w:rsid w:val="7CC6544B"/>
    <w:rsid w:val="7D0239FF"/>
    <w:rsid w:val="7D5E40CD"/>
    <w:rsid w:val="7DCD56F2"/>
    <w:rsid w:val="7EBA1DEF"/>
    <w:rsid w:val="7F001CE7"/>
    <w:rsid w:val="7FA55449"/>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iPriority="0" w:name="heading 3" w:locked="1"/>
    <w:lsdException w:qFormat="1" w:uiPriority="0" w:name="heading 4" w:locked="1"/>
    <w:lsdException w:qFormat="1" w:unhideWhenUsed="0" w:uiPriority="0" w:semiHidden="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99" w:semiHidden="0" w:name="header"/>
    <w:lsdException w:qFormat="1" w:unhideWhenUsed="0" w:uiPriority="99" w:semiHidden="0" w:name="footer"/>
    <w:lsdException w:qFormat="1"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qFormat="1"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unhideWhenUsed="0" w:uiPriority="0" w:semiHidden="0" w:name="Body Text First Indent" w:locked="1"/>
    <w:lsdException w:unhideWhenUsed="0" w:uiPriority="0" w:semiHidden="0" w:name="Body Text First Indent 2" w:locked="1"/>
    <w:lsdException w:unhideWhenUsed="0" w:uiPriority="0" w:semiHidden="0" w:name="Note Heading" w:locked="1"/>
    <w:lsdException w:qFormat="1" w:uiPriority="99" w:semiHidden="0" w:name="Body Text 2" w:locked="1"/>
    <w:lsdException w:unhideWhenUsed="0" w:uiPriority="0" w:semiHidden="0" w:name="Body Text 3" w:locked="1"/>
    <w:lsdException w:qFormat="1" w:unhideWhenUsed="0" w:uiPriority="99" w:semiHidden="0" w:name="Body Text Indent 2" w:locked="1"/>
    <w:lsdException w:qFormat="1" w:uiPriority="0" w:semiHidden="0" w:name="Body Text Indent 3" w:locked="1"/>
    <w:lsdException w:unhideWhenUsed="0" w:uiPriority="0" w:semiHidden="0" w:name="Block Text" w:locked="1"/>
    <w:lsdException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qFormat/>
    <w:locked/>
    <w:uiPriority w:val="0"/>
    <w:pPr>
      <w:keepNext/>
      <w:outlineLvl w:val="1"/>
    </w:pPr>
    <w:rPr>
      <w:rFonts w:ascii="宋体" w:hAnsi="宋体"/>
      <w:sz w:val="28"/>
    </w:rPr>
  </w:style>
  <w:style w:type="paragraph" w:styleId="5">
    <w:name w:val="heading 5"/>
    <w:basedOn w:val="1"/>
    <w:next w:val="1"/>
    <w:link w:val="29"/>
    <w:qFormat/>
    <w:locked/>
    <w:uiPriority w:val="0"/>
    <w:pPr>
      <w:keepNext/>
      <w:keepLines/>
      <w:widowControl/>
      <w:spacing w:before="280" w:after="290" w:line="376" w:lineRule="auto"/>
      <w:jc w:val="left"/>
      <w:outlineLvl w:val="4"/>
    </w:pPr>
    <w:rPr>
      <w:rFonts w:ascii="Plotter" w:hAnsi="Plotter"/>
      <w:b/>
      <w:bCs/>
      <w:sz w:val="28"/>
      <w:szCs w:val="28"/>
    </w:rPr>
  </w:style>
  <w:style w:type="character" w:default="1" w:styleId="25">
    <w:name w:val="Default Paragraph Font"/>
    <w:semiHidden/>
    <w:qFormat/>
    <w:uiPriority w:val="0"/>
  </w:style>
  <w:style w:type="table" w:default="1" w:styleId="23">
    <w:name w:val="Normal Table"/>
    <w:semiHidden/>
    <w:qFormat/>
    <w:uiPriority w:val="0"/>
    <w:tblPr>
      <w:tblCellMar>
        <w:top w:w="0" w:type="dxa"/>
        <w:left w:w="108" w:type="dxa"/>
        <w:bottom w:w="0" w:type="dxa"/>
        <w:right w:w="108" w:type="dxa"/>
      </w:tblCellMar>
    </w:tblPr>
  </w:style>
  <w:style w:type="paragraph" w:styleId="2">
    <w:name w:val="Body Text"/>
    <w:basedOn w:val="1"/>
    <w:next w:val="1"/>
    <w:link w:val="28"/>
    <w:qFormat/>
    <w:uiPriority w:val="0"/>
    <w:pPr>
      <w:widowControl/>
      <w:snapToGrid w:val="0"/>
      <w:spacing w:before="60" w:after="160" w:line="259" w:lineRule="auto"/>
      <w:ind w:right="113"/>
    </w:pPr>
    <w:rPr>
      <w:kern w:val="0"/>
      <w:sz w:val="18"/>
      <w:szCs w:val="20"/>
    </w:rPr>
  </w:style>
  <w:style w:type="paragraph" w:styleId="6">
    <w:name w:val="Normal Indent"/>
    <w:basedOn w:val="1"/>
    <w:next w:val="1"/>
    <w:qFormat/>
    <w:locked/>
    <w:uiPriority w:val="0"/>
    <w:pPr>
      <w:ind w:firstLine="420" w:firstLineChars="200"/>
    </w:pPr>
  </w:style>
  <w:style w:type="paragraph" w:styleId="7">
    <w:name w:val="annotation text"/>
    <w:basedOn w:val="1"/>
    <w:link w:val="30"/>
    <w:semiHidden/>
    <w:qFormat/>
    <w:uiPriority w:val="0"/>
    <w:pPr>
      <w:jc w:val="left"/>
    </w:pPr>
    <w:rPr>
      <w:kern w:val="0"/>
      <w:sz w:val="24"/>
      <w:szCs w:val="20"/>
    </w:rPr>
  </w:style>
  <w:style w:type="paragraph" w:styleId="8">
    <w:name w:val="Body Text Indent"/>
    <w:basedOn w:val="1"/>
    <w:link w:val="31"/>
    <w:qFormat/>
    <w:uiPriority w:val="0"/>
    <w:pPr>
      <w:spacing w:after="120"/>
      <w:ind w:left="420" w:leftChars="200"/>
    </w:pPr>
    <w:rPr>
      <w:kern w:val="0"/>
      <w:sz w:val="24"/>
      <w:szCs w:val="20"/>
    </w:rPr>
  </w:style>
  <w:style w:type="paragraph" w:styleId="9">
    <w:name w:val="Plain Text"/>
    <w:basedOn w:val="1"/>
    <w:qFormat/>
    <w:locked/>
    <w:uiPriority w:val="0"/>
    <w:rPr>
      <w:rFonts w:ascii="宋体" w:hAnsi="Courier New"/>
      <w:kern w:val="0"/>
      <w:sz w:val="20"/>
      <w:szCs w:val="20"/>
    </w:rPr>
  </w:style>
  <w:style w:type="paragraph" w:styleId="10">
    <w:name w:val="Date"/>
    <w:basedOn w:val="1"/>
    <w:next w:val="1"/>
    <w:link w:val="32"/>
    <w:qFormat/>
    <w:uiPriority w:val="0"/>
    <w:pPr>
      <w:ind w:left="100" w:leftChars="2500"/>
    </w:pPr>
    <w:rPr>
      <w:kern w:val="0"/>
      <w:sz w:val="24"/>
      <w:szCs w:val="20"/>
    </w:rPr>
  </w:style>
  <w:style w:type="paragraph" w:styleId="11">
    <w:name w:val="Body Text Indent 2"/>
    <w:basedOn w:val="1"/>
    <w:qFormat/>
    <w:locked/>
    <w:uiPriority w:val="99"/>
    <w:pPr>
      <w:ind w:firstLine="420"/>
    </w:pPr>
    <w:rPr>
      <w:sz w:val="28"/>
    </w:rPr>
  </w:style>
  <w:style w:type="paragraph" w:styleId="12">
    <w:name w:val="Balloon Text"/>
    <w:basedOn w:val="1"/>
    <w:link w:val="33"/>
    <w:semiHidden/>
    <w:qFormat/>
    <w:uiPriority w:val="0"/>
    <w:rPr>
      <w:kern w:val="0"/>
      <w:sz w:val="18"/>
      <w:szCs w:val="20"/>
    </w:rPr>
  </w:style>
  <w:style w:type="paragraph" w:styleId="13">
    <w:name w:val="footer"/>
    <w:basedOn w:val="1"/>
    <w:link w:val="34"/>
    <w:qFormat/>
    <w:uiPriority w:val="99"/>
    <w:pPr>
      <w:tabs>
        <w:tab w:val="center" w:pos="4153"/>
        <w:tab w:val="right" w:pos="8306"/>
      </w:tabs>
      <w:snapToGrid w:val="0"/>
      <w:jc w:val="left"/>
    </w:pPr>
    <w:rPr>
      <w:kern w:val="0"/>
      <w:sz w:val="18"/>
      <w:szCs w:val="20"/>
    </w:rPr>
  </w:style>
  <w:style w:type="paragraph" w:styleId="14">
    <w:name w:val="header"/>
    <w:basedOn w:val="1"/>
    <w:link w:val="35"/>
    <w:qFormat/>
    <w:uiPriority w:val="99"/>
    <w:pPr>
      <w:pBdr>
        <w:bottom w:val="single" w:color="auto" w:sz="6" w:space="1"/>
      </w:pBdr>
      <w:tabs>
        <w:tab w:val="center" w:pos="4153"/>
        <w:tab w:val="right" w:pos="8306"/>
      </w:tabs>
      <w:snapToGrid w:val="0"/>
      <w:jc w:val="center"/>
    </w:pPr>
    <w:rPr>
      <w:kern w:val="0"/>
      <w:sz w:val="18"/>
      <w:szCs w:val="20"/>
    </w:rPr>
  </w:style>
  <w:style w:type="paragraph" w:styleId="15">
    <w:name w:val="toc 1"/>
    <w:basedOn w:val="1"/>
    <w:next w:val="1"/>
    <w:qFormat/>
    <w:locked/>
    <w:uiPriority w:val="0"/>
    <w:pPr>
      <w:spacing w:before="120" w:after="120"/>
      <w:jc w:val="left"/>
    </w:pPr>
    <w:rPr>
      <w:b/>
      <w:bCs/>
      <w:caps/>
      <w:sz w:val="20"/>
      <w:szCs w:val="20"/>
    </w:rPr>
  </w:style>
  <w:style w:type="paragraph" w:styleId="16">
    <w:name w:val="index heading"/>
    <w:basedOn w:val="1"/>
    <w:next w:val="17"/>
    <w:qFormat/>
    <w:locked/>
    <w:uiPriority w:val="0"/>
    <w:rPr>
      <w:rFonts w:ascii="Arial" w:hAnsi="Arial" w:cs="Arial"/>
      <w:b/>
      <w:bCs/>
      <w:szCs w:val="21"/>
    </w:rPr>
  </w:style>
  <w:style w:type="paragraph" w:styleId="17">
    <w:name w:val="index 1"/>
    <w:basedOn w:val="1"/>
    <w:next w:val="1"/>
    <w:unhideWhenUsed/>
    <w:qFormat/>
    <w:locked/>
    <w:uiPriority w:val="99"/>
    <w:rPr>
      <w:szCs w:val="22"/>
    </w:rPr>
  </w:style>
  <w:style w:type="paragraph" w:styleId="18">
    <w:name w:val="Body Text Indent 3"/>
    <w:basedOn w:val="1"/>
    <w:unhideWhenUsed/>
    <w:qFormat/>
    <w:locked/>
    <w:uiPriority w:val="0"/>
    <w:pPr>
      <w:spacing w:after="120"/>
      <w:ind w:left="420" w:leftChars="200"/>
    </w:pPr>
    <w:rPr>
      <w:sz w:val="16"/>
      <w:szCs w:val="16"/>
    </w:rPr>
  </w:style>
  <w:style w:type="paragraph" w:styleId="19">
    <w:name w:val="Body Text 2"/>
    <w:basedOn w:val="1"/>
    <w:unhideWhenUsed/>
    <w:qFormat/>
    <w:locked/>
    <w:uiPriority w:val="99"/>
    <w:pPr>
      <w:spacing w:after="120" w:line="480" w:lineRule="auto"/>
    </w:pPr>
  </w:style>
  <w:style w:type="paragraph" w:styleId="20">
    <w:name w:val="Message Header"/>
    <w:basedOn w:val="1"/>
    <w:qFormat/>
    <w:locked/>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sz w:val="24"/>
    </w:rPr>
  </w:style>
  <w:style w:type="paragraph" w:styleId="21">
    <w:name w:val="Normal (Web)"/>
    <w:basedOn w:val="1"/>
    <w:link w:val="36"/>
    <w:qFormat/>
    <w:uiPriority w:val="0"/>
    <w:pPr>
      <w:widowControl/>
      <w:spacing w:before="100" w:beforeAutospacing="1" w:after="100" w:afterAutospacing="1"/>
      <w:jc w:val="left"/>
    </w:pPr>
    <w:rPr>
      <w:rFonts w:ascii="宋体" w:hAnsi="宋体"/>
      <w:kern w:val="0"/>
      <w:sz w:val="24"/>
      <w:szCs w:val="20"/>
    </w:rPr>
  </w:style>
  <w:style w:type="paragraph" w:styleId="22">
    <w:name w:val="annotation subject"/>
    <w:basedOn w:val="7"/>
    <w:next w:val="7"/>
    <w:link w:val="37"/>
    <w:semiHidden/>
    <w:qFormat/>
    <w:uiPriority w:val="0"/>
    <w:rPr>
      <w:b/>
      <w:kern w:val="2"/>
    </w:rPr>
  </w:style>
  <w:style w:type="table" w:styleId="24">
    <w:name w:val="Table Grid"/>
    <w:basedOn w:val="2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6">
    <w:name w:val="page number"/>
    <w:qFormat/>
    <w:locked/>
    <w:uiPriority w:val="0"/>
  </w:style>
  <w:style w:type="character" w:styleId="27">
    <w:name w:val="annotation reference"/>
    <w:semiHidden/>
    <w:qFormat/>
    <w:uiPriority w:val="0"/>
    <w:rPr>
      <w:sz w:val="21"/>
    </w:rPr>
  </w:style>
  <w:style w:type="character" w:customStyle="1" w:styleId="28">
    <w:name w:val="正文文本 Char"/>
    <w:link w:val="2"/>
    <w:qFormat/>
    <w:locked/>
    <w:uiPriority w:val="0"/>
    <w:rPr>
      <w:sz w:val="18"/>
    </w:rPr>
  </w:style>
  <w:style w:type="character" w:customStyle="1" w:styleId="29">
    <w:name w:val="标题 5 Char"/>
    <w:link w:val="5"/>
    <w:qFormat/>
    <w:uiPriority w:val="0"/>
    <w:rPr>
      <w:rFonts w:ascii="Plotter" w:hAnsi="Plotter"/>
      <w:b/>
      <w:bCs/>
      <w:kern w:val="2"/>
      <w:sz w:val="28"/>
      <w:szCs w:val="28"/>
    </w:rPr>
  </w:style>
  <w:style w:type="character" w:customStyle="1" w:styleId="30">
    <w:name w:val="批注文字 Char"/>
    <w:link w:val="7"/>
    <w:qFormat/>
    <w:locked/>
    <w:uiPriority w:val="0"/>
    <w:rPr>
      <w:rFonts w:ascii="Times New Roman" w:hAnsi="Times New Roman" w:eastAsia="宋体"/>
      <w:sz w:val="24"/>
    </w:rPr>
  </w:style>
  <w:style w:type="character" w:customStyle="1" w:styleId="31">
    <w:name w:val="正文文本缩进 Char"/>
    <w:link w:val="8"/>
    <w:semiHidden/>
    <w:qFormat/>
    <w:locked/>
    <w:uiPriority w:val="0"/>
    <w:rPr>
      <w:rFonts w:ascii="Times New Roman" w:hAnsi="Times New Roman" w:eastAsia="宋体"/>
      <w:sz w:val="24"/>
    </w:rPr>
  </w:style>
  <w:style w:type="character" w:customStyle="1" w:styleId="32">
    <w:name w:val="日期 Char"/>
    <w:link w:val="10"/>
    <w:qFormat/>
    <w:locked/>
    <w:uiPriority w:val="0"/>
    <w:rPr>
      <w:rFonts w:ascii="Times New Roman" w:hAnsi="Times New Roman" w:eastAsia="宋体"/>
      <w:sz w:val="24"/>
    </w:rPr>
  </w:style>
  <w:style w:type="character" w:customStyle="1" w:styleId="33">
    <w:name w:val="批注框文本 Char"/>
    <w:link w:val="12"/>
    <w:semiHidden/>
    <w:qFormat/>
    <w:locked/>
    <w:uiPriority w:val="0"/>
    <w:rPr>
      <w:rFonts w:ascii="Times New Roman" w:hAnsi="Times New Roman" w:eastAsia="宋体"/>
      <w:sz w:val="18"/>
    </w:rPr>
  </w:style>
  <w:style w:type="character" w:customStyle="1" w:styleId="34">
    <w:name w:val="页脚 Char"/>
    <w:link w:val="13"/>
    <w:qFormat/>
    <w:locked/>
    <w:uiPriority w:val="99"/>
    <w:rPr>
      <w:sz w:val="18"/>
    </w:rPr>
  </w:style>
  <w:style w:type="character" w:customStyle="1" w:styleId="35">
    <w:name w:val="页眉 Char"/>
    <w:link w:val="14"/>
    <w:qFormat/>
    <w:locked/>
    <w:uiPriority w:val="99"/>
    <w:rPr>
      <w:sz w:val="18"/>
    </w:rPr>
  </w:style>
  <w:style w:type="character" w:customStyle="1" w:styleId="36">
    <w:name w:val="普通(网站) Char"/>
    <w:link w:val="21"/>
    <w:qFormat/>
    <w:locked/>
    <w:uiPriority w:val="0"/>
    <w:rPr>
      <w:rFonts w:ascii="宋体" w:hAnsi="宋体" w:eastAsia="宋体"/>
      <w:sz w:val="24"/>
    </w:rPr>
  </w:style>
  <w:style w:type="character" w:customStyle="1" w:styleId="37">
    <w:name w:val="批注主题 Char"/>
    <w:link w:val="22"/>
    <w:semiHidden/>
    <w:qFormat/>
    <w:locked/>
    <w:uiPriority w:val="0"/>
    <w:rPr>
      <w:rFonts w:ascii="Times New Roman" w:hAnsi="Times New Roman" w:eastAsia="宋体"/>
      <w:b/>
      <w:kern w:val="2"/>
      <w:sz w:val="24"/>
    </w:rPr>
  </w:style>
  <w:style w:type="character" w:customStyle="1" w:styleId="38">
    <w:name w:val="页脚 字符"/>
    <w:qFormat/>
    <w:uiPriority w:val="99"/>
  </w:style>
  <w:style w:type="character" w:customStyle="1" w:styleId="39">
    <w:name w:val="表格 Char"/>
    <w:link w:val="40"/>
    <w:qFormat/>
    <w:locked/>
    <w:uiPriority w:val="0"/>
    <w:rPr>
      <w:rFonts w:ascii="宋体"/>
      <w:sz w:val="21"/>
    </w:rPr>
  </w:style>
  <w:style w:type="paragraph" w:customStyle="1" w:styleId="40">
    <w:name w:val="表格"/>
    <w:basedOn w:val="1"/>
    <w:next w:val="1"/>
    <w:link w:val="39"/>
    <w:qFormat/>
    <w:uiPriority w:val="0"/>
    <w:pPr>
      <w:adjustRightInd w:val="0"/>
      <w:snapToGrid w:val="0"/>
      <w:spacing w:beforeLines="10" w:afterLines="10" w:line="259" w:lineRule="auto"/>
      <w:jc w:val="center"/>
    </w:pPr>
    <w:rPr>
      <w:rFonts w:ascii="宋体"/>
      <w:kern w:val="0"/>
      <w:szCs w:val="20"/>
    </w:rPr>
  </w:style>
  <w:style w:type="character" w:customStyle="1" w:styleId="41">
    <w:name w:val="批注文字 字符1"/>
    <w:semiHidden/>
    <w:qFormat/>
    <w:uiPriority w:val="0"/>
    <w:rPr>
      <w:rFonts w:ascii="Times New Roman" w:hAnsi="Times New Roman" w:eastAsia="宋体"/>
      <w:sz w:val="24"/>
    </w:rPr>
  </w:style>
  <w:style w:type="character" w:customStyle="1" w:styleId="42">
    <w:name w:val="正文文本 字符1"/>
    <w:semiHidden/>
    <w:qFormat/>
    <w:uiPriority w:val="0"/>
    <w:rPr>
      <w:rFonts w:ascii="Times New Roman" w:hAnsi="Times New Roman" w:eastAsia="宋体"/>
      <w:sz w:val="24"/>
    </w:rPr>
  </w:style>
  <w:style w:type="character" w:customStyle="1" w:styleId="43">
    <w:name w:val="日期 字符"/>
    <w:semiHidden/>
    <w:qFormat/>
    <w:uiPriority w:val="0"/>
    <w:rPr>
      <w:rFonts w:ascii="Times New Roman" w:hAnsi="Times New Roman" w:eastAsia="宋体"/>
      <w:sz w:val="24"/>
    </w:rPr>
  </w:style>
  <w:style w:type="paragraph" w:customStyle="1" w:styleId="44">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5">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46">
    <w:name w:val="正文 首行缩进:  2 字符"/>
    <w:basedOn w:val="1"/>
    <w:qFormat/>
    <w:uiPriority w:val="0"/>
    <w:pPr>
      <w:spacing w:line="360" w:lineRule="auto"/>
      <w:ind w:firstLine="480" w:firstLineChars="200"/>
    </w:pPr>
    <w:rPr>
      <w:sz w:val="24"/>
    </w:rPr>
  </w:style>
  <w:style w:type="paragraph" w:customStyle="1" w:styleId="47">
    <w:name w:val="表格内容"/>
    <w:qFormat/>
    <w:uiPriority w:val="0"/>
    <w:pPr>
      <w:widowControl w:val="0"/>
      <w:spacing w:line="0" w:lineRule="atLeast"/>
      <w:jc w:val="center"/>
    </w:pPr>
    <w:rPr>
      <w:rFonts w:ascii="宋体" w:hAnsi="宋体" w:eastAsia="仿宋" w:cs="Times New Roman"/>
      <w:szCs w:val="21"/>
      <w:lang w:val="en-US" w:eastAsia="zh-CN" w:bidi="ar-SA"/>
    </w:rPr>
  </w:style>
  <w:style w:type="paragraph" w:customStyle="1" w:styleId="48">
    <w:name w:val="正文（首行缩进2字）"/>
    <w:basedOn w:val="1"/>
    <w:qFormat/>
    <w:uiPriority w:val="0"/>
    <w:pPr>
      <w:spacing w:line="300" w:lineRule="exact"/>
      <w:jc w:val="center"/>
    </w:pPr>
    <w:rPr>
      <w:rFonts w:ascii="Calibri" w:hAnsi="Calibri"/>
      <w:szCs w:val="21"/>
    </w:rPr>
  </w:style>
  <w:style w:type="paragraph" w:customStyle="1" w:styleId="49">
    <w:name w:val="正文四号"/>
    <w:basedOn w:val="1"/>
    <w:qFormat/>
    <w:uiPriority w:val="0"/>
    <w:pPr>
      <w:spacing w:line="360" w:lineRule="auto"/>
      <w:ind w:firstLine="200" w:firstLineChars="200"/>
    </w:pPr>
    <w:rPr>
      <w:rFonts w:ascii="Calibri" w:hAnsi="Calibri" w:cs="宋体"/>
      <w:sz w:val="24"/>
    </w:rPr>
  </w:style>
  <w:style w:type="paragraph" w:customStyle="1" w:styleId="50">
    <w:name w:val="忠庆正文"/>
    <w:basedOn w:val="51"/>
    <w:qFormat/>
    <w:uiPriority w:val="0"/>
    <w:pPr>
      <w:spacing w:line="460" w:lineRule="exact"/>
      <w:ind w:firstLine="200" w:firstLineChars="200"/>
    </w:pPr>
    <w:rPr>
      <w:sz w:val="26"/>
    </w:rPr>
  </w:style>
  <w:style w:type="paragraph" w:customStyle="1" w:styleId="51">
    <w:name w:val="忠庆表格"/>
    <w:basedOn w:val="52"/>
    <w:qFormat/>
    <w:uiPriority w:val="0"/>
    <w:rPr>
      <w:rFonts w:ascii="Times New Roman" w:hAnsi="Times New Roman"/>
      <w:sz w:val="22"/>
    </w:rPr>
  </w:style>
  <w:style w:type="paragraph" w:styleId="52">
    <w:name w:val="No Spacing"/>
    <w:qFormat/>
    <w:uiPriority w:val="1"/>
    <w:pPr>
      <w:widowControl w:val="0"/>
      <w:jc w:val="both"/>
    </w:pPr>
    <w:rPr>
      <w:rFonts w:ascii="Calibri" w:hAnsi="Calibri" w:eastAsia="宋体" w:cs="Times New Roman"/>
      <w:kern w:val="2"/>
      <w:sz w:val="21"/>
      <w:szCs w:val="22"/>
      <w:lang w:val="en-US" w:eastAsia="zh-CN" w:bidi="ar-SA"/>
    </w:rPr>
  </w:style>
  <w:style w:type="paragraph" w:customStyle="1" w:styleId="53">
    <w:name w:val="忠庆表标题"/>
    <w:basedOn w:val="50"/>
    <w:qFormat/>
    <w:uiPriority w:val="0"/>
    <w:pPr>
      <w:ind w:firstLine="0" w:firstLineChars="0"/>
    </w:pPr>
  </w:style>
  <w:style w:type="character" w:customStyle="1" w:styleId="54">
    <w:name w:val="title"/>
    <w:qFormat/>
    <w:uiPriority w:val="0"/>
  </w:style>
  <w:style w:type="paragraph" w:customStyle="1" w:styleId="55">
    <w:name w:val="样式1"/>
    <w:basedOn w:val="56"/>
    <w:qFormat/>
    <w:uiPriority w:val="0"/>
    <w:pPr>
      <w:spacing w:line="480" w:lineRule="exact"/>
      <w:ind w:firstLine="520" w:firstLineChars="200"/>
    </w:pPr>
    <w:rPr>
      <w:sz w:val="26"/>
      <w:szCs w:val="26"/>
    </w:rPr>
  </w:style>
  <w:style w:type="paragraph" w:customStyle="1" w:styleId="56">
    <w:name w:val="正文2"/>
    <w:basedOn w:val="1"/>
    <w:qFormat/>
    <w:uiPriority w:val="0"/>
    <w:pPr>
      <w:adjustRightInd w:val="0"/>
      <w:snapToGrid w:val="0"/>
      <w:spacing w:line="440" w:lineRule="atLeast"/>
      <w:ind w:firstLine="510"/>
    </w:pPr>
    <w:rPr>
      <w:szCs w:val="20"/>
    </w:rPr>
  </w:style>
  <w:style w:type="paragraph" w:customStyle="1" w:styleId="57">
    <w:name w:val="样式 左 首行缩进:  1.01 厘米"/>
    <w:basedOn w:val="1"/>
    <w:qFormat/>
    <w:uiPriority w:val="0"/>
    <w:pPr>
      <w:adjustRightInd w:val="0"/>
      <w:snapToGrid w:val="0"/>
      <w:spacing w:line="460" w:lineRule="exact"/>
      <w:ind w:firstLine="200" w:firstLineChars="200"/>
    </w:pPr>
    <w:rPr>
      <w:sz w:val="26"/>
      <w:szCs w:val="26"/>
    </w:rPr>
  </w:style>
  <w:style w:type="paragraph" w:customStyle="1" w:styleId="58">
    <w:name w:val="样式3"/>
    <w:basedOn w:val="1"/>
    <w:qFormat/>
    <w:uiPriority w:val="0"/>
    <w:pPr>
      <w:spacing w:line="420" w:lineRule="exact"/>
      <w:ind w:firstLine="200" w:firstLineChars="200"/>
    </w:pPr>
    <w:rPr>
      <w:spacing w:val="20"/>
      <w:sz w:val="24"/>
      <w:szCs w:val="28"/>
    </w:rPr>
  </w:style>
  <w:style w:type="character" w:customStyle="1" w:styleId="59">
    <w:name w:val="排版正文 Char"/>
    <w:link w:val="60"/>
    <w:qFormat/>
    <w:uiPriority w:val="0"/>
    <w:rPr>
      <w:rFonts w:eastAsia="Times New Roman"/>
      <w:szCs w:val="24"/>
    </w:rPr>
  </w:style>
  <w:style w:type="paragraph" w:customStyle="1" w:styleId="60">
    <w:name w:val="排版正文"/>
    <w:basedOn w:val="1"/>
    <w:link w:val="59"/>
    <w:qFormat/>
    <w:uiPriority w:val="0"/>
    <w:pPr>
      <w:snapToGrid w:val="0"/>
      <w:spacing w:line="460" w:lineRule="exact"/>
      <w:ind w:firstLine="520" w:firstLineChars="200"/>
    </w:pPr>
    <w:rPr>
      <w:rFonts w:eastAsia="Times New Roman"/>
      <w:kern w:val="0"/>
      <w:sz w:val="20"/>
    </w:rPr>
  </w:style>
  <w:style w:type="paragraph" w:customStyle="1" w:styleId="61">
    <w:name w:val="表格内容居中"/>
    <w:qFormat/>
    <w:uiPriority w:val="0"/>
    <w:pPr>
      <w:adjustRightInd w:val="0"/>
      <w:snapToGrid w:val="0"/>
      <w:jc w:val="center"/>
    </w:pPr>
    <w:rPr>
      <w:rFonts w:ascii="Times New Roman" w:hAnsi="Times New Roman" w:eastAsia="宋体" w:cs="Times New Roman"/>
      <w:snapToGrid w:val="0"/>
      <w:sz w:val="21"/>
      <w:szCs w:val="21"/>
      <w:lang w:val="en-US" w:eastAsia="zh-CN" w:bidi="ar-SA"/>
    </w:rPr>
  </w:style>
  <w:style w:type="paragraph" w:customStyle="1" w:styleId="62">
    <w:name w:val="报告书正文"/>
    <w:basedOn w:val="11"/>
    <w:qFormat/>
    <w:uiPriority w:val="0"/>
    <w:pPr>
      <w:adjustRightInd w:val="0"/>
      <w:snapToGrid w:val="0"/>
      <w:spacing w:line="500" w:lineRule="exact"/>
      <w:ind w:firstLine="200" w:firstLineChars="200"/>
    </w:pPr>
    <w:rPr>
      <w:bCs/>
      <w:color w:val="000000"/>
      <w:kern w:val="0"/>
    </w:rPr>
  </w:style>
  <w:style w:type="paragraph" w:customStyle="1" w:styleId="63">
    <w:name w:val="新格式表"/>
    <w:basedOn w:val="1"/>
    <w:qFormat/>
    <w:uiPriority w:val="0"/>
    <w:pPr>
      <w:spacing w:line="360" w:lineRule="auto"/>
    </w:pPr>
    <w:rPr>
      <w:snapToGrid w:val="0"/>
      <w:szCs w:val="21"/>
    </w:rPr>
  </w:style>
  <w:style w:type="character" w:customStyle="1" w:styleId="64">
    <w:name w:val="普通(网站) 字符"/>
    <w:qFormat/>
    <w:locked/>
    <w:uiPriority w:val="0"/>
    <w:rPr>
      <w:rFonts w:ascii="宋体" w:hAnsi="宋体" w:eastAsia="宋体"/>
      <w:sz w:val="24"/>
    </w:rPr>
  </w:style>
  <w:style w:type="paragraph" w:customStyle="1" w:styleId="65">
    <w:name w:val="0正文"/>
    <w:basedOn w:val="1"/>
    <w:link w:val="66"/>
    <w:qFormat/>
    <w:uiPriority w:val="0"/>
    <w:pPr>
      <w:widowControl/>
      <w:spacing w:line="480" w:lineRule="exact"/>
      <w:jc w:val="left"/>
    </w:pPr>
    <w:rPr>
      <w:color w:val="000000"/>
      <w:kern w:val="0"/>
      <w:sz w:val="26"/>
      <w:szCs w:val="26"/>
    </w:rPr>
  </w:style>
  <w:style w:type="character" w:customStyle="1" w:styleId="66">
    <w:name w:val="0正文 Char"/>
    <w:link w:val="65"/>
    <w:qFormat/>
    <w:uiPriority w:val="0"/>
    <w:rPr>
      <w:color w:val="000000"/>
      <w:sz w:val="26"/>
      <w:szCs w:val="26"/>
    </w:rPr>
  </w:style>
  <w:style w:type="paragraph" w:customStyle="1" w:styleId="67">
    <w:name w:val="1正文2"/>
    <w:basedOn w:val="1"/>
    <w:qFormat/>
    <w:uiPriority w:val="0"/>
    <w:pPr>
      <w:spacing w:line="460" w:lineRule="exact"/>
      <w:ind w:firstLine="200" w:firstLineChars="200"/>
    </w:pPr>
    <w:rPr>
      <w:rFonts w:ascii="Calibri" w:hAnsi="Calibri"/>
      <w:bCs/>
      <w:sz w:val="24"/>
    </w:rPr>
  </w:style>
  <w:style w:type="paragraph" w:customStyle="1" w:styleId="68">
    <w:name w:val="3表头"/>
    <w:basedOn w:val="1"/>
    <w:qFormat/>
    <w:uiPriority w:val="0"/>
    <w:pPr>
      <w:spacing w:line="460" w:lineRule="exact"/>
      <w:jc w:val="center"/>
    </w:pPr>
    <w:rPr>
      <w:rFonts w:ascii="Calibri" w:hAnsi="Calibri" w:cs="宋体"/>
      <w:b/>
      <w:bCs/>
      <w:sz w:val="24"/>
    </w:rPr>
  </w:style>
  <w:style w:type="character" w:customStyle="1" w:styleId="69">
    <w:name w:val="表内字体111 Char"/>
    <w:link w:val="70"/>
    <w:qFormat/>
    <w:uiPriority w:val="0"/>
    <w:rPr>
      <w:sz w:val="22"/>
      <w:szCs w:val="24"/>
    </w:rPr>
  </w:style>
  <w:style w:type="paragraph" w:customStyle="1" w:styleId="70">
    <w:name w:val="表内字体111"/>
    <w:basedOn w:val="1"/>
    <w:link w:val="69"/>
    <w:qFormat/>
    <w:uiPriority w:val="0"/>
    <w:pPr>
      <w:adjustRightInd w:val="0"/>
      <w:snapToGrid w:val="0"/>
      <w:jc w:val="center"/>
    </w:pPr>
    <w:rPr>
      <w:kern w:val="0"/>
      <w:sz w:val="22"/>
    </w:rPr>
  </w:style>
  <w:style w:type="paragraph" w:customStyle="1" w:styleId="71">
    <w:name w:val="2小标题"/>
    <w:next w:val="67"/>
    <w:qFormat/>
    <w:uiPriority w:val="0"/>
    <w:pPr>
      <w:spacing w:line="480" w:lineRule="exact"/>
    </w:pPr>
    <w:rPr>
      <w:rFonts w:ascii="Times New Roman" w:hAnsi="Times New Roman" w:eastAsia="宋体" w:cs="宋体"/>
      <w:b/>
      <w:bCs/>
      <w:kern w:val="2"/>
      <w:sz w:val="24"/>
      <w:szCs w:val="24"/>
      <w:lang w:val="en-US" w:eastAsia="zh-CN" w:bidi="ar-SA"/>
    </w:rPr>
  </w:style>
  <w:style w:type="paragraph" w:customStyle="1" w:styleId="72">
    <w:name w:val="表"/>
    <w:basedOn w:val="1"/>
    <w:qFormat/>
    <w:uiPriority w:val="0"/>
    <w:pPr>
      <w:suppressAutoHyphens/>
      <w:adjustRightInd w:val="0"/>
      <w:spacing w:before="60" w:after="60"/>
      <w:jc w:val="center"/>
    </w:pPr>
    <w:rPr>
      <w:kern w:val="0"/>
      <w:szCs w:val="20"/>
    </w:rPr>
  </w:style>
  <w:style w:type="paragraph" w:customStyle="1" w:styleId="73">
    <w:name w:val="表内字"/>
    <w:basedOn w:val="40"/>
    <w:qFormat/>
    <w:uiPriority w:val="0"/>
    <w:rPr>
      <w:sz w:val="22"/>
      <w:szCs w:val="21"/>
    </w:rPr>
  </w:style>
  <w:style w:type="paragraph" w:customStyle="1" w:styleId="74">
    <w:name w:val="4表格内容居中"/>
    <w:qFormat/>
    <w:uiPriority w:val="0"/>
    <w:pPr>
      <w:adjustRightInd w:val="0"/>
      <w:snapToGrid w:val="0"/>
      <w:jc w:val="center"/>
    </w:pPr>
    <w:rPr>
      <w:rFonts w:ascii="Times New Roman" w:hAnsi="Times New Roman" w:eastAsia="宋体" w:cs="Times New Roman"/>
      <w:snapToGrid w:val="0"/>
      <w:sz w:val="21"/>
      <w:szCs w:val="21"/>
      <w:lang w:val="en-US" w:eastAsia="zh-CN" w:bidi="ar-SA"/>
    </w:rPr>
  </w:style>
  <w:style w:type="paragraph" w:customStyle="1" w:styleId="75">
    <w:name w:val="0环评正文"/>
    <w:basedOn w:val="1"/>
    <w:qFormat/>
    <w:uiPriority w:val="0"/>
    <w:pPr>
      <w:spacing w:line="480" w:lineRule="exact"/>
      <w:ind w:firstLine="200" w:firstLineChars="200"/>
    </w:pPr>
    <w:rPr>
      <w:rFonts w:ascii="Calibri" w:hAnsi="Calibri"/>
      <w:sz w:val="26"/>
      <w:szCs w:val="22"/>
    </w:rPr>
  </w:style>
  <w:style w:type="character" w:customStyle="1" w:styleId="76">
    <w:name w:val="fontstyle01"/>
    <w:qFormat/>
    <w:uiPriority w:val="0"/>
    <w:rPr>
      <w:rFonts w:hint="eastAsia" w:ascii="宋体" w:hAnsi="宋体" w:eastAsia="宋体"/>
      <w:color w:val="000000"/>
      <w:sz w:val="26"/>
      <w:szCs w:val="26"/>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3.wmf"/><Relationship Id="rId24" Type="http://schemas.openxmlformats.org/officeDocument/2006/relationships/oleObject" Target="embeddings/oleObject5.bin"/><Relationship Id="rId23" Type="http://schemas.openxmlformats.org/officeDocument/2006/relationships/image" Target="media/image12.wmf"/><Relationship Id="rId22" Type="http://schemas.openxmlformats.org/officeDocument/2006/relationships/image" Target="media/image11.wmf"/><Relationship Id="rId21" Type="http://schemas.openxmlformats.org/officeDocument/2006/relationships/oleObject" Target="embeddings/oleObject4.bin"/><Relationship Id="rId20" Type="http://schemas.openxmlformats.org/officeDocument/2006/relationships/image" Target="media/image10.w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9.wmf"/><Relationship Id="rId17" Type="http://schemas.openxmlformats.org/officeDocument/2006/relationships/oleObject" Target="embeddings/oleObject2.bin"/><Relationship Id="rId16" Type="http://schemas.openxmlformats.org/officeDocument/2006/relationships/image" Target="media/image8.wmf"/><Relationship Id="rId15" Type="http://schemas.openxmlformats.org/officeDocument/2006/relationships/oleObject" Target="embeddings/oleObject1.bin"/><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49"/>
    <customShpInfo spid="_x0000_s2050"/>
    <customShpInfo spid="_x0000_s1058"/>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59"/>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26"/>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4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75</Pages>
  <Words>6645</Words>
  <Characters>6991</Characters>
  <Lines>389</Lines>
  <Paragraphs>109</Paragraphs>
  <TotalTime>0</TotalTime>
  <ScaleCrop>false</ScaleCrop>
  <LinksUpToDate>false</LinksUpToDate>
  <CharactersWithSpaces>7083</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2023-08-10T02:35:00Z</dcterms:created>
  <dc:creator>lhj</dc:creator>
  <cp:lastModifiedBy>彬</cp:lastModifiedBy>
  <cp:lastPrinted>2022-01-19T01:28:00Z</cp:lastPrinted>
  <dcterms:modified xsi:type="dcterms:W3CDTF">2025-04-22T04:49:41Z</dcterms:modified>
  <dc:title>附件2</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9D6D19FCCF8C4BC3A4A554CA65D1CBC0</vt:lpwstr>
  </property>
  <property fmtid="{D5CDD505-2E9C-101B-9397-08002B2CF9AE}" pid="4" name="KSOTemplateDocerSaveRecord">
    <vt:lpwstr>eyJoZGlkIjoiMTMyM2VhMjBmM2YyZDY4MGZiMGE2NTg2M2Y4ZjQzMTMiLCJ1c2VySWQiOiIzMDg0ODQ5NDgifQ==</vt:lpwstr>
  </property>
</Properties>
</file>